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63F5" w14:textId="77777777" w:rsidR="00FB7A04" w:rsidRPr="00684487" w:rsidRDefault="00FB7A04" w:rsidP="0068448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684487">
        <w:rPr>
          <w:rFonts w:ascii="Times New Roman" w:hAnsi="Times New Roman" w:cs="Times New Roman"/>
          <w:b/>
          <w:caps/>
        </w:rPr>
        <w:t>Statement of</w:t>
      </w:r>
    </w:p>
    <w:p w14:paraId="76DF54AA" w14:textId="77777777" w:rsidR="00FB7A04" w:rsidRPr="00684487" w:rsidRDefault="00FB7A04" w:rsidP="0068448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84487">
        <w:rPr>
          <w:rFonts w:ascii="Times New Roman" w:hAnsi="Times New Roman" w:cs="Times New Roman"/>
          <w:b/>
          <w:caps/>
        </w:rPr>
        <w:t>Commissioner Michael O’Rielly</w:t>
      </w:r>
    </w:p>
    <w:p w14:paraId="70BFF378" w14:textId="77777777" w:rsidR="00FB7A04" w:rsidRPr="00684487" w:rsidRDefault="00FB7A04" w:rsidP="0068448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84487">
        <w:rPr>
          <w:rFonts w:ascii="Times New Roman" w:hAnsi="Times New Roman" w:cs="Times New Roman"/>
          <w:b/>
          <w:caps/>
        </w:rPr>
        <w:t>APPROVING IN PART, DISSENTING IN PART</w:t>
      </w:r>
    </w:p>
    <w:p w14:paraId="0EEC4127" w14:textId="77777777" w:rsidR="00FB7A04" w:rsidRPr="00684487" w:rsidRDefault="00FB7A04" w:rsidP="00684487">
      <w:pPr>
        <w:spacing w:after="0" w:line="240" w:lineRule="auto"/>
        <w:rPr>
          <w:rFonts w:ascii="Times New Roman" w:hAnsi="Times New Roman" w:cs="Times New Roman"/>
        </w:rPr>
      </w:pPr>
    </w:p>
    <w:p w14:paraId="2CD5A750" w14:textId="77777777" w:rsidR="00684487" w:rsidRPr="00684487" w:rsidRDefault="00684487" w:rsidP="0068448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Re:       </w:t>
      </w:r>
      <w:r w:rsidRPr="00684487"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 w:rsidRPr="00684487">
        <w:rPr>
          <w:rFonts w:ascii="Times New Roman" w:hAnsi="Times New Roman" w:cs="Times New Roman"/>
        </w:rPr>
        <w:t>,</w:t>
      </w:r>
      <w:r w:rsidRPr="00684487"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 w:rsidRPr="00684487">
        <w:rPr>
          <w:rFonts w:ascii="Times New Roman" w:hAnsi="Times New Roman" w:cs="Times New Roman"/>
        </w:rPr>
        <w:t>, GN Docket No. 12-354</w:t>
      </w:r>
    </w:p>
    <w:p w14:paraId="142947B8" w14:textId="77777777" w:rsidR="00C94851" w:rsidRPr="00684487" w:rsidRDefault="00C94851" w:rsidP="00684487">
      <w:pPr>
        <w:spacing w:after="0" w:line="240" w:lineRule="auto"/>
      </w:pPr>
    </w:p>
    <w:p w14:paraId="0EB11E6F" w14:textId="2A422E80" w:rsidR="0034193A" w:rsidRDefault="00C94851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T</w:t>
      </w:r>
      <w:r w:rsidR="00E63EEF" w:rsidRPr="00684487">
        <w:rPr>
          <w:rFonts w:ascii="Times New Roman" w:hAnsi="Times New Roman" w:cs="Times New Roman"/>
        </w:rPr>
        <w:t xml:space="preserve">he 3.5 </w:t>
      </w:r>
      <w:r w:rsidR="00EE76B0" w:rsidRPr="00684487">
        <w:rPr>
          <w:rFonts w:ascii="Times New Roman" w:hAnsi="Times New Roman" w:cs="Times New Roman"/>
        </w:rPr>
        <w:t xml:space="preserve">GHz experiment </w:t>
      </w:r>
      <w:r w:rsidR="00E63EEF" w:rsidRPr="00684487">
        <w:rPr>
          <w:rFonts w:ascii="Times New Roman" w:hAnsi="Times New Roman" w:cs="Times New Roman"/>
        </w:rPr>
        <w:t xml:space="preserve">has been touted </w:t>
      </w:r>
      <w:r w:rsidR="00046975" w:rsidRPr="00684487">
        <w:rPr>
          <w:rFonts w:ascii="Times New Roman" w:hAnsi="Times New Roman" w:cs="Times New Roman"/>
        </w:rPr>
        <w:t xml:space="preserve">as </w:t>
      </w:r>
      <w:r w:rsidRPr="00684487">
        <w:rPr>
          <w:rFonts w:ascii="Times New Roman" w:hAnsi="Times New Roman" w:cs="Times New Roman"/>
        </w:rPr>
        <w:t xml:space="preserve">a </w:t>
      </w:r>
      <w:r w:rsidR="00046975" w:rsidRPr="00684487">
        <w:rPr>
          <w:rFonts w:ascii="Times New Roman" w:hAnsi="Times New Roman" w:cs="Times New Roman"/>
        </w:rPr>
        <w:t xml:space="preserve">potential new approach </w:t>
      </w:r>
      <w:r w:rsidR="00EE76B0" w:rsidRPr="00684487">
        <w:rPr>
          <w:rFonts w:ascii="Times New Roman" w:hAnsi="Times New Roman" w:cs="Times New Roman"/>
        </w:rPr>
        <w:t>for spectrum allocation, enabling</w:t>
      </w:r>
      <w:r w:rsidR="00046975" w:rsidRPr="00684487">
        <w:rPr>
          <w:rFonts w:ascii="Times New Roman" w:hAnsi="Times New Roman" w:cs="Times New Roman"/>
        </w:rPr>
        <w:t xml:space="preserve"> expand</w:t>
      </w:r>
      <w:r w:rsidR="00EE76B0" w:rsidRPr="00684487">
        <w:rPr>
          <w:rFonts w:ascii="Times New Roman" w:hAnsi="Times New Roman" w:cs="Times New Roman"/>
        </w:rPr>
        <w:t>ed</w:t>
      </w:r>
      <w:r w:rsidR="00046975" w:rsidRPr="00684487">
        <w:rPr>
          <w:rFonts w:ascii="Times New Roman" w:hAnsi="Times New Roman" w:cs="Times New Roman"/>
        </w:rPr>
        <w:t xml:space="preserve"> use </w:t>
      </w:r>
      <w:r w:rsidR="00EE76B0" w:rsidRPr="00684487">
        <w:rPr>
          <w:rFonts w:ascii="Times New Roman" w:hAnsi="Times New Roman" w:cs="Times New Roman"/>
        </w:rPr>
        <w:t xml:space="preserve">of </w:t>
      </w:r>
      <w:r w:rsidR="00046975" w:rsidRPr="00684487">
        <w:rPr>
          <w:rFonts w:ascii="Times New Roman" w:hAnsi="Times New Roman" w:cs="Times New Roman"/>
        </w:rPr>
        <w:t>certain bands where incumbents – often federal government</w:t>
      </w:r>
      <w:r w:rsidR="007F2A0E" w:rsidRPr="00684487">
        <w:rPr>
          <w:rFonts w:ascii="Times New Roman" w:hAnsi="Times New Roman" w:cs="Times New Roman"/>
        </w:rPr>
        <w:t xml:space="preserve"> agencies</w:t>
      </w:r>
      <w:r w:rsidR="00046975" w:rsidRPr="00684487">
        <w:rPr>
          <w:rFonts w:ascii="Times New Roman" w:hAnsi="Times New Roman" w:cs="Times New Roman"/>
        </w:rPr>
        <w:t xml:space="preserve"> – are already using the frequencies.  </w:t>
      </w:r>
      <w:r w:rsidR="00EE76B0" w:rsidRPr="00684487">
        <w:rPr>
          <w:rFonts w:ascii="Times New Roman" w:hAnsi="Times New Roman" w:cs="Times New Roman"/>
        </w:rPr>
        <w:t xml:space="preserve">While </w:t>
      </w:r>
      <w:r w:rsidR="0034193A" w:rsidRPr="00684487">
        <w:rPr>
          <w:rFonts w:ascii="Times New Roman" w:hAnsi="Times New Roman" w:cs="Times New Roman"/>
        </w:rPr>
        <w:t xml:space="preserve">I praised </w:t>
      </w:r>
      <w:r w:rsidR="001932C8" w:rsidRPr="00684487">
        <w:rPr>
          <w:rFonts w:ascii="Times New Roman" w:hAnsi="Times New Roman" w:cs="Times New Roman"/>
        </w:rPr>
        <w:t xml:space="preserve">the concept </w:t>
      </w:r>
      <w:r w:rsidR="00A70C24" w:rsidRPr="00684487">
        <w:rPr>
          <w:rFonts w:ascii="Times New Roman" w:hAnsi="Times New Roman" w:cs="Times New Roman"/>
        </w:rPr>
        <w:t xml:space="preserve">of </w:t>
      </w:r>
      <w:r w:rsidR="0034193A" w:rsidRPr="00684487">
        <w:rPr>
          <w:rFonts w:ascii="Times New Roman" w:hAnsi="Times New Roman" w:cs="Times New Roman"/>
        </w:rPr>
        <w:t xml:space="preserve">opening up this underused spectrum for additional uses, </w:t>
      </w:r>
      <w:r w:rsidR="00EE76B0" w:rsidRPr="00684487">
        <w:rPr>
          <w:rFonts w:ascii="Times New Roman" w:hAnsi="Times New Roman" w:cs="Times New Roman"/>
        </w:rPr>
        <w:t xml:space="preserve">I </w:t>
      </w:r>
      <w:r w:rsidR="0034193A" w:rsidRPr="00684487">
        <w:rPr>
          <w:rFonts w:ascii="Times New Roman" w:hAnsi="Times New Roman" w:cs="Times New Roman"/>
        </w:rPr>
        <w:t xml:space="preserve">expressed serious concerns about several </w:t>
      </w:r>
      <w:r w:rsidR="00E077F5" w:rsidRPr="00684487">
        <w:rPr>
          <w:rFonts w:ascii="Times New Roman" w:hAnsi="Times New Roman" w:cs="Times New Roman"/>
        </w:rPr>
        <w:t>sections</w:t>
      </w:r>
      <w:r w:rsidR="000D28ED" w:rsidRPr="00684487">
        <w:rPr>
          <w:rFonts w:ascii="Times New Roman" w:hAnsi="Times New Roman" w:cs="Times New Roman"/>
        </w:rPr>
        <w:t xml:space="preserve"> – most important being </w:t>
      </w:r>
      <w:r w:rsidR="0033008E" w:rsidRPr="00684487">
        <w:rPr>
          <w:rFonts w:ascii="Times New Roman" w:hAnsi="Times New Roman" w:cs="Times New Roman"/>
        </w:rPr>
        <w:t xml:space="preserve">the </w:t>
      </w:r>
      <w:r w:rsidR="000D28ED" w:rsidRPr="00684487">
        <w:rPr>
          <w:rFonts w:ascii="Times New Roman" w:hAnsi="Times New Roman" w:cs="Times New Roman"/>
        </w:rPr>
        <w:t>licensing structure of the Priority Access Licenses (PALs)</w:t>
      </w:r>
      <w:r w:rsidR="001D6479" w:rsidRPr="00684487">
        <w:rPr>
          <w:rFonts w:ascii="Times New Roman" w:hAnsi="Times New Roman" w:cs="Times New Roman"/>
        </w:rPr>
        <w:t>.</w:t>
      </w:r>
      <w:r w:rsidR="007F2A0E" w:rsidRPr="00684487">
        <w:rPr>
          <w:rStyle w:val="FootnoteReference"/>
          <w:rFonts w:ascii="Times New Roman" w:hAnsi="Times New Roman" w:cs="Times New Roman"/>
        </w:rPr>
        <w:footnoteReference w:id="1"/>
      </w:r>
      <w:r w:rsidR="001D6479" w:rsidRPr="00684487">
        <w:rPr>
          <w:rFonts w:ascii="Times New Roman" w:hAnsi="Times New Roman" w:cs="Times New Roman"/>
        </w:rPr>
        <w:t xml:space="preserve"> </w:t>
      </w:r>
      <w:r w:rsidRPr="00684487">
        <w:rPr>
          <w:rFonts w:ascii="Times New Roman" w:hAnsi="Times New Roman" w:cs="Times New Roman"/>
        </w:rPr>
        <w:t xml:space="preserve"> </w:t>
      </w:r>
      <w:r w:rsidR="001D6479" w:rsidRPr="00684487">
        <w:rPr>
          <w:rFonts w:ascii="Times New Roman" w:hAnsi="Times New Roman" w:cs="Times New Roman"/>
        </w:rPr>
        <w:t xml:space="preserve">At the time, I noted that </w:t>
      </w:r>
      <w:r w:rsidR="0033008E" w:rsidRPr="00684487">
        <w:rPr>
          <w:rFonts w:ascii="Times New Roman" w:hAnsi="Times New Roman" w:cs="Times New Roman"/>
        </w:rPr>
        <w:t>this</w:t>
      </w:r>
      <w:r w:rsidR="000D28ED" w:rsidRPr="00684487">
        <w:rPr>
          <w:rFonts w:ascii="Times New Roman" w:hAnsi="Times New Roman" w:cs="Times New Roman"/>
        </w:rPr>
        <w:t xml:space="preserve"> </w:t>
      </w:r>
      <w:r w:rsidR="001D6479" w:rsidRPr="00684487">
        <w:rPr>
          <w:rFonts w:ascii="Times New Roman" w:hAnsi="Times New Roman" w:cs="Times New Roman"/>
        </w:rPr>
        <w:t xml:space="preserve">structure </w:t>
      </w:r>
      <w:r w:rsidR="001B317C" w:rsidRPr="00684487">
        <w:rPr>
          <w:rFonts w:ascii="Times New Roman" w:hAnsi="Times New Roman" w:cs="Times New Roman"/>
        </w:rPr>
        <w:t xml:space="preserve">was problematic and </w:t>
      </w:r>
      <w:r w:rsidR="001D6479" w:rsidRPr="00684487">
        <w:rPr>
          <w:rFonts w:ascii="Times New Roman" w:hAnsi="Times New Roman" w:cs="Times New Roman"/>
        </w:rPr>
        <w:t>need</w:t>
      </w:r>
      <w:r w:rsidR="001B317C" w:rsidRPr="00684487">
        <w:rPr>
          <w:rFonts w:ascii="Times New Roman" w:hAnsi="Times New Roman" w:cs="Times New Roman"/>
        </w:rPr>
        <w:t>ed</w:t>
      </w:r>
      <w:r w:rsidR="001D6479" w:rsidRPr="00684487">
        <w:rPr>
          <w:rFonts w:ascii="Times New Roman" w:hAnsi="Times New Roman" w:cs="Times New Roman"/>
        </w:rPr>
        <w:t xml:space="preserve"> to be fixed. </w:t>
      </w:r>
    </w:p>
    <w:p w14:paraId="06A021CB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791FF86" w14:textId="42421271" w:rsidR="000D28ED" w:rsidRDefault="00046975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Th</w:t>
      </w:r>
      <w:r w:rsidR="00E077F5" w:rsidRPr="00684487">
        <w:rPr>
          <w:rFonts w:ascii="Times New Roman" w:hAnsi="Times New Roman" w:cs="Times New Roman"/>
        </w:rPr>
        <w:t>e 3.5 GHz</w:t>
      </w:r>
      <w:r w:rsidRPr="00684487">
        <w:rPr>
          <w:rFonts w:ascii="Times New Roman" w:hAnsi="Times New Roman" w:cs="Times New Roman"/>
        </w:rPr>
        <w:t xml:space="preserve"> framework </w:t>
      </w:r>
      <w:r w:rsidR="00C94851" w:rsidRPr="00684487">
        <w:rPr>
          <w:rFonts w:ascii="Times New Roman" w:hAnsi="Times New Roman" w:cs="Times New Roman"/>
        </w:rPr>
        <w:t>is based on</w:t>
      </w:r>
      <w:r w:rsidRPr="00684487">
        <w:rPr>
          <w:rFonts w:ascii="Times New Roman" w:hAnsi="Times New Roman" w:cs="Times New Roman"/>
        </w:rPr>
        <w:t xml:space="preserve"> a three-tiered hierarchy</w:t>
      </w:r>
      <w:r w:rsidR="00E077F5" w:rsidRPr="00684487">
        <w:rPr>
          <w:rFonts w:ascii="Times New Roman" w:hAnsi="Times New Roman" w:cs="Times New Roman"/>
        </w:rPr>
        <w:t xml:space="preserve"> for spectrum access</w:t>
      </w:r>
      <w:r w:rsidR="00C94851" w:rsidRPr="00684487">
        <w:rPr>
          <w:rFonts w:ascii="Times New Roman" w:hAnsi="Times New Roman" w:cs="Times New Roman"/>
        </w:rPr>
        <w:t>.</w:t>
      </w:r>
      <w:r w:rsidR="000D28ED" w:rsidRPr="00684487">
        <w:rPr>
          <w:rStyle w:val="FootnoteReference"/>
          <w:rFonts w:ascii="Times New Roman" w:hAnsi="Times New Roman" w:cs="Times New Roman"/>
        </w:rPr>
        <w:footnoteReference w:id="2"/>
      </w:r>
      <w:r w:rsidR="00C94851" w:rsidRPr="00684487">
        <w:rPr>
          <w:rFonts w:ascii="Times New Roman" w:hAnsi="Times New Roman" w:cs="Times New Roman"/>
        </w:rPr>
        <w:t xml:space="preserve">  For this grand experiment to work, however, all three prongs need to be </w:t>
      </w:r>
      <w:r w:rsidR="00C762F3" w:rsidRPr="00684487">
        <w:rPr>
          <w:rFonts w:ascii="Times New Roman" w:hAnsi="Times New Roman" w:cs="Times New Roman"/>
        </w:rPr>
        <w:t xml:space="preserve">fully </w:t>
      </w:r>
      <w:r w:rsidR="00C94851" w:rsidRPr="00684487">
        <w:rPr>
          <w:rFonts w:ascii="Times New Roman" w:hAnsi="Times New Roman" w:cs="Times New Roman"/>
        </w:rPr>
        <w:t>functional.</w:t>
      </w:r>
      <w:r w:rsidR="00035559" w:rsidRPr="00684487">
        <w:rPr>
          <w:rFonts w:ascii="Times New Roman" w:hAnsi="Times New Roman" w:cs="Times New Roman"/>
        </w:rPr>
        <w:t xml:space="preserve"> </w:t>
      </w:r>
      <w:r w:rsidR="002B3F4A" w:rsidRPr="00684487">
        <w:rPr>
          <w:rFonts w:ascii="Times New Roman" w:hAnsi="Times New Roman" w:cs="Times New Roman"/>
        </w:rPr>
        <w:t xml:space="preserve"> </w:t>
      </w:r>
      <w:r w:rsidR="00C94851" w:rsidRPr="00684487">
        <w:rPr>
          <w:rFonts w:ascii="Times New Roman" w:hAnsi="Times New Roman" w:cs="Times New Roman"/>
        </w:rPr>
        <w:t>Sadly, t</w:t>
      </w:r>
      <w:r w:rsidR="00CE67BA" w:rsidRPr="00684487">
        <w:rPr>
          <w:rFonts w:ascii="Times New Roman" w:hAnsi="Times New Roman" w:cs="Times New Roman"/>
        </w:rPr>
        <w:t>he Commission refuses to fix the PALs assignment mechanism</w:t>
      </w:r>
      <w:r w:rsidR="00C94851" w:rsidRPr="00684487">
        <w:rPr>
          <w:rFonts w:ascii="Times New Roman" w:hAnsi="Times New Roman" w:cs="Times New Roman"/>
        </w:rPr>
        <w:t xml:space="preserve">, which is fundamentally flawed and undoes years of successful spectrum auction </w:t>
      </w:r>
      <w:r w:rsidR="009E057A" w:rsidRPr="00684487">
        <w:rPr>
          <w:rFonts w:ascii="Times New Roman" w:hAnsi="Times New Roman" w:cs="Times New Roman"/>
        </w:rPr>
        <w:t>policy</w:t>
      </w:r>
      <w:r w:rsidR="00CE67BA" w:rsidRPr="00684487">
        <w:rPr>
          <w:rFonts w:ascii="Times New Roman" w:hAnsi="Times New Roman" w:cs="Times New Roman"/>
        </w:rPr>
        <w:t xml:space="preserve">.  </w:t>
      </w:r>
    </w:p>
    <w:p w14:paraId="483D2464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CA9DA48" w14:textId="77777777" w:rsidR="00684487" w:rsidRDefault="00C94851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Specifically, </w:t>
      </w:r>
      <w:r w:rsidR="00CE67BA" w:rsidRPr="00684487">
        <w:rPr>
          <w:rFonts w:ascii="Times New Roman" w:hAnsi="Times New Roman" w:cs="Times New Roman"/>
        </w:rPr>
        <w:t>PAL</w:t>
      </w:r>
      <w:r w:rsidR="000D28ED" w:rsidRPr="00684487">
        <w:rPr>
          <w:rFonts w:ascii="Times New Roman" w:hAnsi="Times New Roman" w:cs="Times New Roman"/>
        </w:rPr>
        <w:t>s should be available</w:t>
      </w:r>
      <w:r w:rsidR="00CE67BA" w:rsidRPr="00684487">
        <w:rPr>
          <w:rFonts w:ascii="Times New Roman" w:hAnsi="Times New Roman" w:cs="Times New Roman"/>
        </w:rPr>
        <w:t xml:space="preserve"> in any census trac</w:t>
      </w:r>
      <w:r w:rsidR="0033008E" w:rsidRPr="00684487">
        <w:rPr>
          <w:rFonts w:ascii="Times New Roman" w:hAnsi="Times New Roman" w:cs="Times New Roman"/>
        </w:rPr>
        <w:t>t</w:t>
      </w:r>
      <w:r w:rsidR="00837F5C" w:rsidRPr="00684487">
        <w:rPr>
          <w:rFonts w:ascii="Times New Roman" w:hAnsi="Times New Roman" w:cs="Times New Roman"/>
        </w:rPr>
        <w:t xml:space="preserve"> </w:t>
      </w:r>
      <w:r w:rsidR="000D28ED" w:rsidRPr="00684487">
        <w:rPr>
          <w:rFonts w:ascii="Times New Roman" w:hAnsi="Times New Roman" w:cs="Times New Roman"/>
        </w:rPr>
        <w:t>–</w:t>
      </w:r>
      <w:r w:rsidRPr="00684487">
        <w:rPr>
          <w:rFonts w:ascii="Times New Roman" w:hAnsi="Times New Roman" w:cs="Times New Roman"/>
        </w:rPr>
        <w:t xml:space="preserve"> </w:t>
      </w:r>
      <w:r w:rsidR="00CE67BA" w:rsidRPr="00684487">
        <w:rPr>
          <w:rFonts w:ascii="Times New Roman" w:hAnsi="Times New Roman" w:cs="Times New Roman"/>
        </w:rPr>
        <w:t xml:space="preserve">even if </w:t>
      </w:r>
      <w:r w:rsidR="000D28ED" w:rsidRPr="00684487">
        <w:rPr>
          <w:rFonts w:ascii="Times New Roman" w:hAnsi="Times New Roman" w:cs="Times New Roman"/>
        </w:rPr>
        <w:t>there is</w:t>
      </w:r>
      <w:r w:rsidR="00CE67BA" w:rsidRPr="00684487">
        <w:rPr>
          <w:rFonts w:ascii="Times New Roman" w:hAnsi="Times New Roman" w:cs="Times New Roman"/>
        </w:rPr>
        <w:t xml:space="preserve"> only one </w:t>
      </w:r>
      <w:r w:rsidR="000D28ED" w:rsidRPr="00684487">
        <w:rPr>
          <w:rFonts w:ascii="Times New Roman" w:hAnsi="Times New Roman" w:cs="Times New Roman"/>
        </w:rPr>
        <w:t xml:space="preserve">entity </w:t>
      </w:r>
      <w:r w:rsidR="00C26115" w:rsidRPr="00684487">
        <w:rPr>
          <w:rFonts w:ascii="Times New Roman" w:hAnsi="Times New Roman" w:cs="Times New Roman"/>
        </w:rPr>
        <w:t xml:space="preserve">interested </w:t>
      </w:r>
      <w:r w:rsidR="00CE67BA" w:rsidRPr="00684487">
        <w:rPr>
          <w:rFonts w:ascii="Times New Roman" w:hAnsi="Times New Roman" w:cs="Times New Roman"/>
        </w:rPr>
        <w:t xml:space="preserve">in priority access.  </w:t>
      </w:r>
      <w:r w:rsidR="00F84788" w:rsidRPr="00684487">
        <w:rPr>
          <w:rFonts w:ascii="Times New Roman" w:hAnsi="Times New Roman" w:cs="Times New Roman"/>
        </w:rPr>
        <w:t>Not only does the record on reconsideration support this,</w:t>
      </w:r>
      <w:r w:rsidR="00EF1FC6" w:rsidRPr="00684487">
        <w:rPr>
          <w:rStyle w:val="FootnoteReference"/>
          <w:rFonts w:ascii="Times New Roman" w:hAnsi="Times New Roman" w:cs="Times New Roman"/>
        </w:rPr>
        <w:footnoteReference w:id="3"/>
      </w:r>
      <w:r w:rsidR="00F84788" w:rsidRPr="00684487">
        <w:rPr>
          <w:rFonts w:ascii="Times New Roman" w:hAnsi="Times New Roman" w:cs="Times New Roman"/>
        </w:rPr>
        <w:t xml:space="preserve"> but t</w:t>
      </w:r>
      <w:r w:rsidR="00CE67BA" w:rsidRPr="00684487">
        <w:rPr>
          <w:rFonts w:ascii="Times New Roman" w:hAnsi="Times New Roman" w:cs="Times New Roman"/>
        </w:rPr>
        <w:t xml:space="preserve">hroughout this proceeding, many </w:t>
      </w:r>
      <w:r w:rsidR="00232F53" w:rsidRPr="00684487">
        <w:rPr>
          <w:rFonts w:ascii="Times New Roman" w:hAnsi="Times New Roman" w:cs="Times New Roman"/>
        </w:rPr>
        <w:t xml:space="preserve">smaller </w:t>
      </w:r>
      <w:r w:rsidR="00CE67BA" w:rsidRPr="00684487">
        <w:rPr>
          <w:rFonts w:ascii="Times New Roman" w:hAnsi="Times New Roman" w:cs="Times New Roman"/>
        </w:rPr>
        <w:t>wireless providers and entrepreneurs</w:t>
      </w:r>
      <w:r w:rsidR="000D28ED" w:rsidRPr="00684487">
        <w:rPr>
          <w:rFonts w:ascii="Times New Roman" w:hAnsi="Times New Roman" w:cs="Times New Roman"/>
        </w:rPr>
        <w:t>, including those in rural America,</w:t>
      </w:r>
      <w:r w:rsidR="00CE67BA" w:rsidRPr="00684487">
        <w:rPr>
          <w:rFonts w:ascii="Times New Roman" w:hAnsi="Times New Roman" w:cs="Times New Roman"/>
        </w:rPr>
        <w:t xml:space="preserve"> have told me that </w:t>
      </w:r>
      <w:r w:rsidR="00137B72" w:rsidRPr="00684487">
        <w:rPr>
          <w:rFonts w:ascii="Times New Roman" w:hAnsi="Times New Roman" w:cs="Times New Roman"/>
        </w:rPr>
        <w:t xml:space="preserve">they seek priority </w:t>
      </w:r>
      <w:r w:rsidR="000D28ED" w:rsidRPr="00684487">
        <w:rPr>
          <w:rFonts w:ascii="Times New Roman" w:hAnsi="Times New Roman" w:cs="Times New Roman"/>
        </w:rPr>
        <w:t>and interference protection</w:t>
      </w:r>
      <w:r w:rsidR="00137B72" w:rsidRPr="00684487">
        <w:rPr>
          <w:rFonts w:ascii="Times New Roman" w:hAnsi="Times New Roman" w:cs="Times New Roman"/>
        </w:rPr>
        <w:t xml:space="preserve"> for their particular business plans.  </w:t>
      </w:r>
      <w:r w:rsidR="00232F53" w:rsidRPr="00684487">
        <w:rPr>
          <w:rFonts w:ascii="Times New Roman" w:hAnsi="Times New Roman" w:cs="Times New Roman"/>
        </w:rPr>
        <w:t>Further, m</w:t>
      </w:r>
      <w:r w:rsidR="000D28ED" w:rsidRPr="00684487">
        <w:rPr>
          <w:rFonts w:ascii="Times New Roman" w:hAnsi="Times New Roman" w:cs="Times New Roman"/>
        </w:rPr>
        <w:t>any</w:t>
      </w:r>
      <w:r w:rsidR="00137B72" w:rsidRPr="00684487">
        <w:rPr>
          <w:rFonts w:ascii="Times New Roman" w:hAnsi="Times New Roman" w:cs="Times New Roman"/>
        </w:rPr>
        <w:t xml:space="preserve"> have </w:t>
      </w:r>
      <w:r w:rsidR="00232F53" w:rsidRPr="00684487">
        <w:rPr>
          <w:rFonts w:ascii="Times New Roman" w:hAnsi="Times New Roman" w:cs="Times New Roman"/>
        </w:rPr>
        <w:t>stated</w:t>
      </w:r>
      <w:r w:rsidR="00137B72" w:rsidRPr="00684487">
        <w:rPr>
          <w:rFonts w:ascii="Times New Roman" w:hAnsi="Times New Roman" w:cs="Times New Roman"/>
        </w:rPr>
        <w:t xml:space="preserve"> that </w:t>
      </w:r>
      <w:r w:rsidR="000D28ED" w:rsidRPr="00684487">
        <w:rPr>
          <w:rFonts w:ascii="Times New Roman" w:hAnsi="Times New Roman" w:cs="Times New Roman"/>
        </w:rPr>
        <w:t xml:space="preserve">the certainty provided by a PAL </w:t>
      </w:r>
      <w:r w:rsidR="00137B72" w:rsidRPr="00684487">
        <w:rPr>
          <w:rFonts w:ascii="Times New Roman" w:hAnsi="Times New Roman" w:cs="Times New Roman"/>
        </w:rPr>
        <w:t xml:space="preserve">is </w:t>
      </w:r>
      <w:r w:rsidR="000D28ED" w:rsidRPr="00684487">
        <w:rPr>
          <w:rFonts w:ascii="Times New Roman" w:hAnsi="Times New Roman" w:cs="Times New Roman"/>
        </w:rPr>
        <w:t>necessary to secure the funding</w:t>
      </w:r>
      <w:r w:rsidR="00232F53" w:rsidRPr="00684487">
        <w:rPr>
          <w:rFonts w:ascii="Times New Roman" w:hAnsi="Times New Roman" w:cs="Times New Roman"/>
        </w:rPr>
        <w:t xml:space="preserve"> needed to develop and deploy offerings in this band.</w:t>
      </w:r>
      <w:r w:rsidR="002B3F4A" w:rsidRPr="00684487">
        <w:rPr>
          <w:rFonts w:ascii="Times New Roman" w:hAnsi="Times New Roman" w:cs="Times New Roman"/>
        </w:rPr>
        <w:t xml:space="preserve">  </w:t>
      </w:r>
      <w:r w:rsidR="00E66FB9" w:rsidRPr="00684487">
        <w:rPr>
          <w:rFonts w:ascii="Times New Roman" w:hAnsi="Times New Roman" w:cs="Times New Roman"/>
        </w:rPr>
        <w:t xml:space="preserve">I have </w:t>
      </w:r>
      <w:r w:rsidR="00837F5C" w:rsidRPr="00684487">
        <w:rPr>
          <w:rFonts w:ascii="Times New Roman" w:hAnsi="Times New Roman" w:cs="Times New Roman"/>
        </w:rPr>
        <w:t xml:space="preserve">also </w:t>
      </w:r>
      <w:r w:rsidR="00E66FB9" w:rsidRPr="00684487">
        <w:rPr>
          <w:rFonts w:ascii="Times New Roman" w:hAnsi="Times New Roman" w:cs="Times New Roman"/>
        </w:rPr>
        <w:t>spoken to ma</w:t>
      </w:r>
      <w:r w:rsidR="001932C8" w:rsidRPr="00684487">
        <w:rPr>
          <w:rFonts w:ascii="Times New Roman" w:hAnsi="Times New Roman" w:cs="Times New Roman"/>
        </w:rPr>
        <w:t>n</w:t>
      </w:r>
      <w:r w:rsidR="00E66FB9" w:rsidRPr="00684487">
        <w:rPr>
          <w:rFonts w:ascii="Times New Roman" w:hAnsi="Times New Roman" w:cs="Times New Roman"/>
        </w:rPr>
        <w:t>y GAA proponents who are supportive of providing PALs in any market in which they are sought</w:t>
      </w:r>
      <w:r w:rsidR="00C7690A" w:rsidRPr="00684487">
        <w:rPr>
          <w:rFonts w:ascii="Times New Roman" w:hAnsi="Times New Roman" w:cs="Times New Roman"/>
        </w:rPr>
        <w:t>,</w:t>
      </w:r>
      <w:r w:rsidR="00E66FB9" w:rsidRPr="00684487">
        <w:rPr>
          <w:rFonts w:ascii="Times New Roman" w:hAnsi="Times New Roman" w:cs="Times New Roman"/>
        </w:rPr>
        <w:t xml:space="preserve"> </w:t>
      </w:r>
      <w:r w:rsidR="00837F5C" w:rsidRPr="00684487">
        <w:rPr>
          <w:rFonts w:ascii="Times New Roman" w:hAnsi="Times New Roman" w:cs="Times New Roman"/>
        </w:rPr>
        <w:t>so</w:t>
      </w:r>
      <w:r w:rsidR="00E66FB9" w:rsidRPr="00684487">
        <w:rPr>
          <w:rFonts w:ascii="Times New Roman" w:hAnsi="Times New Roman" w:cs="Times New Roman"/>
        </w:rPr>
        <w:t xml:space="preserve"> long as the process does not preclude GAA use</w:t>
      </w:r>
      <w:r w:rsidR="00F84788" w:rsidRPr="00684487">
        <w:rPr>
          <w:rFonts w:ascii="Times New Roman" w:hAnsi="Times New Roman" w:cs="Times New Roman"/>
        </w:rPr>
        <w:t>, which it does not</w:t>
      </w:r>
      <w:r w:rsidR="00E66FB9" w:rsidRPr="00684487">
        <w:rPr>
          <w:rFonts w:ascii="Times New Roman" w:hAnsi="Times New Roman" w:cs="Times New Roman"/>
        </w:rPr>
        <w:t xml:space="preserve">. </w:t>
      </w:r>
    </w:p>
    <w:p w14:paraId="680EAA37" w14:textId="4B27E0B6" w:rsidR="004A1389" w:rsidRPr="00684487" w:rsidRDefault="00E66FB9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 </w:t>
      </w:r>
    </w:p>
    <w:p w14:paraId="15A4FE03" w14:textId="3C26C20C" w:rsidR="00046975" w:rsidRDefault="00F84788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The arguments put forth against </w:t>
      </w:r>
      <w:r w:rsidR="00E66FB9" w:rsidRPr="00684487">
        <w:rPr>
          <w:rFonts w:ascii="Times New Roman" w:hAnsi="Times New Roman" w:cs="Times New Roman"/>
        </w:rPr>
        <w:t>resolving this issue</w:t>
      </w:r>
      <w:r w:rsidRPr="00684487">
        <w:rPr>
          <w:rFonts w:ascii="Times New Roman" w:hAnsi="Times New Roman" w:cs="Times New Roman"/>
        </w:rPr>
        <w:t xml:space="preserve"> are not compelling.</w:t>
      </w:r>
      <w:r w:rsidR="00E66FB9" w:rsidRPr="00684487">
        <w:rPr>
          <w:rFonts w:ascii="Times New Roman" w:hAnsi="Times New Roman" w:cs="Times New Roman"/>
        </w:rPr>
        <w:t xml:space="preserve">  </w:t>
      </w:r>
      <w:r w:rsidRPr="00684487">
        <w:rPr>
          <w:rFonts w:ascii="Times New Roman" w:hAnsi="Times New Roman" w:cs="Times New Roman"/>
        </w:rPr>
        <w:t xml:space="preserve">A lack of multiple auction participants does not mean </w:t>
      </w:r>
      <w:r w:rsidR="00E66FB9" w:rsidRPr="00684487">
        <w:rPr>
          <w:rFonts w:ascii="Times New Roman" w:hAnsi="Times New Roman" w:cs="Times New Roman"/>
        </w:rPr>
        <w:t xml:space="preserve">that </w:t>
      </w:r>
      <w:r w:rsidR="00CE6BDA" w:rsidRPr="00684487">
        <w:rPr>
          <w:rFonts w:ascii="Times New Roman" w:hAnsi="Times New Roman" w:cs="Times New Roman"/>
        </w:rPr>
        <w:t xml:space="preserve">the available </w:t>
      </w:r>
      <w:r w:rsidR="00A159BC" w:rsidRPr="00684487">
        <w:rPr>
          <w:rFonts w:ascii="Times New Roman" w:hAnsi="Times New Roman" w:cs="Times New Roman"/>
        </w:rPr>
        <w:t>GAA</w:t>
      </w:r>
      <w:r w:rsidR="00E66FB9" w:rsidRPr="00684487">
        <w:rPr>
          <w:rFonts w:ascii="Times New Roman" w:hAnsi="Times New Roman" w:cs="Times New Roman"/>
        </w:rPr>
        <w:t xml:space="preserve"> spectrum </w:t>
      </w:r>
      <w:r w:rsidR="00CE6BDA" w:rsidRPr="00684487">
        <w:rPr>
          <w:rFonts w:ascii="Times New Roman" w:hAnsi="Times New Roman" w:cs="Times New Roman"/>
        </w:rPr>
        <w:t>is sufficient</w:t>
      </w:r>
      <w:r w:rsidR="00E66FB9" w:rsidRPr="00684487">
        <w:rPr>
          <w:rFonts w:ascii="Times New Roman" w:hAnsi="Times New Roman" w:cs="Times New Roman"/>
        </w:rPr>
        <w:t xml:space="preserve"> </w:t>
      </w:r>
      <w:r w:rsidR="00A159BC" w:rsidRPr="00684487">
        <w:rPr>
          <w:rFonts w:ascii="Times New Roman" w:hAnsi="Times New Roman" w:cs="Times New Roman"/>
        </w:rPr>
        <w:t>to meet everyone’s needs and</w:t>
      </w:r>
      <w:r w:rsidRPr="00684487">
        <w:rPr>
          <w:rFonts w:ascii="Times New Roman" w:hAnsi="Times New Roman" w:cs="Times New Roman"/>
        </w:rPr>
        <w:t>,</w:t>
      </w:r>
      <w:r w:rsidR="00A159BC" w:rsidRPr="00684487">
        <w:rPr>
          <w:rFonts w:ascii="Times New Roman" w:hAnsi="Times New Roman" w:cs="Times New Roman"/>
        </w:rPr>
        <w:t xml:space="preserve"> therefore</w:t>
      </w:r>
      <w:r w:rsidRPr="00684487">
        <w:rPr>
          <w:rFonts w:ascii="Times New Roman" w:hAnsi="Times New Roman" w:cs="Times New Roman"/>
        </w:rPr>
        <w:t>,</w:t>
      </w:r>
      <w:r w:rsidR="00A159BC" w:rsidRPr="00684487">
        <w:rPr>
          <w:rFonts w:ascii="Times New Roman" w:hAnsi="Times New Roman" w:cs="Times New Roman"/>
        </w:rPr>
        <w:t xml:space="preserve"> PALs are not necessary.  </w:t>
      </w:r>
      <w:r w:rsidRPr="00684487">
        <w:rPr>
          <w:rFonts w:ascii="Times New Roman" w:hAnsi="Times New Roman" w:cs="Times New Roman"/>
        </w:rPr>
        <w:t xml:space="preserve">Different business models </w:t>
      </w:r>
      <w:r w:rsidR="00837F5C" w:rsidRPr="00684487">
        <w:rPr>
          <w:rFonts w:ascii="Times New Roman" w:hAnsi="Times New Roman" w:cs="Times New Roman"/>
        </w:rPr>
        <w:t>have</w:t>
      </w:r>
      <w:r w:rsidRPr="00684487">
        <w:rPr>
          <w:rFonts w:ascii="Times New Roman" w:hAnsi="Times New Roman" w:cs="Times New Roman"/>
        </w:rPr>
        <w:t xml:space="preserve"> different spectrum needs</w:t>
      </w:r>
      <w:r w:rsidR="002B3F4A" w:rsidRPr="00684487">
        <w:rPr>
          <w:rFonts w:ascii="Times New Roman" w:hAnsi="Times New Roman" w:cs="Times New Roman"/>
        </w:rPr>
        <w:t>.</w:t>
      </w:r>
      <w:r w:rsidRPr="00684487">
        <w:rPr>
          <w:rFonts w:ascii="Times New Roman" w:hAnsi="Times New Roman" w:cs="Times New Roman"/>
        </w:rPr>
        <w:t xml:space="preserve">  Some entities may be fine with GAA spectrum while others need quality and availability assurance.  I</w:t>
      </w:r>
      <w:r w:rsidR="00A159BC" w:rsidRPr="00684487">
        <w:rPr>
          <w:rFonts w:ascii="Times New Roman" w:hAnsi="Times New Roman" w:cs="Times New Roman"/>
        </w:rPr>
        <w:t xml:space="preserve">ssuing PALs </w:t>
      </w:r>
      <w:r w:rsidRPr="00684487">
        <w:rPr>
          <w:rFonts w:ascii="Times New Roman" w:hAnsi="Times New Roman" w:cs="Times New Roman"/>
        </w:rPr>
        <w:t>to</w:t>
      </w:r>
      <w:r w:rsidR="00A159BC" w:rsidRPr="00684487">
        <w:rPr>
          <w:rFonts w:ascii="Times New Roman" w:hAnsi="Times New Roman" w:cs="Times New Roman"/>
        </w:rPr>
        <w:t xml:space="preserve"> one entity </w:t>
      </w:r>
      <w:r w:rsidR="00F04A9B" w:rsidRPr="00684487">
        <w:rPr>
          <w:rFonts w:ascii="Times New Roman" w:hAnsi="Times New Roman" w:cs="Times New Roman"/>
        </w:rPr>
        <w:t>will also not lead to</w:t>
      </w:r>
      <w:r w:rsidR="00A159BC" w:rsidRPr="00684487">
        <w:rPr>
          <w:rFonts w:ascii="Times New Roman" w:hAnsi="Times New Roman" w:cs="Times New Roman"/>
        </w:rPr>
        <w:t xml:space="preserve"> </w:t>
      </w:r>
      <w:r w:rsidR="00F04A9B" w:rsidRPr="00684487">
        <w:rPr>
          <w:rFonts w:ascii="Times New Roman" w:hAnsi="Times New Roman" w:cs="Times New Roman"/>
        </w:rPr>
        <w:t>inefficiencies or</w:t>
      </w:r>
      <w:r w:rsidR="00A159BC" w:rsidRPr="00684487">
        <w:rPr>
          <w:rFonts w:ascii="Times New Roman" w:hAnsi="Times New Roman" w:cs="Times New Roman"/>
        </w:rPr>
        <w:t xml:space="preserve"> spectrum warehousing</w:t>
      </w:r>
      <w:r w:rsidR="00F04A9B" w:rsidRPr="00684487">
        <w:rPr>
          <w:rFonts w:ascii="Times New Roman" w:hAnsi="Times New Roman" w:cs="Times New Roman"/>
        </w:rPr>
        <w:t xml:space="preserve">, as any </w:t>
      </w:r>
      <w:r w:rsidR="00A159BC" w:rsidRPr="00684487">
        <w:rPr>
          <w:rFonts w:ascii="Times New Roman" w:hAnsi="Times New Roman" w:cs="Times New Roman"/>
        </w:rPr>
        <w:t xml:space="preserve">spectrum </w:t>
      </w:r>
      <w:r w:rsidR="00F04A9B" w:rsidRPr="00684487">
        <w:rPr>
          <w:rFonts w:ascii="Times New Roman" w:hAnsi="Times New Roman" w:cs="Times New Roman"/>
        </w:rPr>
        <w:t xml:space="preserve">that is not “in use” by a Priority Access licensee </w:t>
      </w:r>
      <w:r w:rsidR="00A159BC" w:rsidRPr="00684487">
        <w:rPr>
          <w:rFonts w:ascii="Times New Roman" w:hAnsi="Times New Roman" w:cs="Times New Roman"/>
        </w:rPr>
        <w:t xml:space="preserve">can be accessed by GAA </w:t>
      </w:r>
      <w:r w:rsidR="00C94851" w:rsidRPr="00684487">
        <w:rPr>
          <w:rFonts w:ascii="Times New Roman" w:hAnsi="Times New Roman" w:cs="Times New Roman"/>
        </w:rPr>
        <w:t xml:space="preserve">so it doesn’t </w:t>
      </w:r>
      <w:r w:rsidR="001B317C" w:rsidRPr="00684487">
        <w:rPr>
          <w:rFonts w:ascii="Times New Roman" w:hAnsi="Times New Roman" w:cs="Times New Roman"/>
        </w:rPr>
        <w:t xml:space="preserve">necessarily </w:t>
      </w:r>
      <w:r w:rsidR="00C94851" w:rsidRPr="00684487">
        <w:rPr>
          <w:rFonts w:ascii="Times New Roman" w:hAnsi="Times New Roman" w:cs="Times New Roman"/>
        </w:rPr>
        <w:t>lay fallow</w:t>
      </w:r>
      <w:r w:rsidR="00A159BC" w:rsidRPr="00684487">
        <w:rPr>
          <w:rFonts w:ascii="Times New Roman" w:hAnsi="Times New Roman" w:cs="Times New Roman"/>
        </w:rPr>
        <w:t xml:space="preserve">.  </w:t>
      </w:r>
      <w:r w:rsidR="007F2A0E" w:rsidRPr="00684487">
        <w:rPr>
          <w:rFonts w:ascii="Times New Roman" w:hAnsi="Times New Roman" w:cs="Times New Roman"/>
        </w:rPr>
        <w:t xml:space="preserve">Another argument is that multiple </w:t>
      </w:r>
      <w:r w:rsidR="00CE6BDA" w:rsidRPr="00684487">
        <w:rPr>
          <w:rFonts w:ascii="Times New Roman" w:hAnsi="Times New Roman" w:cs="Times New Roman"/>
        </w:rPr>
        <w:t xml:space="preserve">auction </w:t>
      </w:r>
      <w:r w:rsidR="007F2A0E" w:rsidRPr="00684487">
        <w:rPr>
          <w:rFonts w:ascii="Times New Roman" w:hAnsi="Times New Roman" w:cs="Times New Roman"/>
        </w:rPr>
        <w:t xml:space="preserve">applicants </w:t>
      </w:r>
      <w:r w:rsidR="00C7690A" w:rsidRPr="00684487">
        <w:rPr>
          <w:rFonts w:ascii="Times New Roman" w:hAnsi="Times New Roman" w:cs="Times New Roman"/>
        </w:rPr>
        <w:t xml:space="preserve">in a market </w:t>
      </w:r>
      <w:r w:rsidR="007F2A0E" w:rsidRPr="00684487">
        <w:rPr>
          <w:rFonts w:ascii="Times New Roman" w:hAnsi="Times New Roman" w:cs="Times New Roman"/>
        </w:rPr>
        <w:t xml:space="preserve">are likely, because established wireless providers tend to look for nationwide footprints.  However, this is an “experiment” not a standard auction for exclusive use licenses, and I </w:t>
      </w:r>
      <w:r w:rsidR="00CE6BDA" w:rsidRPr="00684487">
        <w:rPr>
          <w:rFonts w:ascii="Times New Roman" w:hAnsi="Times New Roman" w:cs="Times New Roman"/>
        </w:rPr>
        <w:t>am not convinced</w:t>
      </w:r>
      <w:r w:rsidR="007F2A0E" w:rsidRPr="00684487">
        <w:rPr>
          <w:rFonts w:ascii="Times New Roman" w:hAnsi="Times New Roman" w:cs="Times New Roman"/>
        </w:rPr>
        <w:t xml:space="preserve"> the licensing rules will entice providers to </w:t>
      </w:r>
      <w:r w:rsidR="007F2A0E" w:rsidRPr="00684487">
        <w:rPr>
          <w:rFonts w:ascii="Times New Roman" w:hAnsi="Times New Roman" w:cs="Times New Roman"/>
        </w:rPr>
        <w:lastRenderedPageBreak/>
        <w:t>express interest in multiple PAL</w:t>
      </w:r>
      <w:r w:rsidR="00DD3CDC" w:rsidRPr="00684487">
        <w:rPr>
          <w:rFonts w:ascii="Times New Roman" w:hAnsi="Times New Roman" w:cs="Times New Roman"/>
        </w:rPr>
        <w:t>s</w:t>
      </w:r>
      <w:r w:rsidR="007F2A0E" w:rsidRPr="00684487">
        <w:rPr>
          <w:rFonts w:ascii="Times New Roman" w:hAnsi="Times New Roman" w:cs="Times New Roman"/>
        </w:rPr>
        <w:t xml:space="preserve"> in </w:t>
      </w:r>
      <w:r w:rsidR="0033008E" w:rsidRPr="00684487">
        <w:rPr>
          <w:rFonts w:ascii="Times New Roman" w:hAnsi="Times New Roman" w:cs="Times New Roman"/>
        </w:rPr>
        <w:t xml:space="preserve">more than </w:t>
      </w:r>
      <w:r w:rsidR="007F2A0E" w:rsidRPr="00684487">
        <w:rPr>
          <w:rFonts w:ascii="Times New Roman" w:hAnsi="Times New Roman" w:cs="Times New Roman"/>
        </w:rPr>
        <w:t xml:space="preserve">74,000 census tracts.  </w:t>
      </w:r>
      <w:r w:rsidR="00A159BC" w:rsidRPr="00684487">
        <w:rPr>
          <w:rFonts w:ascii="Times New Roman" w:hAnsi="Times New Roman" w:cs="Times New Roman"/>
        </w:rPr>
        <w:t xml:space="preserve">Finally, </w:t>
      </w:r>
      <w:r w:rsidR="001932C8" w:rsidRPr="00684487">
        <w:rPr>
          <w:rFonts w:ascii="Times New Roman" w:hAnsi="Times New Roman" w:cs="Times New Roman"/>
        </w:rPr>
        <w:t>the argument has been made that</w:t>
      </w:r>
      <w:r w:rsidR="00A159BC" w:rsidRPr="00684487">
        <w:rPr>
          <w:rFonts w:ascii="Times New Roman" w:hAnsi="Times New Roman" w:cs="Times New Roman"/>
        </w:rPr>
        <w:t xml:space="preserve"> priority access </w:t>
      </w:r>
      <w:r w:rsidR="001932C8" w:rsidRPr="00684487">
        <w:rPr>
          <w:rFonts w:ascii="Times New Roman" w:hAnsi="Times New Roman" w:cs="Times New Roman"/>
        </w:rPr>
        <w:t xml:space="preserve">should not be permitted </w:t>
      </w:r>
      <w:r w:rsidR="00A159BC" w:rsidRPr="00684487">
        <w:rPr>
          <w:rFonts w:ascii="Times New Roman" w:hAnsi="Times New Roman" w:cs="Times New Roman"/>
        </w:rPr>
        <w:t>for free</w:t>
      </w:r>
      <w:r w:rsidR="009B2149" w:rsidRPr="00684487">
        <w:rPr>
          <w:rFonts w:ascii="Times New Roman" w:hAnsi="Times New Roman" w:cs="Times New Roman"/>
        </w:rPr>
        <w:t>.  But as I and others have stated,</w:t>
      </w:r>
      <w:r w:rsidR="0075120A" w:rsidRPr="00684487">
        <w:rPr>
          <w:rStyle w:val="FootnoteReference"/>
          <w:rFonts w:ascii="Times New Roman" w:hAnsi="Times New Roman" w:cs="Times New Roman"/>
        </w:rPr>
        <w:footnoteReference w:id="4"/>
      </w:r>
      <w:r w:rsidR="009B2149" w:rsidRPr="00684487">
        <w:rPr>
          <w:rFonts w:ascii="Times New Roman" w:hAnsi="Times New Roman" w:cs="Times New Roman"/>
        </w:rPr>
        <w:t xml:space="preserve"> </w:t>
      </w:r>
      <w:r w:rsidR="00F04A9B" w:rsidRPr="00684487">
        <w:rPr>
          <w:rFonts w:ascii="Times New Roman" w:hAnsi="Times New Roman" w:cs="Times New Roman"/>
        </w:rPr>
        <w:t xml:space="preserve">we </w:t>
      </w:r>
      <w:r w:rsidR="000C449C" w:rsidRPr="00684487">
        <w:rPr>
          <w:rFonts w:ascii="Times New Roman" w:hAnsi="Times New Roman" w:cs="Times New Roman"/>
        </w:rPr>
        <w:t>can</w:t>
      </w:r>
      <w:r w:rsidR="00F04A9B" w:rsidRPr="00684487">
        <w:rPr>
          <w:rFonts w:ascii="Times New Roman" w:hAnsi="Times New Roman" w:cs="Times New Roman"/>
        </w:rPr>
        <w:t xml:space="preserve"> use our </w:t>
      </w:r>
      <w:r w:rsidR="00CE6BDA" w:rsidRPr="00684487">
        <w:rPr>
          <w:rFonts w:ascii="Times New Roman" w:hAnsi="Times New Roman" w:cs="Times New Roman"/>
        </w:rPr>
        <w:t xml:space="preserve">well-established </w:t>
      </w:r>
      <w:r w:rsidR="00F04A9B" w:rsidRPr="00684487">
        <w:rPr>
          <w:rFonts w:ascii="Times New Roman" w:hAnsi="Times New Roman" w:cs="Times New Roman"/>
        </w:rPr>
        <w:t>auction processes</w:t>
      </w:r>
      <w:r w:rsidR="00C94851" w:rsidRPr="00684487">
        <w:rPr>
          <w:rFonts w:ascii="Times New Roman" w:hAnsi="Times New Roman" w:cs="Times New Roman"/>
        </w:rPr>
        <w:t xml:space="preserve"> to </w:t>
      </w:r>
      <w:r w:rsidR="00F04A9B" w:rsidRPr="00684487">
        <w:rPr>
          <w:rFonts w:ascii="Times New Roman" w:hAnsi="Times New Roman" w:cs="Times New Roman"/>
        </w:rPr>
        <w:t>re</w:t>
      </w:r>
      <w:r w:rsidR="00C94851" w:rsidRPr="00684487">
        <w:rPr>
          <w:rFonts w:ascii="Times New Roman" w:hAnsi="Times New Roman" w:cs="Times New Roman"/>
        </w:rPr>
        <w:t>solve this issue</w:t>
      </w:r>
      <w:r w:rsidR="009B2149" w:rsidRPr="00684487">
        <w:rPr>
          <w:rFonts w:ascii="Times New Roman" w:hAnsi="Times New Roman" w:cs="Times New Roman"/>
        </w:rPr>
        <w:t>.</w:t>
      </w:r>
    </w:p>
    <w:p w14:paraId="53E476F7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EB4BB31" w14:textId="77777777" w:rsidR="00684487" w:rsidRDefault="009B2149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Unfortunately, some at the Commission have decided that the </w:t>
      </w:r>
      <w:r w:rsidR="002B3F4A" w:rsidRPr="00684487">
        <w:rPr>
          <w:rFonts w:ascii="Times New Roman" w:hAnsi="Times New Roman" w:cs="Times New Roman"/>
        </w:rPr>
        <w:t>statute</w:t>
      </w:r>
      <w:r w:rsidRPr="00684487">
        <w:rPr>
          <w:rFonts w:ascii="Times New Roman" w:hAnsi="Times New Roman" w:cs="Times New Roman"/>
        </w:rPr>
        <w:t xml:space="preserve"> prevents this.</w:t>
      </w:r>
      <w:r w:rsidR="00650D29" w:rsidRPr="00684487">
        <w:rPr>
          <w:rStyle w:val="FootnoteReference"/>
          <w:rFonts w:ascii="Times New Roman" w:hAnsi="Times New Roman" w:cs="Times New Roman"/>
        </w:rPr>
        <w:footnoteReference w:id="5"/>
      </w:r>
      <w:r w:rsidR="006061D4" w:rsidRPr="00684487">
        <w:rPr>
          <w:rFonts w:ascii="Times New Roman" w:hAnsi="Times New Roman" w:cs="Times New Roman"/>
        </w:rPr>
        <w:t xml:space="preserve">  </w:t>
      </w:r>
      <w:r w:rsidR="00C414E0" w:rsidRPr="00684487">
        <w:rPr>
          <w:rFonts w:ascii="Times New Roman" w:hAnsi="Times New Roman" w:cs="Times New Roman"/>
        </w:rPr>
        <w:t>However, there is a good argument to be made that a PAL is</w:t>
      </w:r>
      <w:r w:rsidR="00DD3CDC" w:rsidRPr="00684487">
        <w:rPr>
          <w:rFonts w:ascii="Times New Roman" w:hAnsi="Times New Roman" w:cs="Times New Roman"/>
        </w:rPr>
        <w:t>,</w:t>
      </w:r>
      <w:r w:rsidR="00C414E0" w:rsidRPr="00684487">
        <w:rPr>
          <w:rFonts w:ascii="Times New Roman" w:hAnsi="Times New Roman" w:cs="Times New Roman"/>
        </w:rPr>
        <w:t xml:space="preserve"> by its very nature</w:t>
      </w:r>
      <w:r w:rsidR="00DD3CDC" w:rsidRPr="00684487">
        <w:rPr>
          <w:rFonts w:ascii="Times New Roman" w:hAnsi="Times New Roman" w:cs="Times New Roman"/>
        </w:rPr>
        <w:t>,</w:t>
      </w:r>
      <w:r w:rsidR="00C414E0" w:rsidRPr="00684487">
        <w:rPr>
          <w:rFonts w:ascii="Times New Roman" w:hAnsi="Times New Roman" w:cs="Times New Roman"/>
        </w:rPr>
        <w:t xml:space="preserve"> mutually exclusive to GAA use</w:t>
      </w:r>
      <w:r w:rsidR="0033008E" w:rsidRPr="00684487">
        <w:rPr>
          <w:rFonts w:ascii="Times New Roman" w:hAnsi="Times New Roman" w:cs="Times New Roman"/>
        </w:rPr>
        <w:t xml:space="preserve">, </w:t>
      </w:r>
      <w:r w:rsidR="001932C8" w:rsidRPr="00684487">
        <w:rPr>
          <w:rFonts w:ascii="Times New Roman" w:hAnsi="Times New Roman" w:cs="Times New Roman"/>
        </w:rPr>
        <w:t xml:space="preserve">because </w:t>
      </w:r>
      <w:r w:rsidR="00C414E0" w:rsidRPr="00684487">
        <w:rPr>
          <w:rFonts w:ascii="Times New Roman" w:hAnsi="Times New Roman" w:cs="Times New Roman"/>
        </w:rPr>
        <w:t>these license</w:t>
      </w:r>
      <w:r w:rsidR="00837F5C" w:rsidRPr="00684487">
        <w:rPr>
          <w:rFonts w:ascii="Times New Roman" w:hAnsi="Times New Roman" w:cs="Times New Roman"/>
        </w:rPr>
        <w:t xml:space="preserve"> type</w:t>
      </w:r>
      <w:r w:rsidR="00C414E0" w:rsidRPr="00684487">
        <w:rPr>
          <w:rFonts w:ascii="Times New Roman" w:hAnsi="Times New Roman" w:cs="Times New Roman"/>
        </w:rPr>
        <w:t xml:space="preserve">s cannot coexist on the same frequencies.  </w:t>
      </w:r>
    </w:p>
    <w:p w14:paraId="76D61CE3" w14:textId="767E425B" w:rsidR="002B3F4A" w:rsidRPr="00684487" w:rsidRDefault="00650D29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  </w:t>
      </w:r>
    </w:p>
    <w:p w14:paraId="1CAFB3C2" w14:textId="3F094B27" w:rsidR="002B3F4A" w:rsidRDefault="001932C8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And t</w:t>
      </w:r>
      <w:r w:rsidR="002B3F4A" w:rsidRPr="00684487">
        <w:rPr>
          <w:rFonts w:ascii="Times New Roman" w:hAnsi="Times New Roman" w:cs="Times New Roman"/>
        </w:rPr>
        <w:t>his</w:t>
      </w:r>
      <w:r w:rsidRPr="00684487">
        <w:rPr>
          <w:rFonts w:ascii="Times New Roman" w:hAnsi="Times New Roman" w:cs="Times New Roman"/>
        </w:rPr>
        <w:t xml:space="preserve"> point</w:t>
      </w:r>
      <w:r w:rsidR="002B3F4A" w:rsidRPr="00684487">
        <w:rPr>
          <w:rFonts w:ascii="Times New Roman" w:hAnsi="Times New Roman" w:cs="Times New Roman"/>
        </w:rPr>
        <w:t xml:space="preserve"> is consistent with our decision </w:t>
      </w:r>
      <w:r w:rsidR="00CE6BDA" w:rsidRPr="00684487">
        <w:rPr>
          <w:rFonts w:ascii="Times New Roman" w:hAnsi="Times New Roman" w:cs="Times New Roman"/>
        </w:rPr>
        <w:t>in the Incentive Auction o</w:t>
      </w:r>
      <w:r w:rsidR="00225758" w:rsidRPr="00684487">
        <w:rPr>
          <w:rFonts w:ascii="Times New Roman" w:hAnsi="Times New Roman" w:cs="Times New Roman"/>
        </w:rPr>
        <w:t xml:space="preserve">rder that </w:t>
      </w:r>
      <w:r w:rsidR="002B3F4A" w:rsidRPr="00684487">
        <w:rPr>
          <w:rFonts w:ascii="Times New Roman" w:hAnsi="Times New Roman" w:cs="Times New Roman"/>
        </w:rPr>
        <w:t xml:space="preserve">only </w:t>
      </w:r>
      <w:r w:rsidR="00225758" w:rsidRPr="00684487">
        <w:rPr>
          <w:rFonts w:ascii="Times New Roman" w:hAnsi="Times New Roman" w:cs="Times New Roman"/>
        </w:rPr>
        <w:t xml:space="preserve">one </w:t>
      </w:r>
      <w:r w:rsidR="002B3F4A" w:rsidRPr="00684487">
        <w:rPr>
          <w:rFonts w:ascii="Times New Roman" w:hAnsi="Times New Roman" w:cs="Times New Roman"/>
        </w:rPr>
        <w:t>application for a license</w:t>
      </w:r>
      <w:r w:rsidR="00225758" w:rsidRPr="00684487">
        <w:rPr>
          <w:rFonts w:ascii="Times New Roman" w:hAnsi="Times New Roman" w:cs="Times New Roman"/>
        </w:rPr>
        <w:t xml:space="preserve"> </w:t>
      </w:r>
      <w:r w:rsidR="0033008E" w:rsidRPr="00684487">
        <w:rPr>
          <w:rFonts w:ascii="Times New Roman" w:hAnsi="Times New Roman" w:cs="Times New Roman"/>
        </w:rPr>
        <w:t xml:space="preserve">is </w:t>
      </w:r>
      <w:r w:rsidR="00225758" w:rsidRPr="00684487">
        <w:rPr>
          <w:rFonts w:ascii="Times New Roman" w:hAnsi="Times New Roman" w:cs="Times New Roman"/>
        </w:rPr>
        <w:t>sufficient to meet our mutual exclusivity rules.</w:t>
      </w:r>
      <w:r w:rsidR="00225758" w:rsidRPr="00684487">
        <w:rPr>
          <w:rStyle w:val="FootnoteReference"/>
          <w:rFonts w:ascii="Times New Roman" w:hAnsi="Times New Roman" w:cs="Times New Roman"/>
        </w:rPr>
        <w:footnoteReference w:id="6"/>
      </w:r>
      <w:r w:rsidR="00225758" w:rsidRPr="00684487">
        <w:rPr>
          <w:rFonts w:ascii="Times New Roman" w:hAnsi="Times New Roman" w:cs="Times New Roman"/>
        </w:rPr>
        <w:t xml:space="preserve">  </w:t>
      </w:r>
      <w:r w:rsidR="002B3F4A" w:rsidRPr="00684487">
        <w:rPr>
          <w:rFonts w:ascii="Times New Roman" w:hAnsi="Times New Roman" w:cs="Times New Roman"/>
        </w:rPr>
        <w:t>In coming to this decision, o</w:t>
      </w:r>
      <w:r w:rsidR="00225758" w:rsidRPr="00684487">
        <w:rPr>
          <w:rFonts w:ascii="Times New Roman" w:hAnsi="Times New Roman" w:cs="Times New Roman"/>
        </w:rPr>
        <w:t>ne of the justificatio</w:t>
      </w:r>
      <w:r w:rsidR="00181DED" w:rsidRPr="00684487">
        <w:rPr>
          <w:rFonts w:ascii="Times New Roman" w:hAnsi="Times New Roman" w:cs="Times New Roman"/>
        </w:rPr>
        <w:t xml:space="preserve">ns was that broadcast and wireless use </w:t>
      </w:r>
      <w:r w:rsidR="00CE6BDA" w:rsidRPr="00684487">
        <w:rPr>
          <w:rFonts w:ascii="Times New Roman" w:hAnsi="Times New Roman" w:cs="Times New Roman"/>
        </w:rPr>
        <w:t>are</w:t>
      </w:r>
      <w:r w:rsidR="00181DED" w:rsidRPr="00684487">
        <w:rPr>
          <w:rFonts w:ascii="Times New Roman" w:hAnsi="Times New Roman" w:cs="Times New Roman"/>
        </w:rPr>
        <w:t xml:space="preserve"> mutually exclusive.</w:t>
      </w:r>
      <w:r w:rsidR="00181DED" w:rsidRPr="00684487">
        <w:rPr>
          <w:rStyle w:val="FootnoteReference"/>
          <w:rFonts w:ascii="Times New Roman" w:hAnsi="Times New Roman" w:cs="Times New Roman"/>
        </w:rPr>
        <w:footnoteReference w:id="7"/>
      </w:r>
      <w:r w:rsidR="00181DED" w:rsidRPr="00684487">
        <w:rPr>
          <w:rFonts w:ascii="Times New Roman" w:hAnsi="Times New Roman" w:cs="Times New Roman"/>
        </w:rPr>
        <w:t xml:space="preserve"> </w:t>
      </w:r>
      <w:r w:rsidR="00CE6BDA" w:rsidRPr="00684487">
        <w:rPr>
          <w:rFonts w:ascii="Times New Roman" w:hAnsi="Times New Roman" w:cs="Times New Roman"/>
        </w:rPr>
        <w:t xml:space="preserve"> While some may argue that the Incentive A</w:t>
      </w:r>
      <w:r w:rsidR="00181DED" w:rsidRPr="00684487">
        <w:rPr>
          <w:rFonts w:ascii="Times New Roman" w:hAnsi="Times New Roman" w:cs="Times New Roman"/>
        </w:rPr>
        <w:t xml:space="preserve">uction is </w:t>
      </w:r>
      <w:r w:rsidR="00CE6BDA" w:rsidRPr="00684487">
        <w:rPr>
          <w:rFonts w:ascii="Times New Roman" w:hAnsi="Times New Roman" w:cs="Times New Roman"/>
        </w:rPr>
        <w:t>unique</w:t>
      </w:r>
      <w:r w:rsidR="00181DED" w:rsidRPr="00684487">
        <w:rPr>
          <w:rFonts w:ascii="Times New Roman" w:hAnsi="Times New Roman" w:cs="Times New Roman"/>
        </w:rPr>
        <w:t xml:space="preserve"> because it was mandated by </w:t>
      </w:r>
      <w:r w:rsidR="001B317C" w:rsidRPr="00684487">
        <w:rPr>
          <w:rFonts w:ascii="Times New Roman" w:hAnsi="Times New Roman" w:cs="Times New Roman"/>
        </w:rPr>
        <w:t>law</w:t>
      </w:r>
      <w:r w:rsidR="00181DED" w:rsidRPr="00684487">
        <w:rPr>
          <w:rFonts w:ascii="Times New Roman" w:hAnsi="Times New Roman" w:cs="Times New Roman"/>
        </w:rPr>
        <w:t xml:space="preserve">, Congress did not change our rules </w:t>
      </w:r>
      <w:r w:rsidR="00CE6BDA" w:rsidRPr="00684487">
        <w:rPr>
          <w:rFonts w:ascii="Times New Roman" w:hAnsi="Times New Roman" w:cs="Times New Roman"/>
        </w:rPr>
        <w:t>in</w:t>
      </w:r>
      <w:r w:rsidR="00181DED" w:rsidRPr="00684487">
        <w:rPr>
          <w:rFonts w:ascii="Times New Roman" w:hAnsi="Times New Roman" w:cs="Times New Roman"/>
        </w:rPr>
        <w:t xml:space="preserve"> regard to how we conduct our </w:t>
      </w:r>
      <w:r w:rsidR="002B3F4A" w:rsidRPr="00684487">
        <w:rPr>
          <w:rFonts w:ascii="Times New Roman" w:hAnsi="Times New Roman" w:cs="Times New Roman"/>
        </w:rPr>
        <w:t xml:space="preserve">forward </w:t>
      </w:r>
      <w:r w:rsidR="00181DED" w:rsidRPr="00684487">
        <w:rPr>
          <w:rFonts w:ascii="Times New Roman" w:hAnsi="Times New Roman" w:cs="Times New Roman"/>
        </w:rPr>
        <w:t xml:space="preserve">auctions.  </w:t>
      </w:r>
      <w:r w:rsidR="00837F5C" w:rsidRPr="00684487">
        <w:rPr>
          <w:rFonts w:ascii="Times New Roman" w:hAnsi="Times New Roman" w:cs="Times New Roman"/>
        </w:rPr>
        <w:t xml:space="preserve">The </w:t>
      </w:r>
      <w:r w:rsidR="00C16E90" w:rsidRPr="00684487">
        <w:rPr>
          <w:rFonts w:ascii="Times New Roman" w:hAnsi="Times New Roman" w:cs="Times New Roman"/>
        </w:rPr>
        <w:t xml:space="preserve">Spectrum Act </w:t>
      </w:r>
      <w:r w:rsidR="00837F5C" w:rsidRPr="00684487">
        <w:rPr>
          <w:rFonts w:ascii="Times New Roman" w:hAnsi="Times New Roman" w:cs="Times New Roman"/>
        </w:rPr>
        <w:t>says that</w:t>
      </w:r>
      <w:r w:rsidR="00181DED" w:rsidRPr="00684487">
        <w:rPr>
          <w:rFonts w:ascii="Times New Roman" w:hAnsi="Times New Roman" w:cs="Times New Roman"/>
        </w:rPr>
        <w:t xml:space="preserve"> spectrum </w:t>
      </w:r>
      <w:r w:rsidR="00682BD4" w:rsidRPr="00684487">
        <w:rPr>
          <w:rFonts w:ascii="Times New Roman" w:hAnsi="Times New Roman" w:cs="Times New Roman"/>
        </w:rPr>
        <w:t>should be allocated</w:t>
      </w:r>
      <w:r w:rsidR="00B85CB2" w:rsidRPr="00684487">
        <w:rPr>
          <w:rFonts w:ascii="Times New Roman" w:hAnsi="Times New Roman" w:cs="Times New Roman"/>
        </w:rPr>
        <w:t xml:space="preserve"> for wireless use</w:t>
      </w:r>
      <w:r w:rsidR="00682BD4" w:rsidRPr="00684487">
        <w:rPr>
          <w:rFonts w:ascii="Times New Roman" w:hAnsi="Times New Roman" w:cs="Times New Roman"/>
        </w:rPr>
        <w:t xml:space="preserve"> “through a system of competitive bidding under [309(j)]”</w:t>
      </w:r>
      <w:r w:rsidR="00682BD4" w:rsidRPr="00684487">
        <w:rPr>
          <w:rStyle w:val="FootnoteReference"/>
          <w:rFonts w:ascii="Times New Roman" w:hAnsi="Times New Roman" w:cs="Times New Roman"/>
        </w:rPr>
        <w:footnoteReference w:id="8"/>
      </w:r>
      <w:r w:rsidR="00CE6BDA" w:rsidRPr="00684487">
        <w:rPr>
          <w:rFonts w:ascii="Times New Roman" w:hAnsi="Times New Roman" w:cs="Times New Roman"/>
        </w:rPr>
        <w:t xml:space="preserve"> and that auction revenues should be used</w:t>
      </w:r>
      <w:r w:rsidR="00B85CB2" w:rsidRPr="00684487">
        <w:rPr>
          <w:rFonts w:ascii="Times New Roman" w:hAnsi="Times New Roman" w:cs="Times New Roman"/>
        </w:rPr>
        <w:t>, in part,</w:t>
      </w:r>
      <w:r w:rsidR="00CE6BDA" w:rsidRPr="00684487">
        <w:rPr>
          <w:rFonts w:ascii="Times New Roman" w:hAnsi="Times New Roman" w:cs="Times New Roman"/>
        </w:rPr>
        <w:t xml:space="preserve"> to compensate broadcasters</w:t>
      </w:r>
      <w:r w:rsidR="00B85CB2" w:rsidRPr="00684487">
        <w:rPr>
          <w:rFonts w:ascii="Times New Roman" w:hAnsi="Times New Roman" w:cs="Times New Roman"/>
        </w:rPr>
        <w:t xml:space="preserve"> that surrender their licenses in the reverse auction,</w:t>
      </w:r>
      <w:r w:rsidR="00682BD4" w:rsidRPr="00684487">
        <w:rPr>
          <w:rFonts w:ascii="Times New Roman" w:hAnsi="Times New Roman" w:cs="Times New Roman"/>
        </w:rPr>
        <w:t xml:space="preserve"> but this language in no way </w:t>
      </w:r>
      <w:r w:rsidR="002B3F4A" w:rsidRPr="00684487">
        <w:rPr>
          <w:rFonts w:ascii="Times New Roman" w:hAnsi="Times New Roman" w:cs="Times New Roman"/>
        </w:rPr>
        <w:t>demand</w:t>
      </w:r>
      <w:r w:rsidR="00682BD4" w:rsidRPr="00684487">
        <w:rPr>
          <w:rFonts w:ascii="Times New Roman" w:hAnsi="Times New Roman" w:cs="Times New Roman"/>
        </w:rPr>
        <w:t xml:space="preserve">s a special interpretation of our mutual exclusivity rule. </w:t>
      </w:r>
    </w:p>
    <w:p w14:paraId="64C48B20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443F85D" w14:textId="6D9B6127" w:rsidR="004322C6" w:rsidRDefault="004322C6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Moreover, even if there is mutual exclusivity for a first auction, there is no guarantee that it will exist </w:t>
      </w:r>
      <w:r w:rsidR="00B42C38" w:rsidRPr="00684487">
        <w:rPr>
          <w:rFonts w:ascii="Times New Roman" w:hAnsi="Times New Roman" w:cs="Times New Roman"/>
        </w:rPr>
        <w:t xml:space="preserve">in </w:t>
      </w:r>
      <w:r w:rsidRPr="00684487">
        <w:rPr>
          <w:rFonts w:ascii="Times New Roman" w:hAnsi="Times New Roman" w:cs="Times New Roman"/>
        </w:rPr>
        <w:t>future auctions.  Therefore, an entity that invests</w:t>
      </w:r>
      <w:r w:rsidR="0033008E" w:rsidRPr="00684487">
        <w:rPr>
          <w:rFonts w:ascii="Times New Roman" w:hAnsi="Times New Roman" w:cs="Times New Roman"/>
        </w:rPr>
        <w:t xml:space="preserve"> in</w:t>
      </w:r>
      <w:r w:rsidRPr="00684487">
        <w:rPr>
          <w:rFonts w:ascii="Times New Roman" w:hAnsi="Times New Roman" w:cs="Times New Roman"/>
        </w:rPr>
        <w:t xml:space="preserve"> and constructs a network based on priority access may not even be able to participate in a future auction to maintain </w:t>
      </w:r>
      <w:r w:rsidR="0033008E" w:rsidRPr="00684487">
        <w:rPr>
          <w:rFonts w:ascii="Times New Roman" w:hAnsi="Times New Roman" w:cs="Times New Roman"/>
        </w:rPr>
        <w:t xml:space="preserve">its </w:t>
      </w:r>
      <w:r w:rsidRPr="00684487">
        <w:rPr>
          <w:rFonts w:ascii="Times New Roman" w:hAnsi="Times New Roman" w:cs="Times New Roman"/>
        </w:rPr>
        <w:t>status.  This could result in stranded investment.  Some argue that the investment is still worthwhile because they would continue</w:t>
      </w:r>
      <w:r w:rsidR="001932C8" w:rsidRPr="00684487">
        <w:rPr>
          <w:rFonts w:ascii="Times New Roman" w:hAnsi="Times New Roman" w:cs="Times New Roman"/>
        </w:rPr>
        <w:t xml:space="preserve"> to</w:t>
      </w:r>
      <w:r w:rsidRPr="00684487">
        <w:rPr>
          <w:rFonts w:ascii="Times New Roman" w:hAnsi="Times New Roman" w:cs="Times New Roman"/>
        </w:rPr>
        <w:t xml:space="preserve"> have access to GAA spectrum, but</w:t>
      </w:r>
      <w:r w:rsidR="00B85CB2" w:rsidRPr="00684487">
        <w:rPr>
          <w:rFonts w:ascii="Times New Roman" w:hAnsi="Times New Roman" w:cs="Times New Roman"/>
        </w:rPr>
        <w:t xml:space="preserve">, as I </w:t>
      </w:r>
      <w:r w:rsidR="001B317C" w:rsidRPr="00684487">
        <w:rPr>
          <w:rFonts w:ascii="Times New Roman" w:hAnsi="Times New Roman" w:cs="Times New Roman"/>
        </w:rPr>
        <w:t>indicated</w:t>
      </w:r>
      <w:r w:rsidR="001B317C" w:rsidRPr="00684487" w:rsidDel="001B317C">
        <w:rPr>
          <w:rFonts w:ascii="Times New Roman" w:hAnsi="Times New Roman" w:cs="Times New Roman"/>
        </w:rPr>
        <w:t xml:space="preserve"> </w:t>
      </w:r>
      <w:r w:rsidR="00B85CB2" w:rsidRPr="00684487">
        <w:rPr>
          <w:rFonts w:ascii="Times New Roman" w:hAnsi="Times New Roman" w:cs="Times New Roman"/>
        </w:rPr>
        <w:t>before,</w:t>
      </w:r>
      <w:r w:rsidRPr="00684487">
        <w:rPr>
          <w:rFonts w:ascii="Times New Roman" w:hAnsi="Times New Roman" w:cs="Times New Roman"/>
        </w:rPr>
        <w:t xml:space="preserve"> some industry participants have clearly stated that </w:t>
      </w:r>
      <w:r w:rsidR="00934690" w:rsidRPr="00684487">
        <w:rPr>
          <w:rFonts w:ascii="Times New Roman" w:hAnsi="Times New Roman" w:cs="Times New Roman"/>
        </w:rPr>
        <w:t>GAA is not sufficient</w:t>
      </w:r>
      <w:r w:rsidRPr="00684487">
        <w:rPr>
          <w:rFonts w:ascii="Times New Roman" w:hAnsi="Times New Roman" w:cs="Times New Roman"/>
        </w:rPr>
        <w:t>.</w:t>
      </w:r>
      <w:r w:rsidR="001B317C" w:rsidRPr="00684487">
        <w:rPr>
          <w:rFonts w:ascii="Times New Roman" w:hAnsi="Times New Roman" w:cs="Times New Roman"/>
        </w:rPr>
        <w:t xml:space="preserve">  Instead, they want functioning licenses that this sharing model was supposed to offer.  </w:t>
      </w:r>
    </w:p>
    <w:p w14:paraId="631A4462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15BDCA4" w14:textId="4F38C157" w:rsidR="00774BCA" w:rsidRDefault="00C94851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An equally disturbing problem with the current structure – and subject to numerous petitions in this item – is the lack of renewability and short license terms for PALs.</w:t>
      </w:r>
      <w:r w:rsidR="00F84004" w:rsidRPr="00684487">
        <w:rPr>
          <w:rStyle w:val="FootnoteReference"/>
          <w:rFonts w:ascii="Times New Roman" w:hAnsi="Times New Roman" w:cs="Times New Roman"/>
        </w:rPr>
        <w:footnoteReference w:id="9"/>
      </w:r>
      <w:r w:rsidRPr="00684487">
        <w:rPr>
          <w:rFonts w:ascii="Times New Roman" w:hAnsi="Times New Roman" w:cs="Times New Roman"/>
        </w:rPr>
        <w:t xml:space="preserve">  </w:t>
      </w:r>
      <w:r w:rsidR="004322C6" w:rsidRPr="00684487">
        <w:rPr>
          <w:rFonts w:ascii="Times New Roman" w:hAnsi="Times New Roman" w:cs="Times New Roman"/>
        </w:rPr>
        <w:t>It has been made clear by numerous wireless providers that t</w:t>
      </w:r>
      <w:r w:rsidR="00ED63EA" w:rsidRPr="00684487">
        <w:rPr>
          <w:rFonts w:ascii="Times New Roman" w:hAnsi="Times New Roman" w:cs="Times New Roman"/>
        </w:rPr>
        <w:t>he short license terms and lack of renewal</w:t>
      </w:r>
      <w:r w:rsidR="008A6999" w:rsidRPr="00684487">
        <w:rPr>
          <w:rFonts w:ascii="Times New Roman" w:hAnsi="Times New Roman" w:cs="Times New Roman"/>
        </w:rPr>
        <w:t>, along with the auction structure,</w:t>
      </w:r>
      <w:r w:rsidR="00ED63EA" w:rsidRPr="00684487">
        <w:rPr>
          <w:rFonts w:ascii="Times New Roman" w:hAnsi="Times New Roman" w:cs="Times New Roman"/>
        </w:rPr>
        <w:t xml:space="preserve"> </w:t>
      </w:r>
      <w:r w:rsidR="00934690" w:rsidRPr="00684487">
        <w:rPr>
          <w:rFonts w:ascii="Times New Roman" w:hAnsi="Times New Roman" w:cs="Times New Roman"/>
        </w:rPr>
        <w:t>will inform</w:t>
      </w:r>
      <w:r w:rsidR="00AD5A30" w:rsidRPr="00684487">
        <w:rPr>
          <w:rFonts w:ascii="Times New Roman" w:hAnsi="Times New Roman" w:cs="Times New Roman"/>
        </w:rPr>
        <w:t xml:space="preserve"> their business </w:t>
      </w:r>
      <w:r w:rsidR="00934690" w:rsidRPr="00684487">
        <w:rPr>
          <w:rFonts w:ascii="Times New Roman" w:hAnsi="Times New Roman" w:cs="Times New Roman"/>
        </w:rPr>
        <w:t>decisions</w:t>
      </w:r>
      <w:r w:rsidR="00AD5A30" w:rsidRPr="00684487">
        <w:rPr>
          <w:rFonts w:ascii="Times New Roman" w:hAnsi="Times New Roman" w:cs="Times New Roman"/>
        </w:rPr>
        <w:t xml:space="preserve"> as to whether they should apply for PALs or whether it is </w:t>
      </w:r>
      <w:r w:rsidR="00934690" w:rsidRPr="00684487">
        <w:rPr>
          <w:rFonts w:ascii="Times New Roman" w:hAnsi="Times New Roman" w:cs="Times New Roman"/>
        </w:rPr>
        <w:t xml:space="preserve">even </w:t>
      </w:r>
      <w:r w:rsidR="00AD5A30" w:rsidRPr="00684487">
        <w:rPr>
          <w:rFonts w:ascii="Times New Roman" w:hAnsi="Times New Roman" w:cs="Times New Roman"/>
        </w:rPr>
        <w:t xml:space="preserve">worth investing </w:t>
      </w:r>
      <w:r w:rsidR="00B17790" w:rsidRPr="00684487">
        <w:rPr>
          <w:rFonts w:ascii="Times New Roman" w:hAnsi="Times New Roman" w:cs="Times New Roman"/>
        </w:rPr>
        <w:t xml:space="preserve">in </w:t>
      </w:r>
      <w:r w:rsidR="00AD5A30" w:rsidRPr="00684487">
        <w:rPr>
          <w:rFonts w:ascii="Times New Roman" w:hAnsi="Times New Roman" w:cs="Times New Roman"/>
        </w:rPr>
        <w:t xml:space="preserve">and developing this band.  </w:t>
      </w:r>
      <w:r w:rsidR="001B317C" w:rsidRPr="00684487">
        <w:rPr>
          <w:rFonts w:ascii="Times New Roman" w:hAnsi="Times New Roman" w:cs="Times New Roman"/>
        </w:rPr>
        <w:t xml:space="preserve">The fact that Commission staff would not even entertain discussions on changing the lack of renewability and licensing </w:t>
      </w:r>
      <w:r w:rsidR="00774BCA" w:rsidRPr="00684487">
        <w:rPr>
          <w:rFonts w:ascii="Times New Roman" w:hAnsi="Times New Roman" w:cs="Times New Roman"/>
        </w:rPr>
        <w:t xml:space="preserve">term </w:t>
      </w:r>
      <w:r w:rsidR="001B317C" w:rsidRPr="00684487">
        <w:rPr>
          <w:rFonts w:ascii="Times New Roman" w:hAnsi="Times New Roman" w:cs="Times New Roman"/>
        </w:rPr>
        <w:t>is so telling about how this Commission is run and the unwillingness to listen to worthwhile ideas.</w:t>
      </w:r>
      <w:r w:rsidR="009C5BC4" w:rsidRPr="00684487">
        <w:rPr>
          <w:rFonts w:ascii="Times New Roman" w:hAnsi="Times New Roman" w:cs="Times New Roman"/>
        </w:rPr>
        <w:t xml:space="preserve">  </w:t>
      </w:r>
      <w:r w:rsidR="001B317C" w:rsidRPr="00684487">
        <w:rPr>
          <w:rFonts w:ascii="Times New Roman" w:hAnsi="Times New Roman" w:cs="Times New Roman"/>
        </w:rPr>
        <w:t xml:space="preserve">   </w:t>
      </w:r>
    </w:p>
    <w:p w14:paraId="01BE43D0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943FB70" w14:textId="569BB3F5" w:rsidR="0062759C" w:rsidRDefault="004322C6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Fundamentally, such a decision undoes decades of successful spectrum policy by the Commission.  </w:t>
      </w:r>
      <w:r w:rsidR="00792ADE" w:rsidRPr="00684487">
        <w:rPr>
          <w:rFonts w:ascii="Times New Roman" w:hAnsi="Times New Roman" w:cs="Times New Roman"/>
        </w:rPr>
        <w:t>For example</w:t>
      </w:r>
      <w:r w:rsidRPr="00684487">
        <w:rPr>
          <w:rFonts w:ascii="Times New Roman" w:hAnsi="Times New Roman" w:cs="Times New Roman"/>
        </w:rPr>
        <w:t xml:space="preserve">, the Commission has touted internationally the need for longer license terms </w:t>
      </w:r>
      <w:r w:rsidRPr="00684487">
        <w:rPr>
          <w:rFonts w:ascii="Times New Roman" w:hAnsi="Times New Roman" w:cs="Times New Roman"/>
        </w:rPr>
        <w:lastRenderedPageBreak/>
        <w:t>and renewability as prerequisites for a successful spectrum action</w:t>
      </w:r>
      <w:r w:rsidR="00C7690A" w:rsidRPr="00684487">
        <w:rPr>
          <w:rFonts w:ascii="Times New Roman" w:hAnsi="Times New Roman" w:cs="Times New Roman"/>
        </w:rPr>
        <w:t xml:space="preserve"> and </w:t>
      </w:r>
      <w:r w:rsidR="0033008E" w:rsidRPr="00684487">
        <w:rPr>
          <w:rFonts w:ascii="Times New Roman" w:hAnsi="Times New Roman" w:cs="Times New Roman"/>
        </w:rPr>
        <w:t>widespread wireless deployment</w:t>
      </w:r>
      <w:r w:rsidRPr="00684487">
        <w:rPr>
          <w:rFonts w:ascii="Times New Roman" w:hAnsi="Times New Roman" w:cs="Times New Roman"/>
        </w:rPr>
        <w:t xml:space="preserve">.  In fact, this exact subject was raised by a number representatives of foreign nations during my visit to the ITU Plenipotentiary in 2014.  At the time, certain countries were leaning towards short license terms and </w:t>
      </w:r>
      <w:r w:rsidR="00792ADE" w:rsidRPr="00684487">
        <w:rPr>
          <w:rFonts w:ascii="Times New Roman" w:hAnsi="Times New Roman" w:cs="Times New Roman"/>
        </w:rPr>
        <w:t xml:space="preserve">a </w:t>
      </w:r>
      <w:r w:rsidRPr="00684487">
        <w:rPr>
          <w:rFonts w:ascii="Times New Roman" w:hAnsi="Times New Roman" w:cs="Times New Roman"/>
        </w:rPr>
        <w:t xml:space="preserve">reauction of licenses because they wanted another round of cash down the road.  But </w:t>
      </w:r>
      <w:r w:rsidR="00B85CB2" w:rsidRPr="00684487">
        <w:rPr>
          <w:rFonts w:ascii="Times New Roman" w:hAnsi="Times New Roman" w:cs="Times New Roman"/>
        </w:rPr>
        <w:t>such a policy m</w:t>
      </w:r>
      <w:r w:rsidRPr="00684487">
        <w:rPr>
          <w:rFonts w:ascii="Times New Roman" w:hAnsi="Times New Roman" w:cs="Times New Roman"/>
        </w:rPr>
        <w:t xml:space="preserve">isses an important concept relevant today: there will </w:t>
      </w:r>
      <w:r w:rsidR="00934690" w:rsidRPr="00684487">
        <w:rPr>
          <w:rFonts w:ascii="Times New Roman" w:hAnsi="Times New Roman" w:cs="Times New Roman"/>
        </w:rPr>
        <w:t>be a lack of</w:t>
      </w:r>
      <w:r w:rsidRPr="00684487">
        <w:rPr>
          <w:rFonts w:ascii="Times New Roman" w:hAnsi="Times New Roman" w:cs="Times New Roman"/>
        </w:rPr>
        <w:t xml:space="preserve"> interest in spectrum licenses upfront if there is no predic</w:t>
      </w:r>
      <w:r w:rsidR="00792ADE" w:rsidRPr="00684487">
        <w:rPr>
          <w:rFonts w:ascii="Times New Roman" w:hAnsi="Times New Roman" w:cs="Times New Roman"/>
        </w:rPr>
        <w:t>ta</w:t>
      </w:r>
      <w:r w:rsidRPr="00684487">
        <w:rPr>
          <w:rFonts w:ascii="Times New Roman" w:hAnsi="Times New Roman" w:cs="Times New Roman"/>
        </w:rPr>
        <w:t xml:space="preserve">bility and certainty regarding </w:t>
      </w:r>
      <w:r w:rsidR="00792ADE" w:rsidRPr="00684487">
        <w:rPr>
          <w:rFonts w:ascii="Times New Roman" w:hAnsi="Times New Roman" w:cs="Times New Roman"/>
        </w:rPr>
        <w:t>investment</w:t>
      </w:r>
      <w:r w:rsidR="00B17790" w:rsidRPr="00684487">
        <w:rPr>
          <w:rFonts w:ascii="Times New Roman" w:hAnsi="Times New Roman" w:cs="Times New Roman"/>
        </w:rPr>
        <w:t>s</w:t>
      </w:r>
      <w:r w:rsidR="00792ADE" w:rsidRPr="00684487">
        <w:rPr>
          <w:rFonts w:ascii="Times New Roman" w:hAnsi="Times New Roman" w:cs="Times New Roman"/>
        </w:rPr>
        <w:t xml:space="preserve"> made by those seeking the licenses.  </w:t>
      </w:r>
    </w:p>
    <w:p w14:paraId="7B3C3EBA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011CBAF" w14:textId="4D50F55E" w:rsidR="0062759C" w:rsidRDefault="00CE6BDA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And I want to make it clear, t</w:t>
      </w:r>
      <w:r w:rsidR="00944B39" w:rsidRPr="00684487">
        <w:rPr>
          <w:rFonts w:ascii="Times New Roman" w:hAnsi="Times New Roman" w:cs="Times New Roman"/>
        </w:rPr>
        <w:t>o the extent that people suggest that this unproven and flawed experiment should be replicated in other spectrum</w:t>
      </w:r>
      <w:r w:rsidR="003502E4" w:rsidRPr="00684487">
        <w:rPr>
          <w:rFonts w:ascii="Times New Roman" w:hAnsi="Times New Roman" w:cs="Times New Roman"/>
        </w:rPr>
        <w:t xml:space="preserve"> bands, </w:t>
      </w:r>
      <w:r w:rsidRPr="00684487">
        <w:rPr>
          <w:rFonts w:ascii="Times New Roman" w:hAnsi="Times New Roman" w:cs="Times New Roman"/>
        </w:rPr>
        <w:t>such as</w:t>
      </w:r>
      <w:r w:rsidR="003502E4" w:rsidRPr="00684487">
        <w:rPr>
          <w:rFonts w:ascii="Times New Roman" w:hAnsi="Times New Roman" w:cs="Times New Roman"/>
        </w:rPr>
        <w:t xml:space="preserve"> millimeter wave frequencies</w:t>
      </w:r>
      <w:r w:rsidRPr="00684487">
        <w:rPr>
          <w:rFonts w:ascii="Times New Roman" w:hAnsi="Times New Roman" w:cs="Times New Roman"/>
        </w:rPr>
        <w:t>,</w:t>
      </w:r>
      <w:r w:rsidR="003502E4" w:rsidRPr="00684487">
        <w:rPr>
          <w:rFonts w:ascii="Times New Roman" w:hAnsi="Times New Roman" w:cs="Times New Roman"/>
        </w:rPr>
        <w:t xml:space="preserve"> that is a proposition that I will not support.</w:t>
      </w:r>
    </w:p>
    <w:p w14:paraId="513F604E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5BFC3CE" w14:textId="6294F68D" w:rsidR="004A1389" w:rsidRDefault="003502E4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I also </w:t>
      </w:r>
      <w:r w:rsidR="00B85CB2" w:rsidRPr="00684487">
        <w:rPr>
          <w:rFonts w:ascii="Times New Roman" w:hAnsi="Times New Roman" w:cs="Times New Roman"/>
        </w:rPr>
        <w:t>am unable to</w:t>
      </w:r>
      <w:r w:rsidRPr="00684487">
        <w:rPr>
          <w:rFonts w:ascii="Times New Roman" w:hAnsi="Times New Roman" w:cs="Times New Roman"/>
        </w:rPr>
        <w:t xml:space="preserve"> support some of the delegations i</w:t>
      </w:r>
      <w:r w:rsidR="001932C8" w:rsidRPr="00684487">
        <w:rPr>
          <w:rFonts w:ascii="Times New Roman" w:hAnsi="Times New Roman" w:cs="Times New Roman"/>
        </w:rPr>
        <w:t>n</w:t>
      </w:r>
      <w:r w:rsidRPr="00684487">
        <w:rPr>
          <w:rFonts w:ascii="Times New Roman" w:hAnsi="Times New Roman" w:cs="Times New Roman"/>
        </w:rPr>
        <w:t xml:space="preserve"> this item.  </w:t>
      </w:r>
      <w:r w:rsidR="00934690" w:rsidRPr="00684487">
        <w:rPr>
          <w:rFonts w:ascii="Times New Roman" w:hAnsi="Times New Roman" w:cs="Times New Roman"/>
        </w:rPr>
        <w:t xml:space="preserve">For example, </w:t>
      </w:r>
      <w:r w:rsidRPr="00684487">
        <w:rPr>
          <w:rFonts w:ascii="Times New Roman" w:hAnsi="Times New Roman" w:cs="Times New Roman"/>
        </w:rPr>
        <w:t>decisions</w:t>
      </w:r>
      <w:r w:rsidR="00934690" w:rsidRPr="00684487">
        <w:rPr>
          <w:rFonts w:ascii="Times New Roman" w:hAnsi="Times New Roman" w:cs="Times New Roman"/>
        </w:rPr>
        <w:t xml:space="preserve"> about</w:t>
      </w:r>
      <w:r w:rsidRPr="00684487">
        <w:rPr>
          <w:rFonts w:ascii="Times New Roman" w:hAnsi="Times New Roman" w:cs="Times New Roman"/>
        </w:rPr>
        <w:t xml:space="preserve"> how to define PAL interference protections and contours and how congestion will be handled</w:t>
      </w:r>
      <w:r w:rsidR="00934690" w:rsidRPr="00684487">
        <w:rPr>
          <w:rFonts w:ascii="Times New Roman" w:hAnsi="Times New Roman" w:cs="Times New Roman"/>
        </w:rPr>
        <w:t xml:space="preserve"> will be made by the Office of Engineering and Technology and Wireless Telecommunications Bureau when the</w:t>
      </w:r>
      <w:r w:rsidRPr="00684487">
        <w:rPr>
          <w:rFonts w:ascii="Times New Roman" w:hAnsi="Times New Roman" w:cs="Times New Roman"/>
        </w:rPr>
        <w:t xml:space="preserve"> applications are filed by SAS administrators.  While I have confidence in the abilities of staff to do such analysis, such decisions that are crucial to the workings of the band should be voted on by the Commission.</w:t>
      </w:r>
    </w:p>
    <w:p w14:paraId="075E6F20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553B049" w14:textId="035DEDFA" w:rsidR="00C94851" w:rsidRPr="00684487" w:rsidRDefault="007F2A0E" w:rsidP="00684487">
      <w:pPr>
        <w:spacing w:after="0" w:line="240" w:lineRule="auto"/>
        <w:ind w:firstLine="720"/>
      </w:pPr>
      <w:r w:rsidRPr="00684487">
        <w:rPr>
          <w:rFonts w:ascii="Times New Roman" w:hAnsi="Times New Roman" w:cs="Times New Roman"/>
        </w:rPr>
        <w:t>In conclusion, I am unable to support these portions of the order</w:t>
      </w:r>
      <w:r w:rsidR="00792ADE" w:rsidRPr="00684487">
        <w:rPr>
          <w:rFonts w:ascii="Times New Roman" w:hAnsi="Times New Roman" w:cs="Times New Roman"/>
        </w:rPr>
        <w:t xml:space="preserve">.  </w:t>
      </w:r>
      <w:r w:rsidR="00426E2F" w:rsidRPr="00684487">
        <w:rPr>
          <w:rFonts w:ascii="Times New Roman" w:hAnsi="Times New Roman" w:cs="Times New Roman"/>
        </w:rPr>
        <w:t>Although a compromise offer was put on the table by the Chairman to allow for one free PAL when there</w:t>
      </w:r>
      <w:r w:rsidR="00A10416" w:rsidRPr="00684487">
        <w:rPr>
          <w:rFonts w:ascii="Times New Roman" w:hAnsi="Times New Roman" w:cs="Times New Roman"/>
        </w:rPr>
        <w:t xml:space="preserve"> was no mutual exclusivity, it did not fix the problem and </w:t>
      </w:r>
      <w:r w:rsidR="00426E2F" w:rsidRPr="00684487">
        <w:rPr>
          <w:rFonts w:ascii="Times New Roman" w:hAnsi="Times New Roman" w:cs="Times New Roman"/>
        </w:rPr>
        <w:t xml:space="preserve">just wasn’t enough to excuse all of the other flaws in the licensing process.  </w:t>
      </w:r>
      <w:r w:rsidR="00792ADE" w:rsidRPr="00684487">
        <w:rPr>
          <w:rFonts w:ascii="Times New Roman" w:hAnsi="Times New Roman" w:cs="Times New Roman"/>
        </w:rPr>
        <w:t xml:space="preserve">Basically, </w:t>
      </w:r>
      <w:r w:rsidRPr="00684487">
        <w:rPr>
          <w:rFonts w:ascii="Times New Roman" w:hAnsi="Times New Roman" w:cs="Times New Roman"/>
        </w:rPr>
        <w:t>by rejecting commonsense and generally supported changes to</w:t>
      </w:r>
      <w:r w:rsidR="00792ADE" w:rsidRPr="00684487">
        <w:rPr>
          <w:rFonts w:ascii="Times New Roman" w:hAnsi="Times New Roman" w:cs="Times New Roman"/>
        </w:rPr>
        <w:t xml:space="preserve"> this “experiment,” we have created a tier of licenses where there may be little to no incentive to participate.  As it stands now, the band plan for 3.5 GHz is like a three-legged stool that could topple</w:t>
      </w:r>
      <w:r w:rsidR="008A6999" w:rsidRPr="00684487">
        <w:rPr>
          <w:rFonts w:ascii="Times New Roman" w:hAnsi="Times New Roman" w:cs="Times New Roman"/>
        </w:rPr>
        <w:t xml:space="preserve"> over</w:t>
      </w:r>
      <w:r w:rsidR="00792ADE" w:rsidRPr="00684487">
        <w:rPr>
          <w:rFonts w:ascii="Times New Roman" w:hAnsi="Times New Roman" w:cs="Times New Roman"/>
        </w:rPr>
        <w:t xml:space="preserve"> because one key component is missing.</w:t>
      </w:r>
      <w:r w:rsidR="00FB7A04" w:rsidRPr="00684487">
        <w:rPr>
          <w:rFonts w:ascii="Times New Roman" w:hAnsi="Times New Roman" w:cs="Times New Roman"/>
        </w:rPr>
        <w:t xml:space="preserve">  Therefore, I must dissent </w:t>
      </w:r>
      <w:r w:rsidR="00C762F3" w:rsidRPr="00684487">
        <w:rPr>
          <w:rFonts w:ascii="Times New Roman" w:hAnsi="Times New Roman" w:cs="Times New Roman"/>
        </w:rPr>
        <w:t>on the two portions already discussed</w:t>
      </w:r>
      <w:r w:rsidR="00FB7A04" w:rsidRPr="00684487">
        <w:rPr>
          <w:rFonts w:ascii="Times New Roman" w:hAnsi="Times New Roman" w:cs="Times New Roman"/>
        </w:rPr>
        <w:t xml:space="preserve">. </w:t>
      </w:r>
    </w:p>
    <w:sectPr w:rsidR="00C94851" w:rsidRPr="00684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B163" w14:textId="77777777" w:rsidR="000E4938" w:rsidRDefault="000E4938" w:rsidP="006061D4">
      <w:pPr>
        <w:spacing w:after="0" w:line="240" w:lineRule="auto"/>
      </w:pPr>
      <w:r>
        <w:separator/>
      </w:r>
    </w:p>
  </w:endnote>
  <w:endnote w:type="continuationSeparator" w:id="0">
    <w:p w14:paraId="7BDA2E14" w14:textId="77777777" w:rsidR="000E4938" w:rsidRDefault="000E4938" w:rsidP="0060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B4BD" w14:textId="77777777" w:rsidR="00230B91" w:rsidRDefault="00230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26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6CA93" w14:textId="30AF0475" w:rsidR="00684487" w:rsidRDefault="00684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F8A12" w14:textId="77777777" w:rsidR="00684487" w:rsidRDefault="00684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FF8B" w14:textId="77777777" w:rsidR="00230B91" w:rsidRDefault="00230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5D82F" w14:textId="77777777" w:rsidR="000E4938" w:rsidRDefault="000E4938" w:rsidP="006061D4">
      <w:pPr>
        <w:spacing w:after="0" w:line="240" w:lineRule="auto"/>
      </w:pPr>
      <w:r>
        <w:separator/>
      </w:r>
    </w:p>
  </w:footnote>
  <w:footnote w:type="continuationSeparator" w:id="0">
    <w:p w14:paraId="7AE82B71" w14:textId="77777777" w:rsidR="000E4938" w:rsidRDefault="000E4938" w:rsidP="006061D4">
      <w:pPr>
        <w:spacing w:after="0" w:line="240" w:lineRule="auto"/>
      </w:pPr>
      <w:r>
        <w:continuationSeparator/>
      </w:r>
    </w:p>
  </w:footnote>
  <w:footnote w:id="1">
    <w:p w14:paraId="47A95C62" w14:textId="5D547E95" w:rsidR="007F2A0E" w:rsidRPr="00E4655C" w:rsidRDefault="007F2A0E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1932C8" w:rsidRPr="00E4655C">
        <w:rPr>
          <w:rFonts w:ascii="Times New Roman" w:hAnsi="Times New Roman" w:cs="Times New Roman"/>
          <w:i/>
        </w:rPr>
        <w:t>Amendment of the Commission’s Rule with Regard to Commercial Operations in the 3550-3650 MHz Band</w:t>
      </w:r>
      <w:r w:rsidR="001932C8" w:rsidRPr="00E4655C">
        <w:rPr>
          <w:rFonts w:ascii="Times New Roman" w:hAnsi="Times New Roman" w:cs="Times New Roman"/>
        </w:rPr>
        <w:t xml:space="preserve">, </w:t>
      </w:r>
      <w:r w:rsidR="00C26115" w:rsidRPr="00E4655C">
        <w:rPr>
          <w:rFonts w:ascii="Times New Roman" w:hAnsi="Times New Roman" w:cs="Times New Roman"/>
        </w:rPr>
        <w:t>GN Docket No. 12-354, Report and Order and Second Further Notice of Proposed Rulemaking, 30 FCC Rcd 3959, 4144 (2015).</w:t>
      </w:r>
    </w:p>
  </w:footnote>
  <w:footnote w:id="2">
    <w:p w14:paraId="1701D9A1" w14:textId="07C361D5" w:rsidR="000D28ED" w:rsidRPr="00E4655C" w:rsidRDefault="000D28ED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Incumbent users would be fully protected and guaranteed access, the Priority Access licensees would be next in priority</w:t>
      </w:r>
      <w:r w:rsidR="0075120A" w:rsidRPr="00E4655C">
        <w:rPr>
          <w:rFonts w:ascii="Times New Roman" w:hAnsi="Times New Roman" w:cs="Times New Roman"/>
        </w:rPr>
        <w:t>,</w:t>
      </w:r>
      <w:r w:rsidRPr="00E4655C">
        <w:rPr>
          <w:rFonts w:ascii="Times New Roman" w:hAnsi="Times New Roman" w:cs="Times New Roman"/>
        </w:rPr>
        <w:t xml:space="preserve"> followed by the General Authorized Access (GAA) users who obtain access when there are no operating </w:t>
      </w:r>
      <w:r w:rsidR="0075120A" w:rsidRPr="00E4655C">
        <w:rPr>
          <w:rFonts w:ascii="Times New Roman" w:hAnsi="Times New Roman" w:cs="Times New Roman"/>
        </w:rPr>
        <w:t>i</w:t>
      </w:r>
      <w:r w:rsidRPr="00E4655C">
        <w:rPr>
          <w:rFonts w:ascii="Times New Roman" w:hAnsi="Times New Roman" w:cs="Times New Roman"/>
        </w:rPr>
        <w:t>ncumbents or PALs.</w:t>
      </w:r>
    </w:p>
  </w:footnote>
  <w:footnote w:id="3">
    <w:p w14:paraId="6CE181A4" w14:textId="0743FFD6" w:rsidR="00EF1FC6" w:rsidRPr="00E4655C" w:rsidRDefault="00EF1FC6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4C3AB7" w:rsidRPr="00E4655C">
        <w:rPr>
          <w:rFonts w:ascii="Times New Roman" w:hAnsi="Times New Roman" w:cs="Times New Roman"/>
          <w:i/>
        </w:rPr>
        <w:t>See, e.g.</w:t>
      </w:r>
      <w:r w:rsidR="004C3AB7" w:rsidRPr="00E4655C">
        <w:rPr>
          <w:rFonts w:ascii="Times New Roman" w:hAnsi="Times New Roman" w:cs="Times New Roman"/>
        </w:rPr>
        <w:t xml:space="preserve">, </w:t>
      </w:r>
      <w:r w:rsidR="00F84004" w:rsidRPr="00E4655C">
        <w:rPr>
          <w:rFonts w:ascii="Times New Roman" w:hAnsi="Times New Roman" w:cs="Times New Roman"/>
        </w:rPr>
        <w:t xml:space="preserve">Petition for Reconsideration of CTIA, GN Docket No. 12-354 (July 24, 2015) </w:t>
      </w:r>
      <w:r w:rsidRPr="00E4655C">
        <w:rPr>
          <w:rFonts w:ascii="Times New Roman" w:hAnsi="Times New Roman" w:cs="Times New Roman"/>
        </w:rPr>
        <w:t xml:space="preserve">(“CTIA </w:t>
      </w:r>
      <w:r w:rsidR="00F84004" w:rsidRPr="00E4655C">
        <w:rPr>
          <w:rFonts w:ascii="Times New Roman" w:hAnsi="Times New Roman" w:cs="Times New Roman"/>
        </w:rPr>
        <w:t>Petition for Reconsideration</w:t>
      </w:r>
      <w:r w:rsidRPr="00E4655C">
        <w:rPr>
          <w:rFonts w:ascii="Times New Roman" w:hAnsi="Times New Roman" w:cs="Times New Roman"/>
        </w:rPr>
        <w:t>”)</w:t>
      </w:r>
      <w:r w:rsidR="00971DD1" w:rsidRPr="00E4655C">
        <w:rPr>
          <w:rFonts w:ascii="Times New Roman" w:hAnsi="Times New Roman" w:cs="Times New Roman"/>
        </w:rPr>
        <w:t xml:space="preserve">; </w:t>
      </w:r>
      <w:r w:rsidR="00042B68">
        <w:rPr>
          <w:rFonts w:ascii="Times New Roman" w:hAnsi="Times New Roman" w:cs="Times New Roman"/>
        </w:rPr>
        <w:t>Post</w:t>
      </w:r>
      <w:r w:rsidR="00951575">
        <w:rPr>
          <w:rFonts w:ascii="Times New Roman" w:hAnsi="Times New Roman" w:cs="Times New Roman"/>
        </w:rPr>
        <w:t>ing</w:t>
      </w:r>
      <w:r w:rsidR="00042B68">
        <w:rPr>
          <w:rFonts w:ascii="Times New Roman" w:hAnsi="Times New Roman" w:cs="Times New Roman"/>
        </w:rPr>
        <w:t xml:space="preserve"> of Joan Mars</w:t>
      </w:r>
      <w:r w:rsidR="00971DD1" w:rsidRPr="00E4655C">
        <w:rPr>
          <w:rFonts w:ascii="Times New Roman" w:hAnsi="Times New Roman" w:cs="Times New Roman"/>
        </w:rPr>
        <w:t>h, Reaching a Sound 3.5 G</w:t>
      </w:r>
      <w:r w:rsidR="00951575">
        <w:rPr>
          <w:rFonts w:ascii="Times New Roman" w:hAnsi="Times New Roman" w:cs="Times New Roman"/>
        </w:rPr>
        <w:t>Hz Framework (Apr. 11, 2016 11:</w:t>
      </w:r>
      <w:r w:rsidR="00971DD1" w:rsidRPr="00E4655C">
        <w:rPr>
          <w:rFonts w:ascii="Times New Roman" w:hAnsi="Times New Roman" w:cs="Times New Roman"/>
        </w:rPr>
        <w:t>44am</w:t>
      </w:r>
      <w:r w:rsidR="00951575">
        <w:rPr>
          <w:rFonts w:ascii="Times New Roman" w:hAnsi="Times New Roman" w:cs="Times New Roman"/>
        </w:rPr>
        <w:t>), a</w:t>
      </w:r>
      <w:r w:rsidR="00971DD1" w:rsidRPr="00E4655C">
        <w:rPr>
          <w:rFonts w:ascii="Times New Roman" w:hAnsi="Times New Roman" w:cs="Times New Roman"/>
        </w:rPr>
        <w:t>ttached to Letter from Stacey Black, Assistant Vice President, Federal Regulatory, AT&amp;T Services, Inc., to Marlene H. Dortch, Secretary, Federal Communications Commission, GN Docket No. 12-354 (Apr. 12, 2016) (Joan Marsh Blog Post);</w:t>
      </w:r>
      <w:r w:rsidR="0033610A" w:rsidRPr="00E4655C">
        <w:rPr>
          <w:rFonts w:ascii="Times New Roman" w:hAnsi="Times New Roman" w:cs="Times New Roman"/>
        </w:rPr>
        <w:t xml:space="preserve"> Opposition of The Wireless Internet Service Provider Association, GN Docket No. 12-354 (Oct. 20, 2015)</w:t>
      </w:r>
      <w:r w:rsidR="00F84004" w:rsidRPr="00E4655C">
        <w:rPr>
          <w:rFonts w:ascii="Times New Roman" w:hAnsi="Times New Roman" w:cs="Times New Roman"/>
        </w:rPr>
        <w:t xml:space="preserve"> </w:t>
      </w:r>
      <w:r w:rsidR="0033610A" w:rsidRPr="00E4655C">
        <w:rPr>
          <w:rFonts w:ascii="Times New Roman" w:hAnsi="Times New Roman" w:cs="Times New Roman"/>
        </w:rPr>
        <w:t>(WISPA Opposition</w:t>
      </w:r>
      <w:r w:rsidR="00F84004" w:rsidRPr="00E4655C">
        <w:rPr>
          <w:rFonts w:ascii="Times New Roman" w:hAnsi="Times New Roman" w:cs="Times New Roman"/>
        </w:rPr>
        <w:t>)</w:t>
      </w:r>
      <w:r w:rsidR="0033610A" w:rsidRPr="00E4655C">
        <w:rPr>
          <w:rFonts w:ascii="Times New Roman" w:hAnsi="Times New Roman" w:cs="Times New Roman"/>
        </w:rPr>
        <w:t>;</w:t>
      </w:r>
      <w:r w:rsidR="00F84004" w:rsidRPr="00E4655C">
        <w:rPr>
          <w:rFonts w:ascii="Times New Roman" w:hAnsi="Times New Roman" w:cs="Times New Roman"/>
        </w:rPr>
        <w:t xml:space="preserve"> Petition for Reconsideration of Motorola, GN Docket No. 12-354 (July 24, 2016).</w:t>
      </w:r>
    </w:p>
  </w:footnote>
  <w:footnote w:id="4">
    <w:p w14:paraId="7441DA25" w14:textId="55665F98" w:rsidR="0075120A" w:rsidRPr="00E4655C" w:rsidRDefault="0075120A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F332F7" w:rsidRPr="00E4655C">
        <w:rPr>
          <w:rFonts w:ascii="Times New Roman" w:hAnsi="Times New Roman" w:cs="Times New Roman"/>
          <w:i/>
        </w:rPr>
        <w:t>See, e.g.</w:t>
      </w:r>
      <w:r w:rsidR="00F332F7" w:rsidRPr="00E4655C">
        <w:rPr>
          <w:rFonts w:ascii="Times New Roman" w:hAnsi="Times New Roman" w:cs="Times New Roman"/>
        </w:rPr>
        <w:t xml:space="preserve">, </w:t>
      </w:r>
      <w:r w:rsidR="004C3AB7" w:rsidRPr="00E4655C">
        <w:rPr>
          <w:rFonts w:ascii="Times New Roman" w:hAnsi="Times New Roman" w:cs="Times New Roman"/>
        </w:rPr>
        <w:t>Petition for Reconsideration</w:t>
      </w:r>
      <w:r w:rsidR="00F332F7" w:rsidRPr="00E4655C">
        <w:rPr>
          <w:rFonts w:ascii="Times New Roman" w:hAnsi="Times New Roman" w:cs="Times New Roman"/>
        </w:rPr>
        <w:t xml:space="preserve"> of John M. Peha, GN Docket No. 12-354 (July </w:t>
      </w:r>
      <w:r w:rsidR="004C3AB7" w:rsidRPr="00E4655C">
        <w:rPr>
          <w:rFonts w:ascii="Times New Roman" w:hAnsi="Times New Roman" w:cs="Times New Roman"/>
        </w:rPr>
        <w:t>24</w:t>
      </w:r>
      <w:r w:rsidR="00F332F7" w:rsidRPr="00E4655C">
        <w:rPr>
          <w:rFonts w:ascii="Times New Roman" w:hAnsi="Times New Roman" w:cs="Times New Roman"/>
        </w:rPr>
        <w:t xml:space="preserve">, 2015); Ex Parte </w:t>
      </w:r>
      <w:r w:rsidRPr="00E4655C">
        <w:rPr>
          <w:rFonts w:ascii="Times New Roman" w:hAnsi="Times New Roman" w:cs="Times New Roman"/>
        </w:rPr>
        <w:t>Letter</w:t>
      </w:r>
      <w:r w:rsidR="00F332F7" w:rsidRPr="00E4655C">
        <w:rPr>
          <w:rFonts w:ascii="Times New Roman" w:hAnsi="Times New Roman" w:cs="Times New Roman"/>
        </w:rPr>
        <w:t xml:space="preserve"> from Scott K. Bergmann, Vice President, Regulatory Affairs, CTIA, </w:t>
      </w:r>
      <w:r w:rsidR="00971DD1" w:rsidRPr="00E4655C">
        <w:rPr>
          <w:rFonts w:ascii="Times New Roman" w:hAnsi="Times New Roman" w:cs="Times New Roman"/>
        </w:rPr>
        <w:t xml:space="preserve">to Marlene H. Dortch, Secretary, Federal Communications Commission, </w:t>
      </w:r>
      <w:r w:rsidR="00F332F7" w:rsidRPr="00E4655C">
        <w:rPr>
          <w:rFonts w:ascii="Times New Roman" w:hAnsi="Times New Roman" w:cs="Times New Roman"/>
        </w:rPr>
        <w:t>GN Docket No. 12-354  (Apr. 27, 2016)</w:t>
      </w:r>
      <w:r w:rsidR="0033610A" w:rsidRPr="00E4655C">
        <w:rPr>
          <w:rFonts w:ascii="Times New Roman" w:hAnsi="Times New Roman" w:cs="Times New Roman"/>
        </w:rPr>
        <w:t xml:space="preserve">; </w:t>
      </w:r>
      <w:r w:rsidR="0033610A" w:rsidRPr="00E4655C">
        <w:rPr>
          <w:rFonts w:ascii="Times New Roman" w:hAnsi="Times New Roman" w:cs="Times New Roman"/>
          <w:i/>
        </w:rPr>
        <w:t>see also</w:t>
      </w:r>
      <w:r w:rsidR="0033610A" w:rsidRPr="00E4655C">
        <w:rPr>
          <w:rFonts w:ascii="Times New Roman" w:hAnsi="Times New Roman" w:cs="Times New Roman"/>
        </w:rPr>
        <w:t xml:space="preserve"> WISPA Opposition</w:t>
      </w:r>
      <w:r w:rsidR="00F332F7" w:rsidRPr="00E4655C">
        <w:rPr>
          <w:rFonts w:ascii="Times New Roman" w:hAnsi="Times New Roman" w:cs="Times New Roman"/>
        </w:rPr>
        <w:t>.</w:t>
      </w:r>
    </w:p>
  </w:footnote>
  <w:footnote w:id="5">
    <w:p w14:paraId="63C0CF81" w14:textId="1734792E" w:rsidR="00650D29" w:rsidRPr="00E4655C" w:rsidRDefault="00650D29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Section 309(j)(1)</w:t>
      </w:r>
      <w:r w:rsidR="00C26115" w:rsidRPr="00E4655C">
        <w:rPr>
          <w:rFonts w:ascii="Times New Roman" w:hAnsi="Times New Roman" w:cs="Times New Roman"/>
        </w:rPr>
        <w:t xml:space="preserve"> of the Communications Act</w:t>
      </w:r>
      <w:r w:rsidRPr="00E4655C">
        <w:rPr>
          <w:rFonts w:ascii="Times New Roman" w:hAnsi="Times New Roman" w:cs="Times New Roman"/>
        </w:rPr>
        <w:t xml:space="preserve"> states that “if . . . mutually exclusive applications are accepted for any initial license . . . , the Commission shall grant the license or permit to a qualified applicant through a system of competitive bidding.”  </w:t>
      </w:r>
      <w:r w:rsidR="00C26115" w:rsidRPr="00E4655C">
        <w:rPr>
          <w:rFonts w:ascii="Times New Roman" w:hAnsi="Times New Roman" w:cs="Times New Roman"/>
        </w:rPr>
        <w:t xml:space="preserve">47 U.S.C. § 309(j)(6)(E).  </w:t>
      </w:r>
      <w:r w:rsidRPr="00E4655C">
        <w:rPr>
          <w:rFonts w:ascii="Times New Roman" w:hAnsi="Times New Roman" w:cs="Times New Roman"/>
        </w:rPr>
        <w:t xml:space="preserve">The statute continues that nothing should be “construed to relieve the Commission of the obligation . . . to avoid mutual exclusivity in application and licensing procedures.” </w:t>
      </w:r>
      <w:r w:rsidR="00C26115" w:rsidRPr="00E4655C">
        <w:rPr>
          <w:rFonts w:ascii="Times New Roman" w:hAnsi="Times New Roman" w:cs="Times New Roman"/>
          <w:i/>
        </w:rPr>
        <w:t>Id</w:t>
      </w:r>
      <w:r w:rsidR="00C26115" w:rsidRPr="00E4655C">
        <w:rPr>
          <w:rFonts w:ascii="Times New Roman" w:hAnsi="Times New Roman" w:cs="Times New Roman"/>
        </w:rPr>
        <w:t xml:space="preserve">. § </w:t>
      </w:r>
      <w:r w:rsidRPr="00E4655C">
        <w:rPr>
          <w:rFonts w:ascii="Times New Roman" w:hAnsi="Times New Roman" w:cs="Times New Roman"/>
        </w:rPr>
        <w:t>309(j)(6)(E).</w:t>
      </w:r>
    </w:p>
  </w:footnote>
  <w:footnote w:id="6">
    <w:p w14:paraId="195D6C9A" w14:textId="01B74103" w:rsidR="00225758" w:rsidRPr="00E4655C" w:rsidRDefault="00225758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C16E90" w:rsidRPr="00E4655C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="00C16E90" w:rsidRPr="00E4655C">
        <w:rPr>
          <w:rFonts w:ascii="Times New Roman" w:hAnsi="Times New Roman" w:cs="Times New Roman"/>
        </w:rPr>
        <w:t xml:space="preserve">, GN Docket No. 12-268, Report and Order, 29 FCC Rcd 6567, </w:t>
      </w:r>
      <w:r w:rsidR="00181DED" w:rsidRPr="00E4655C">
        <w:rPr>
          <w:rFonts w:ascii="Times New Roman" w:hAnsi="Times New Roman" w:cs="Times New Roman"/>
        </w:rPr>
        <w:t xml:space="preserve">6760 </w:t>
      </w:r>
      <w:r w:rsidR="00C16E90" w:rsidRPr="00E4655C">
        <w:rPr>
          <w:rFonts w:ascii="Times New Roman" w:hAnsi="Times New Roman" w:cs="Times New Roman"/>
        </w:rPr>
        <w:t xml:space="preserve">¶ </w:t>
      </w:r>
      <w:r w:rsidR="00181DED" w:rsidRPr="00E4655C">
        <w:rPr>
          <w:rFonts w:ascii="Times New Roman" w:hAnsi="Times New Roman" w:cs="Times New Roman"/>
        </w:rPr>
        <w:t>470</w:t>
      </w:r>
      <w:r w:rsidR="00C16E90" w:rsidRPr="00E4655C">
        <w:rPr>
          <w:rFonts w:ascii="Times New Roman" w:hAnsi="Times New Roman" w:cs="Times New Roman"/>
        </w:rPr>
        <w:t xml:space="preserve"> (2014).</w:t>
      </w:r>
    </w:p>
  </w:footnote>
  <w:footnote w:id="7">
    <w:p w14:paraId="0343C787" w14:textId="7E718054" w:rsidR="00181DED" w:rsidRPr="00E4655C" w:rsidRDefault="00181DED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C16E90" w:rsidRPr="00E4655C">
        <w:rPr>
          <w:rFonts w:ascii="Times New Roman" w:hAnsi="Times New Roman" w:cs="Times New Roman"/>
          <w:i/>
        </w:rPr>
        <w:t>Id</w:t>
      </w:r>
      <w:r w:rsidR="00C16E90" w:rsidRPr="00E4655C">
        <w:rPr>
          <w:rFonts w:ascii="Times New Roman" w:hAnsi="Times New Roman" w:cs="Times New Roman"/>
        </w:rPr>
        <w:t xml:space="preserve">. at </w:t>
      </w:r>
      <w:r w:rsidRPr="00E4655C">
        <w:rPr>
          <w:rFonts w:ascii="Times New Roman" w:hAnsi="Times New Roman" w:cs="Times New Roman"/>
        </w:rPr>
        <w:t xml:space="preserve">6761 </w:t>
      </w:r>
      <w:r w:rsidR="00C16E90" w:rsidRPr="00E4655C">
        <w:rPr>
          <w:rFonts w:ascii="Times New Roman" w:hAnsi="Times New Roman" w:cs="Times New Roman"/>
        </w:rPr>
        <w:t xml:space="preserve">¶ </w:t>
      </w:r>
      <w:r w:rsidRPr="00E4655C">
        <w:rPr>
          <w:rFonts w:ascii="Times New Roman" w:hAnsi="Times New Roman" w:cs="Times New Roman"/>
        </w:rPr>
        <w:t>471</w:t>
      </w:r>
      <w:r w:rsidR="00C16E90" w:rsidRPr="00E4655C">
        <w:rPr>
          <w:rFonts w:ascii="Times New Roman" w:hAnsi="Times New Roman" w:cs="Times New Roman"/>
        </w:rPr>
        <w:t>.</w:t>
      </w:r>
    </w:p>
  </w:footnote>
  <w:footnote w:id="8">
    <w:p w14:paraId="591D7471" w14:textId="0A377FCE" w:rsidR="00682BD4" w:rsidRPr="00E4655C" w:rsidRDefault="00682BD4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C16E90" w:rsidRPr="00E4655C">
        <w:rPr>
          <w:rFonts w:ascii="Times New Roman" w:hAnsi="Times New Roman" w:cs="Times New Roman"/>
        </w:rPr>
        <w:t>Middle Class Tax Relief and Job Creation Act of 2012,</w:t>
      </w:r>
      <w:r w:rsidR="00C16E90" w:rsidRPr="00E4655C">
        <w:rPr>
          <w:rFonts w:ascii="Times New Roman" w:hAnsi="Times New Roman" w:cs="Times New Roman"/>
          <w:color w:val="000000"/>
        </w:rPr>
        <w:t xml:space="preserve"> </w:t>
      </w:r>
      <w:hyperlink r:id="rId1" w:history="1">
        <w:r w:rsidR="00C16E90" w:rsidRPr="00E4655C">
          <w:rPr>
            <w:rFonts w:ascii="Times New Roman" w:hAnsi="Times New Roman" w:cs="Times New Roman"/>
          </w:rPr>
          <w:t>Pub. L. No. 112-96</w:t>
        </w:r>
      </w:hyperlink>
      <w:r w:rsidR="00C16E90" w:rsidRPr="00E4655C">
        <w:rPr>
          <w:rFonts w:ascii="Times New Roman" w:hAnsi="Times New Roman" w:cs="Times New Roman"/>
          <w:color w:val="000000"/>
        </w:rPr>
        <w:t xml:space="preserve"> § </w:t>
      </w:r>
      <w:r w:rsidRPr="00E4655C">
        <w:rPr>
          <w:rFonts w:ascii="Times New Roman" w:hAnsi="Times New Roman" w:cs="Times New Roman"/>
        </w:rPr>
        <w:t>6401(b)(1)(B</w:t>
      </w:r>
      <w:r w:rsidR="0075120A" w:rsidRPr="00E4655C">
        <w:rPr>
          <w:rFonts w:ascii="Times New Roman" w:hAnsi="Times New Roman" w:cs="Times New Roman"/>
        </w:rPr>
        <w:t>)</w:t>
      </w:r>
      <w:r w:rsidR="00C16E90" w:rsidRPr="00E4655C">
        <w:rPr>
          <w:rFonts w:ascii="Times New Roman" w:hAnsi="Times New Roman" w:cs="Times New Roman"/>
          <w:color w:val="000000"/>
        </w:rPr>
        <w:t xml:space="preserve">, 126 Stat. </w:t>
      </w:r>
      <w:r w:rsidR="0075120A" w:rsidRPr="00E4655C">
        <w:rPr>
          <w:rFonts w:ascii="Times New Roman" w:hAnsi="Times New Roman" w:cs="Times New Roman"/>
          <w:color w:val="000000"/>
        </w:rPr>
        <w:t>222</w:t>
      </w:r>
      <w:r w:rsidR="00C16E90" w:rsidRPr="00E4655C">
        <w:rPr>
          <w:rFonts w:ascii="Times New Roman" w:hAnsi="Times New Roman" w:cs="Times New Roman"/>
          <w:color w:val="000000"/>
        </w:rPr>
        <w:t xml:space="preserve"> (2012)</w:t>
      </w:r>
      <w:r w:rsidR="0075120A" w:rsidRPr="00E4655C">
        <w:rPr>
          <w:rFonts w:ascii="Times New Roman" w:hAnsi="Times New Roman" w:cs="Times New Roman"/>
          <w:color w:val="000000"/>
        </w:rPr>
        <w:t>.</w:t>
      </w:r>
    </w:p>
  </w:footnote>
  <w:footnote w:id="9">
    <w:p w14:paraId="4F5E083D" w14:textId="47B6B3E0" w:rsidR="00F84004" w:rsidRPr="00E4655C" w:rsidRDefault="00F84004">
      <w:pPr>
        <w:pStyle w:val="FootnoteText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Pr="00E4655C">
        <w:rPr>
          <w:rFonts w:ascii="Times New Roman" w:hAnsi="Times New Roman" w:cs="Times New Roman"/>
          <w:i/>
        </w:rPr>
        <w:t>See, e.g.</w:t>
      </w:r>
      <w:r w:rsidRPr="00E4655C">
        <w:rPr>
          <w:rFonts w:ascii="Times New Roman" w:hAnsi="Times New Roman" w:cs="Times New Roman"/>
        </w:rPr>
        <w:t>, CTIA Petition for Reconsideration; Response of T-Mobile, GN Docket No. 12-354 (Oct. 20, 2016); Joan Marsh Blog</w:t>
      </w:r>
      <w:r w:rsidR="004C3AB7" w:rsidRPr="00E4655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7757" w14:textId="77777777" w:rsidR="00230B91" w:rsidRDefault="00230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BFC3" w14:textId="77777777" w:rsidR="00230B91" w:rsidRDefault="00230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850D" w14:textId="77777777" w:rsidR="00230B91" w:rsidRDefault="00230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89"/>
    <w:rsid w:val="00035559"/>
    <w:rsid w:val="00042B68"/>
    <w:rsid w:val="00046975"/>
    <w:rsid w:val="00086C08"/>
    <w:rsid w:val="000C449C"/>
    <w:rsid w:val="000D28ED"/>
    <w:rsid w:val="000E4938"/>
    <w:rsid w:val="00122700"/>
    <w:rsid w:val="00137B72"/>
    <w:rsid w:val="00181DED"/>
    <w:rsid w:val="001932C8"/>
    <w:rsid w:val="001B317C"/>
    <w:rsid w:val="001C0879"/>
    <w:rsid w:val="001D6479"/>
    <w:rsid w:val="00225758"/>
    <w:rsid w:val="00230B91"/>
    <w:rsid w:val="00232F53"/>
    <w:rsid w:val="002B3F4A"/>
    <w:rsid w:val="0030678E"/>
    <w:rsid w:val="0033008E"/>
    <w:rsid w:val="0033610A"/>
    <w:rsid w:val="0034193A"/>
    <w:rsid w:val="00347B0A"/>
    <w:rsid w:val="003502E4"/>
    <w:rsid w:val="00426E2F"/>
    <w:rsid w:val="004322C6"/>
    <w:rsid w:val="004A1389"/>
    <w:rsid w:val="004B1B64"/>
    <w:rsid w:val="004C3AB7"/>
    <w:rsid w:val="006061D4"/>
    <w:rsid w:val="00613286"/>
    <w:rsid w:val="0062759C"/>
    <w:rsid w:val="00650D29"/>
    <w:rsid w:val="00682BD4"/>
    <w:rsid w:val="00684487"/>
    <w:rsid w:val="007471FC"/>
    <w:rsid w:val="0075120A"/>
    <w:rsid w:val="00774BCA"/>
    <w:rsid w:val="00792ADE"/>
    <w:rsid w:val="007F2A0E"/>
    <w:rsid w:val="00837F5C"/>
    <w:rsid w:val="0085362E"/>
    <w:rsid w:val="008A6999"/>
    <w:rsid w:val="008E6F70"/>
    <w:rsid w:val="00934690"/>
    <w:rsid w:val="00944B39"/>
    <w:rsid w:val="00951575"/>
    <w:rsid w:val="00971DD1"/>
    <w:rsid w:val="009B2149"/>
    <w:rsid w:val="009C5BC4"/>
    <w:rsid w:val="009E057A"/>
    <w:rsid w:val="00A00268"/>
    <w:rsid w:val="00A10416"/>
    <w:rsid w:val="00A159BC"/>
    <w:rsid w:val="00A2412D"/>
    <w:rsid w:val="00A70C24"/>
    <w:rsid w:val="00AD5A30"/>
    <w:rsid w:val="00B17790"/>
    <w:rsid w:val="00B42C38"/>
    <w:rsid w:val="00B57E50"/>
    <w:rsid w:val="00B85CB2"/>
    <w:rsid w:val="00BC5792"/>
    <w:rsid w:val="00BE16A3"/>
    <w:rsid w:val="00C16E90"/>
    <w:rsid w:val="00C26115"/>
    <w:rsid w:val="00C414E0"/>
    <w:rsid w:val="00C572EF"/>
    <w:rsid w:val="00C762F3"/>
    <w:rsid w:val="00C7690A"/>
    <w:rsid w:val="00C94851"/>
    <w:rsid w:val="00C96D29"/>
    <w:rsid w:val="00CE67BA"/>
    <w:rsid w:val="00CE6BDA"/>
    <w:rsid w:val="00DD3CDC"/>
    <w:rsid w:val="00E077F5"/>
    <w:rsid w:val="00E4655C"/>
    <w:rsid w:val="00E60A34"/>
    <w:rsid w:val="00E63EEF"/>
    <w:rsid w:val="00E66FB9"/>
    <w:rsid w:val="00ED63EA"/>
    <w:rsid w:val="00EE76B0"/>
    <w:rsid w:val="00EF1FC6"/>
    <w:rsid w:val="00F0389B"/>
    <w:rsid w:val="00F04A9B"/>
    <w:rsid w:val="00F332F7"/>
    <w:rsid w:val="00F84004"/>
    <w:rsid w:val="00F84788"/>
    <w:rsid w:val="00FB1443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8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6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1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87"/>
  </w:style>
  <w:style w:type="paragraph" w:styleId="Footer">
    <w:name w:val="footer"/>
    <w:basedOn w:val="Normal"/>
    <w:link w:val="Foot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6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1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87"/>
  </w:style>
  <w:style w:type="paragraph" w:styleId="Footer">
    <w:name w:val="footer"/>
    <w:basedOn w:val="Normal"/>
    <w:link w:val="Foot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aw.com/Find/Default.wl?rs=dfa1.0&amp;vr=2.0&amp;DB=1077005&amp;DocName=UU%28IE76C68205D-6F11E1953ED-0FCCD72A401%29&amp;FindType=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6428</Characters>
  <Application>Microsoft Office Word</Application>
  <DocSecurity>0</DocSecurity>
  <Lines>97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2016-04-28T14:16:00Z</cp:lastPrinted>
  <dcterms:created xsi:type="dcterms:W3CDTF">2016-04-28T22:22:00Z</dcterms:created>
  <dcterms:modified xsi:type="dcterms:W3CDTF">2016-04-28T22:22:00Z</dcterms:modified>
  <cp:category> </cp:category>
  <cp:contentStatus> </cp:contentStatus>
</cp:coreProperties>
</file>