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402A38"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Default="00390E44" w:rsidP="00390E44">
            <w:pPr>
              <w:tabs>
                <w:tab w:val="left" w:pos="8625"/>
              </w:tabs>
              <w:jc w:val="center"/>
              <w:rPr>
                <w:b/>
                <w:bCs/>
                <w:sz w:val="26"/>
                <w:szCs w:val="26"/>
              </w:rPr>
            </w:pPr>
            <w:r>
              <w:rPr>
                <w:b/>
                <w:bCs/>
                <w:sz w:val="26"/>
                <w:szCs w:val="26"/>
              </w:rPr>
              <w:t xml:space="preserve">ON </w:t>
            </w:r>
            <w:r w:rsidR="008B451E">
              <w:rPr>
                <w:b/>
                <w:bCs/>
                <w:sz w:val="26"/>
                <w:szCs w:val="26"/>
              </w:rPr>
              <w:t>RECOMMENDATION REGARDING CHARTER/TIME WARNER CABLE/BRIGHT HOUSE NETWORKS</w:t>
            </w:r>
          </w:p>
          <w:p w:rsidR="008B451E" w:rsidRPr="008A3940" w:rsidRDefault="008B451E" w:rsidP="00390E44">
            <w:pPr>
              <w:tabs>
                <w:tab w:val="left" w:pos="8625"/>
              </w:tabs>
              <w:jc w:val="center"/>
              <w:rPr>
                <w:i/>
              </w:rPr>
            </w:pPr>
          </w:p>
          <w:p w:rsidR="008B451E" w:rsidRDefault="00E60FBD" w:rsidP="008B451E">
            <w:pPr>
              <w:rPr>
                <w:sz w:val="22"/>
                <w:szCs w:val="22"/>
              </w:rPr>
            </w:pPr>
            <w:r w:rsidRPr="00BD2A56">
              <w:rPr>
                <w:color w:val="000000" w:themeColor="text1"/>
              </w:rPr>
              <w:t xml:space="preserve">WASHINGTON, </w:t>
            </w:r>
            <w:r w:rsidR="008B451E">
              <w:rPr>
                <w:color w:val="000000" w:themeColor="text1"/>
              </w:rPr>
              <w:t>April</w:t>
            </w:r>
            <w:r w:rsidRPr="00BD2A56">
              <w:rPr>
                <w:color w:val="000000" w:themeColor="text1"/>
              </w:rPr>
              <w:t xml:space="preserve"> </w:t>
            </w:r>
            <w:r w:rsidR="008B451E">
              <w:rPr>
                <w:color w:val="000000" w:themeColor="text1"/>
              </w:rPr>
              <w:t>25</w:t>
            </w:r>
            <w:r w:rsidRPr="00BD2A56">
              <w:rPr>
                <w:color w:val="000000" w:themeColor="text1"/>
              </w:rPr>
              <w:t xml:space="preserve">, </w:t>
            </w:r>
            <w:r w:rsidR="008B451E">
              <w:rPr>
                <w:color w:val="000000" w:themeColor="text1"/>
              </w:rPr>
              <w:t>2016</w:t>
            </w:r>
            <w:r w:rsidRPr="00BD2A56">
              <w:rPr>
                <w:color w:val="000000" w:themeColor="text1"/>
              </w:rPr>
              <w:t>.</w:t>
            </w:r>
            <w:r w:rsidRPr="00BD2A56">
              <w:t xml:space="preserve"> —</w:t>
            </w:r>
            <w:r w:rsidR="008B451E">
              <w:t xml:space="preserve"> As publicly acknowledged, the Chairman and his team have put forward recommendations regarding Charter’s proposal to acquire Time Warner Cable and Bright House Networks.   At first blush, it appears that the Commission may have operated well outside the four corners of the merger application to pursue unrelated matters and policies.   I will carefully consider the item put before me and vote in a timely manner.  </w:t>
            </w:r>
          </w:p>
          <w:p w:rsidR="004F3538" w:rsidRPr="00BD2A56" w:rsidRDefault="004F3538" w:rsidP="00E60FBD">
            <w:pPr>
              <w:tabs>
                <w:tab w:val="left" w:pos="8625"/>
              </w:tabs>
              <w:rPr>
                <w:color w:val="000000" w:themeColor="text1"/>
              </w:rPr>
            </w:pPr>
          </w:p>
          <w:p w:rsidR="00E60FBD" w:rsidRPr="00E60FBD" w:rsidRDefault="00E60FBD" w:rsidP="00E60FBD">
            <w:pPr>
              <w:tabs>
                <w:tab w:val="left" w:pos="8625"/>
              </w:tabs>
              <w:jc w:val="center"/>
              <w:rPr>
                <w:b/>
                <w:bCs/>
                <w:sz w:val="22"/>
                <w:szCs w:val="22"/>
              </w:rPr>
            </w:pPr>
          </w:p>
          <w:p w:rsidR="004F3538" w:rsidRDefault="004F3538" w:rsidP="00BB4E29">
            <w:pPr>
              <w:tabs>
                <w:tab w:val="left" w:pos="8625"/>
              </w:tabs>
              <w:jc w:val="center"/>
              <w:rPr>
                <w:b/>
                <w:bCs/>
                <w:i/>
                <w:sz w:val="28"/>
                <w:szCs w:val="32"/>
              </w:rPr>
            </w:pPr>
          </w:p>
          <w:p w:rsidR="004F3538" w:rsidRDefault="004F3538" w:rsidP="008B451E">
            <w:pPr>
              <w:tabs>
                <w:tab w:val="left" w:pos="8625"/>
              </w:tabs>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6D" w:rsidRDefault="0059176D" w:rsidP="0059176D">
      <w:r>
        <w:separator/>
      </w:r>
    </w:p>
  </w:endnote>
  <w:endnote w:type="continuationSeparator" w:id="0">
    <w:p w:rsidR="0059176D" w:rsidRDefault="0059176D" w:rsidP="0059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6D" w:rsidRDefault="00591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6D" w:rsidRDefault="00591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6D" w:rsidRDefault="00591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6D" w:rsidRDefault="0059176D" w:rsidP="0059176D">
      <w:r>
        <w:separator/>
      </w:r>
    </w:p>
  </w:footnote>
  <w:footnote w:type="continuationSeparator" w:id="0">
    <w:p w:rsidR="0059176D" w:rsidRDefault="0059176D" w:rsidP="0059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6D" w:rsidRDefault="00591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6D" w:rsidRDefault="00591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6D" w:rsidRDefault="00591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2A38"/>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DAE"/>
    <w:rsid w:val="00571B83"/>
    <w:rsid w:val="00575A00"/>
    <w:rsid w:val="0058673C"/>
    <w:rsid w:val="0059176D"/>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B451E"/>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59176D"/>
    <w:pPr>
      <w:tabs>
        <w:tab w:val="center" w:pos="4680"/>
        <w:tab w:val="right" w:pos="9360"/>
      </w:tabs>
    </w:pPr>
  </w:style>
  <w:style w:type="character" w:customStyle="1" w:styleId="HeaderChar">
    <w:name w:val="Header Char"/>
    <w:basedOn w:val="DefaultParagraphFont"/>
    <w:link w:val="Header"/>
    <w:rsid w:val="0059176D"/>
    <w:rPr>
      <w:sz w:val="24"/>
      <w:szCs w:val="24"/>
    </w:rPr>
  </w:style>
  <w:style w:type="paragraph" w:styleId="Footer">
    <w:name w:val="footer"/>
    <w:basedOn w:val="Normal"/>
    <w:link w:val="FooterChar"/>
    <w:unhideWhenUsed/>
    <w:rsid w:val="0059176D"/>
    <w:pPr>
      <w:tabs>
        <w:tab w:val="center" w:pos="4680"/>
        <w:tab w:val="right" w:pos="9360"/>
      </w:tabs>
    </w:pPr>
  </w:style>
  <w:style w:type="character" w:customStyle="1" w:styleId="FooterChar">
    <w:name w:val="Footer Char"/>
    <w:basedOn w:val="DefaultParagraphFont"/>
    <w:link w:val="Footer"/>
    <w:rsid w:val="005917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59176D"/>
    <w:pPr>
      <w:tabs>
        <w:tab w:val="center" w:pos="4680"/>
        <w:tab w:val="right" w:pos="9360"/>
      </w:tabs>
    </w:pPr>
  </w:style>
  <w:style w:type="character" w:customStyle="1" w:styleId="HeaderChar">
    <w:name w:val="Header Char"/>
    <w:basedOn w:val="DefaultParagraphFont"/>
    <w:link w:val="Header"/>
    <w:rsid w:val="0059176D"/>
    <w:rPr>
      <w:sz w:val="24"/>
      <w:szCs w:val="24"/>
    </w:rPr>
  </w:style>
  <w:style w:type="paragraph" w:styleId="Footer">
    <w:name w:val="footer"/>
    <w:basedOn w:val="Normal"/>
    <w:link w:val="FooterChar"/>
    <w:unhideWhenUsed/>
    <w:rsid w:val="0059176D"/>
    <w:pPr>
      <w:tabs>
        <w:tab w:val="center" w:pos="4680"/>
        <w:tab w:val="right" w:pos="9360"/>
      </w:tabs>
    </w:pPr>
  </w:style>
  <w:style w:type="character" w:customStyle="1" w:styleId="FooterChar">
    <w:name w:val="Footer Char"/>
    <w:basedOn w:val="DefaultParagraphFont"/>
    <w:link w:val="Footer"/>
    <w:rsid w:val="00591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683161776">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812</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2016-04-25T19:27:00Z</dcterms:created>
  <dcterms:modified xsi:type="dcterms:W3CDTF">2016-04-25T19:27:00Z</dcterms:modified>
  <cp:category> </cp:category>
  <cp:contentStatus> </cp:contentStatus>
</cp:coreProperties>
</file>