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1A1065" w14:paraId="5373F585" w14:textId="77777777" w:rsidTr="006D5D22">
        <w:trPr>
          <w:trHeight w:val="2181"/>
        </w:trPr>
        <w:tc>
          <w:tcPr>
            <w:tcW w:w="8856" w:type="dxa"/>
          </w:tcPr>
          <w:p w14:paraId="267F02B2" w14:textId="77777777" w:rsidR="00FF232D" w:rsidRPr="001A1065" w:rsidRDefault="00CE14FD" w:rsidP="001A1065">
            <w:pPr>
              <w:spacing w:after="12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A1065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41CE473C" wp14:editId="218FB179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7248D" w14:textId="187C3703" w:rsidR="00426518" w:rsidRPr="001A1065" w:rsidRDefault="00426518" w:rsidP="001A1065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14:paraId="4E6236C6" w14:textId="77777777" w:rsidR="007A44F8" w:rsidRPr="001A1065" w:rsidRDefault="007A44F8" w:rsidP="001A1065">
            <w:pPr>
              <w:rPr>
                <w:b/>
                <w:bCs/>
                <w:sz w:val="22"/>
                <w:szCs w:val="22"/>
              </w:rPr>
            </w:pPr>
            <w:r w:rsidRPr="001A1065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28DC2605" w14:textId="77777777" w:rsidR="007A44F8" w:rsidRPr="001A1065" w:rsidRDefault="00782F30" w:rsidP="001A1065">
            <w:pPr>
              <w:rPr>
                <w:bCs/>
                <w:sz w:val="22"/>
                <w:szCs w:val="22"/>
              </w:rPr>
            </w:pPr>
            <w:r w:rsidRPr="001A1065">
              <w:rPr>
                <w:bCs/>
                <w:sz w:val="22"/>
                <w:szCs w:val="22"/>
              </w:rPr>
              <w:t>Mark Wigfield</w:t>
            </w:r>
            <w:r w:rsidR="007A44F8" w:rsidRPr="001A1065">
              <w:rPr>
                <w:bCs/>
                <w:sz w:val="22"/>
                <w:szCs w:val="22"/>
              </w:rPr>
              <w:t xml:space="preserve">, </w:t>
            </w:r>
            <w:r w:rsidR="00AC0A38" w:rsidRPr="001A1065">
              <w:rPr>
                <w:bCs/>
                <w:sz w:val="22"/>
                <w:szCs w:val="22"/>
              </w:rPr>
              <w:t>(</w:t>
            </w:r>
            <w:r w:rsidR="007A44F8" w:rsidRPr="001A1065">
              <w:rPr>
                <w:bCs/>
                <w:sz w:val="22"/>
                <w:szCs w:val="22"/>
              </w:rPr>
              <w:t>202</w:t>
            </w:r>
            <w:r w:rsidR="00AC0A38" w:rsidRPr="001A1065">
              <w:rPr>
                <w:bCs/>
                <w:sz w:val="22"/>
                <w:szCs w:val="22"/>
              </w:rPr>
              <w:t xml:space="preserve">) </w:t>
            </w:r>
            <w:r w:rsidRPr="001A1065">
              <w:rPr>
                <w:bCs/>
                <w:sz w:val="22"/>
                <w:szCs w:val="22"/>
              </w:rPr>
              <w:t>418-0253</w:t>
            </w:r>
          </w:p>
          <w:p w14:paraId="20AB4A5C" w14:textId="535D7EB0" w:rsidR="00FF232D" w:rsidRDefault="004D0D26" w:rsidP="001A10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mark.wigfield@fcc.gov</w:t>
            </w:r>
          </w:p>
          <w:p w14:paraId="66507C44" w14:textId="77777777" w:rsidR="001A1065" w:rsidRPr="001A1065" w:rsidRDefault="001A1065" w:rsidP="001A1065">
            <w:pPr>
              <w:rPr>
                <w:bCs/>
                <w:sz w:val="22"/>
                <w:szCs w:val="22"/>
              </w:rPr>
            </w:pPr>
          </w:p>
          <w:p w14:paraId="38BC3C88" w14:textId="77777777" w:rsidR="007A44F8" w:rsidRPr="001A1065" w:rsidRDefault="007A44F8" w:rsidP="001A1065">
            <w:pPr>
              <w:spacing w:after="120"/>
              <w:rPr>
                <w:b/>
                <w:sz w:val="22"/>
                <w:szCs w:val="22"/>
              </w:rPr>
            </w:pPr>
            <w:r w:rsidRPr="001A1065">
              <w:rPr>
                <w:b/>
                <w:sz w:val="22"/>
                <w:szCs w:val="22"/>
              </w:rPr>
              <w:t>For Immediate Release</w:t>
            </w:r>
          </w:p>
          <w:p w14:paraId="286B029A" w14:textId="77777777" w:rsidR="007A44F8" w:rsidRPr="001A1065" w:rsidRDefault="007A44F8" w:rsidP="001A1065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  <w:p w14:paraId="2C4F9594" w14:textId="77777777" w:rsidR="00CC5E08" w:rsidRPr="001A1065" w:rsidRDefault="00782F30" w:rsidP="001A106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A1065">
              <w:rPr>
                <w:b/>
                <w:bCs/>
                <w:sz w:val="22"/>
                <w:szCs w:val="22"/>
              </w:rPr>
              <w:t>FCC Moves to Expand Rural Broadband Deployment by Modernizing and Reforming Universal Service Support for Small Carriers</w:t>
            </w:r>
          </w:p>
          <w:p w14:paraId="042A1B1F" w14:textId="77777777" w:rsidR="00782F30" w:rsidRPr="001A1065" w:rsidRDefault="00782F30" w:rsidP="001A106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  <w:p w14:paraId="5E5F2B42" w14:textId="08FE7B7F" w:rsidR="009C4872" w:rsidRPr="001A1065" w:rsidRDefault="00782F30" w:rsidP="001A1065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1A1065">
              <w:rPr>
                <w:sz w:val="22"/>
                <w:szCs w:val="22"/>
              </w:rPr>
              <w:t xml:space="preserve">WASHINGTON, </w:t>
            </w:r>
            <w:r w:rsidR="005B5FFE" w:rsidRPr="0055105C">
              <w:rPr>
                <w:sz w:val="22"/>
                <w:szCs w:val="22"/>
              </w:rPr>
              <w:t xml:space="preserve">March </w:t>
            </w:r>
            <w:r w:rsidR="0055105C" w:rsidRPr="0055105C">
              <w:rPr>
                <w:sz w:val="22"/>
                <w:szCs w:val="22"/>
              </w:rPr>
              <w:t>30</w:t>
            </w:r>
            <w:r w:rsidR="005B5FFE" w:rsidRPr="0055105C">
              <w:rPr>
                <w:sz w:val="22"/>
                <w:szCs w:val="22"/>
              </w:rPr>
              <w:t>,</w:t>
            </w:r>
            <w:r w:rsidR="005B5FFE" w:rsidRPr="001A1065">
              <w:rPr>
                <w:sz w:val="22"/>
                <w:szCs w:val="22"/>
              </w:rPr>
              <w:t xml:space="preserve"> 2016 – </w:t>
            </w:r>
            <w:r w:rsidR="009C4872" w:rsidRPr="001A1065">
              <w:rPr>
                <w:sz w:val="22"/>
                <w:szCs w:val="22"/>
              </w:rPr>
              <w:t>Taking further steps to expand rural broadband deployment, t</w:t>
            </w:r>
            <w:r w:rsidR="005B5FFE" w:rsidRPr="001A1065">
              <w:rPr>
                <w:sz w:val="22"/>
                <w:szCs w:val="22"/>
              </w:rPr>
              <w:t xml:space="preserve">he Federal Communications Commission </w:t>
            </w:r>
            <w:r w:rsidR="009C4872" w:rsidRPr="001A1065">
              <w:rPr>
                <w:sz w:val="22"/>
                <w:szCs w:val="22"/>
              </w:rPr>
              <w:t>unanimously approved moderniza</w:t>
            </w:r>
            <w:r w:rsidR="00F24383" w:rsidRPr="001A1065">
              <w:rPr>
                <w:sz w:val="22"/>
                <w:szCs w:val="22"/>
              </w:rPr>
              <w:t>tion and reform</w:t>
            </w:r>
            <w:r w:rsidR="00F779B0" w:rsidRPr="001A1065">
              <w:rPr>
                <w:sz w:val="22"/>
                <w:szCs w:val="22"/>
              </w:rPr>
              <w:t xml:space="preserve"> of its </w:t>
            </w:r>
            <w:r w:rsidR="00347BCB" w:rsidRPr="001A1065">
              <w:rPr>
                <w:sz w:val="22"/>
                <w:szCs w:val="22"/>
              </w:rPr>
              <w:t xml:space="preserve">universal service </w:t>
            </w:r>
            <w:r w:rsidR="00F779B0" w:rsidRPr="001A1065">
              <w:rPr>
                <w:sz w:val="22"/>
                <w:szCs w:val="22"/>
              </w:rPr>
              <w:t>program</w:t>
            </w:r>
            <w:r w:rsidR="009C4872" w:rsidRPr="001A1065">
              <w:rPr>
                <w:sz w:val="22"/>
                <w:szCs w:val="22"/>
              </w:rPr>
              <w:t xml:space="preserve"> </w:t>
            </w:r>
            <w:r w:rsidR="00347BCB" w:rsidRPr="001A1065">
              <w:rPr>
                <w:sz w:val="22"/>
                <w:szCs w:val="22"/>
              </w:rPr>
              <w:t xml:space="preserve">supporting </w:t>
            </w:r>
            <w:r w:rsidR="009C4872" w:rsidRPr="001A1065">
              <w:rPr>
                <w:sz w:val="22"/>
                <w:szCs w:val="22"/>
              </w:rPr>
              <w:t>the nation’s small rural carriers</w:t>
            </w:r>
            <w:r w:rsidR="00347BCB" w:rsidRPr="001A1065">
              <w:rPr>
                <w:sz w:val="22"/>
                <w:szCs w:val="22"/>
              </w:rPr>
              <w:t>, known as “rate-of-return” carriers</w:t>
            </w:r>
            <w:r w:rsidR="009C4872" w:rsidRPr="001A1065">
              <w:rPr>
                <w:sz w:val="22"/>
                <w:szCs w:val="22"/>
              </w:rPr>
              <w:t>.</w:t>
            </w:r>
          </w:p>
          <w:p w14:paraId="040B6942" w14:textId="61867525" w:rsidR="00D36E02" w:rsidRPr="001A1065" w:rsidRDefault="00376796" w:rsidP="001A1065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Providing </w:t>
            </w:r>
            <w:r w:rsidR="00274328">
              <w:rPr>
                <w:sz w:val="22"/>
                <w:szCs w:val="22"/>
              </w:rPr>
              <w:t xml:space="preserve">approximately </w:t>
            </w:r>
            <w:r w:rsidR="00817269" w:rsidRPr="001A1065">
              <w:rPr>
                <w:sz w:val="22"/>
                <w:szCs w:val="22"/>
              </w:rPr>
              <w:t xml:space="preserve">$20 billion in support over the next 10 years, </w:t>
            </w:r>
            <w:r w:rsidR="00F779B0" w:rsidRPr="001A1065">
              <w:rPr>
                <w:sz w:val="22"/>
                <w:szCs w:val="22"/>
              </w:rPr>
              <w:t>modernization</w:t>
            </w:r>
            <w:r w:rsidR="00347BCB" w:rsidRPr="001A1065">
              <w:rPr>
                <w:sz w:val="22"/>
                <w:szCs w:val="22"/>
              </w:rPr>
              <w:t>s</w:t>
            </w:r>
            <w:r w:rsidR="004D0D26">
              <w:rPr>
                <w:sz w:val="22"/>
                <w:szCs w:val="22"/>
              </w:rPr>
              <w:t xml:space="preserve"> of the universal service program for high-cost areas </w:t>
            </w:r>
            <w:r w:rsidR="00347BCB" w:rsidRPr="001A1065">
              <w:rPr>
                <w:sz w:val="22"/>
                <w:szCs w:val="22"/>
              </w:rPr>
              <w:t xml:space="preserve">include enabling </w:t>
            </w:r>
            <w:r w:rsidR="006D6612">
              <w:rPr>
                <w:sz w:val="22"/>
                <w:szCs w:val="22"/>
              </w:rPr>
              <w:t>rate-of-return</w:t>
            </w:r>
            <w:r>
              <w:rPr>
                <w:sz w:val="22"/>
                <w:szCs w:val="22"/>
              </w:rPr>
              <w:t xml:space="preserve"> </w:t>
            </w:r>
            <w:r w:rsidR="00817269" w:rsidRPr="001A1065">
              <w:rPr>
                <w:sz w:val="22"/>
                <w:szCs w:val="22"/>
              </w:rPr>
              <w:t xml:space="preserve">providers to </w:t>
            </w:r>
            <w:r w:rsidR="00F779B0" w:rsidRPr="001A1065">
              <w:rPr>
                <w:sz w:val="22"/>
                <w:szCs w:val="22"/>
              </w:rPr>
              <w:t xml:space="preserve">meet consumer demand for stand-alone broadband. </w:t>
            </w:r>
            <w:r w:rsidR="00D36E02" w:rsidRPr="001A1065">
              <w:rPr>
                <w:sz w:val="22"/>
                <w:szCs w:val="22"/>
              </w:rPr>
              <w:t xml:space="preserve">Reforms </w:t>
            </w:r>
            <w:r w:rsidR="00E241F3" w:rsidRPr="001A1065">
              <w:rPr>
                <w:sz w:val="22"/>
                <w:szCs w:val="22"/>
              </w:rPr>
              <w:t>include better</w:t>
            </w:r>
            <w:r w:rsidR="00D36E02" w:rsidRPr="001A1065">
              <w:rPr>
                <w:sz w:val="22"/>
                <w:szCs w:val="22"/>
              </w:rPr>
              <w:t xml:space="preserve"> </w:t>
            </w:r>
            <w:r w:rsidR="00817269" w:rsidRPr="001A1065">
              <w:rPr>
                <w:sz w:val="22"/>
                <w:szCs w:val="22"/>
              </w:rPr>
              <w:t>target</w:t>
            </w:r>
            <w:r w:rsidR="00D36E02" w:rsidRPr="001A1065">
              <w:rPr>
                <w:sz w:val="22"/>
                <w:szCs w:val="22"/>
              </w:rPr>
              <w:t>ing of support</w:t>
            </w:r>
            <w:r w:rsidR="00817269" w:rsidRPr="001A1065">
              <w:rPr>
                <w:sz w:val="22"/>
                <w:szCs w:val="22"/>
              </w:rPr>
              <w:t xml:space="preserve"> to communities that need it the most</w:t>
            </w:r>
            <w:r w:rsidR="00D36E02" w:rsidRPr="001A1065">
              <w:rPr>
                <w:sz w:val="22"/>
                <w:szCs w:val="22"/>
              </w:rPr>
              <w:t>.</w:t>
            </w:r>
          </w:p>
          <w:p w14:paraId="44D1BA21" w14:textId="77777777" w:rsidR="00817269" w:rsidRPr="001A1065" w:rsidRDefault="00817269" w:rsidP="001A1065">
            <w:pPr>
              <w:spacing w:after="120"/>
              <w:rPr>
                <w:sz w:val="22"/>
                <w:szCs w:val="22"/>
              </w:rPr>
            </w:pPr>
            <w:r w:rsidRPr="001A1065">
              <w:rPr>
                <w:sz w:val="22"/>
                <w:szCs w:val="22"/>
              </w:rPr>
              <w:t>Broadband is critical in the 21</w:t>
            </w:r>
            <w:r w:rsidRPr="001A1065">
              <w:rPr>
                <w:sz w:val="22"/>
                <w:szCs w:val="22"/>
                <w:vertAlign w:val="superscript"/>
              </w:rPr>
              <w:t>st</w:t>
            </w:r>
            <w:r w:rsidRPr="001A1065">
              <w:rPr>
                <w:sz w:val="22"/>
                <w:szCs w:val="22"/>
              </w:rPr>
              <w:t xml:space="preserve"> Century, providing consumers with access to jobs, education and information, facilitating civic engagement, connecting local business and industry to global markets and more</w:t>
            </w:r>
            <w:r w:rsidR="00347BCB" w:rsidRPr="001A1065">
              <w:rPr>
                <w:sz w:val="22"/>
                <w:szCs w:val="22"/>
              </w:rPr>
              <w:t>.</w:t>
            </w:r>
            <w:r w:rsidR="00765C57" w:rsidRPr="001A1065">
              <w:rPr>
                <w:sz w:val="22"/>
                <w:szCs w:val="22"/>
              </w:rPr>
              <w:t xml:space="preserve"> </w:t>
            </w:r>
            <w:r w:rsidRPr="001A1065">
              <w:rPr>
                <w:sz w:val="22"/>
                <w:szCs w:val="22"/>
              </w:rPr>
              <w:t>Since the FCC’s universal service reforms of 2011, rate-of-return carriers have made substantial progress expanding broadband deployment, expanding th</w:t>
            </w:r>
            <w:r w:rsidR="00765C57" w:rsidRPr="001A1065">
              <w:rPr>
                <w:sz w:val="22"/>
                <w:szCs w:val="22"/>
              </w:rPr>
              <w:t>eir reach by 45%.</w:t>
            </w:r>
          </w:p>
          <w:p w14:paraId="3CDE63D2" w14:textId="71648710" w:rsidR="00817269" w:rsidRPr="001A1065" w:rsidRDefault="00E241F3" w:rsidP="001A1065">
            <w:pPr>
              <w:spacing w:after="12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</w:t>
            </w:r>
            <w:r w:rsidR="00817269" w:rsidRPr="001A1065">
              <w:rPr>
                <w:sz w:val="22"/>
                <w:szCs w:val="22"/>
              </w:rPr>
              <w:t xml:space="preserve"> </w:t>
            </w:r>
            <w:r w:rsidR="00240101">
              <w:rPr>
                <w:sz w:val="22"/>
                <w:szCs w:val="22"/>
              </w:rPr>
              <w:t>roughly 20</w:t>
            </w:r>
            <w:r w:rsidR="00763A26" w:rsidRPr="001A1065">
              <w:rPr>
                <w:sz w:val="22"/>
                <w:szCs w:val="22"/>
              </w:rPr>
              <w:t xml:space="preserve"> </w:t>
            </w:r>
            <w:r w:rsidR="00817269" w:rsidRPr="001A1065">
              <w:rPr>
                <w:sz w:val="22"/>
                <w:szCs w:val="22"/>
              </w:rPr>
              <w:t xml:space="preserve">percent of all </w:t>
            </w:r>
            <w:r w:rsidR="00291855" w:rsidRPr="001A1065">
              <w:rPr>
                <w:sz w:val="22"/>
                <w:szCs w:val="22"/>
              </w:rPr>
              <w:t xml:space="preserve">homes </w:t>
            </w:r>
            <w:r w:rsidR="00817269" w:rsidRPr="001A1065">
              <w:rPr>
                <w:sz w:val="22"/>
                <w:szCs w:val="22"/>
              </w:rPr>
              <w:t xml:space="preserve">in rate-of-return areas </w:t>
            </w:r>
            <w:r>
              <w:rPr>
                <w:sz w:val="22"/>
                <w:szCs w:val="22"/>
              </w:rPr>
              <w:t xml:space="preserve">still </w:t>
            </w:r>
            <w:r w:rsidR="00817269" w:rsidRPr="001A1065">
              <w:rPr>
                <w:sz w:val="22"/>
                <w:szCs w:val="22"/>
              </w:rPr>
              <w:t>lack access to terrestrial fixed broadband</w:t>
            </w:r>
            <w:r w:rsidR="00151E57">
              <w:rPr>
                <w:sz w:val="22"/>
                <w:szCs w:val="22"/>
              </w:rPr>
              <w:t xml:space="preserve"> meeting the FCC’s benchmark</w:t>
            </w:r>
            <w:r>
              <w:rPr>
                <w:sz w:val="22"/>
                <w:szCs w:val="22"/>
              </w:rPr>
              <w:t>s</w:t>
            </w:r>
            <w:r w:rsidR="00763A26">
              <w:rPr>
                <w:sz w:val="22"/>
                <w:szCs w:val="22"/>
              </w:rPr>
              <w:t xml:space="preserve"> for the high-cost program</w:t>
            </w:r>
            <w:r w:rsidR="00817269" w:rsidRPr="001A1065">
              <w:rPr>
                <w:sz w:val="22"/>
                <w:szCs w:val="22"/>
              </w:rPr>
              <w:t>.</w:t>
            </w:r>
            <w:r w:rsidR="00291855" w:rsidRPr="001A1065">
              <w:rPr>
                <w:sz w:val="22"/>
                <w:szCs w:val="22"/>
              </w:rPr>
              <w:t xml:space="preserve"> </w:t>
            </w:r>
            <w:r w:rsidR="00151E57">
              <w:rPr>
                <w:sz w:val="22"/>
                <w:szCs w:val="22"/>
              </w:rPr>
              <w:t xml:space="preserve">Efficient, effective universal service support </w:t>
            </w:r>
            <w:r>
              <w:rPr>
                <w:sz w:val="22"/>
                <w:szCs w:val="22"/>
              </w:rPr>
              <w:t>is critical</w:t>
            </w:r>
            <w:r w:rsidR="001A1065">
              <w:rPr>
                <w:sz w:val="22"/>
                <w:szCs w:val="22"/>
              </w:rPr>
              <w:t xml:space="preserve"> to the expansion of </w:t>
            </w:r>
            <w:r w:rsidR="00151E57">
              <w:rPr>
                <w:sz w:val="22"/>
                <w:szCs w:val="22"/>
              </w:rPr>
              <w:t xml:space="preserve">affordable </w:t>
            </w:r>
            <w:r w:rsidR="00D36E02" w:rsidRPr="001A1065">
              <w:rPr>
                <w:sz w:val="22"/>
                <w:szCs w:val="22"/>
              </w:rPr>
              <w:t xml:space="preserve">broadband </w:t>
            </w:r>
            <w:r w:rsidR="00376796">
              <w:rPr>
                <w:sz w:val="22"/>
                <w:szCs w:val="22"/>
              </w:rPr>
              <w:t xml:space="preserve">in </w:t>
            </w:r>
            <w:r w:rsidR="006D6612">
              <w:rPr>
                <w:sz w:val="22"/>
                <w:szCs w:val="22"/>
              </w:rPr>
              <w:t>high-c</w:t>
            </w:r>
            <w:r w:rsidR="00376796">
              <w:rPr>
                <w:sz w:val="22"/>
                <w:szCs w:val="22"/>
              </w:rPr>
              <w:t xml:space="preserve">ost rate-of-return areas </w:t>
            </w:r>
            <w:r w:rsidR="00EF0EC3">
              <w:rPr>
                <w:sz w:val="22"/>
                <w:szCs w:val="22"/>
              </w:rPr>
              <w:t>that currently lack service.</w:t>
            </w:r>
            <w:r w:rsidR="00240101">
              <w:rPr>
                <w:sz w:val="22"/>
                <w:szCs w:val="22"/>
              </w:rPr>
              <w:t xml:space="preserve"> </w:t>
            </w:r>
          </w:p>
          <w:p w14:paraId="3AA85558" w14:textId="77777777" w:rsidR="00291855" w:rsidRPr="001A1065" w:rsidRDefault="00291855" w:rsidP="001A1065">
            <w:pPr>
              <w:spacing w:after="120" w:line="252" w:lineRule="auto"/>
              <w:rPr>
                <w:sz w:val="22"/>
                <w:szCs w:val="22"/>
              </w:rPr>
            </w:pPr>
            <w:r w:rsidRPr="001A1065">
              <w:rPr>
                <w:sz w:val="22"/>
                <w:szCs w:val="22"/>
              </w:rPr>
              <w:t xml:space="preserve">Following are the key elements of the </w:t>
            </w:r>
            <w:r w:rsidR="00D36E02" w:rsidRPr="001A1065">
              <w:rPr>
                <w:sz w:val="22"/>
                <w:szCs w:val="22"/>
              </w:rPr>
              <w:t xml:space="preserve">item adopted by the Commission: </w:t>
            </w:r>
          </w:p>
          <w:p w14:paraId="66DED394" w14:textId="77777777" w:rsidR="00D36E02" w:rsidRPr="001A1065" w:rsidRDefault="00D36E02" w:rsidP="001A106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1A1065">
              <w:rPr>
                <w:rFonts w:ascii="Times New Roman" w:hAnsi="Times New Roman" w:cs="Times New Roman"/>
                <w:b/>
              </w:rPr>
              <w:t>Modernize</w:t>
            </w:r>
            <w:r w:rsidR="00E241F3">
              <w:rPr>
                <w:rFonts w:ascii="Times New Roman" w:hAnsi="Times New Roman" w:cs="Times New Roman"/>
                <w:b/>
              </w:rPr>
              <w:t>s</w:t>
            </w:r>
            <w:r w:rsidRPr="001A1065">
              <w:rPr>
                <w:rFonts w:ascii="Times New Roman" w:hAnsi="Times New Roman" w:cs="Times New Roman"/>
                <w:b/>
              </w:rPr>
              <w:t xml:space="preserve"> Existing Universal Service Program for Rate-of-Return Carriers </w:t>
            </w:r>
          </w:p>
          <w:p w14:paraId="0D67C0F7" w14:textId="77777777" w:rsidR="00D36E02" w:rsidRPr="001A1065" w:rsidRDefault="00D36E02" w:rsidP="001A1065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="Times New Roman" w:hAnsi="Times New Roman" w:cs="Times New Roman"/>
                <w:i/>
              </w:rPr>
            </w:pPr>
            <w:r w:rsidRPr="001A1065">
              <w:rPr>
                <w:rFonts w:ascii="Times New Roman" w:hAnsi="Times New Roman" w:cs="Times New Roman"/>
              </w:rPr>
              <w:t>Increases consumer choice by providing support for standalone broadband</w:t>
            </w:r>
          </w:p>
          <w:p w14:paraId="6062824B" w14:textId="48B22CC6" w:rsidR="00D36E02" w:rsidRPr="001A1065" w:rsidRDefault="00D36E02" w:rsidP="001A1065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="Times New Roman" w:hAnsi="Times New Roman" w:cs="Times New Roman"/>
                <w:i/>
              </w:rPr>
            </w:pPr>
            <w:r w:rsidRPr="001A1065">
              <w:rPr>
                <w:rFonts w:ascii="Times New Roman" w:hAnsi="Times New Roman" w:cs="Times New Roman"/>
              </w:rPr>
              <w:t xml:space="preserve">Encourages investment in areas lacking broadband deployment by providing greater capital expenditure allowances for carriers with below average deployment, and limiting allowable investments for those with above average </w:t>
            </w:r>
            <w:r w:rsidR="009B417E">
              <w:rPr>
                <w:rFonts w:ascii="Times New Roman" w:hAnsi="Times New Roman" w:cs="Times New Roman"/>
              </w:rPr>
              <w:t>deployment</w:t>
            </w:r>
            <w:r w:rsidR="009B417E" w:rsidRPr="001A1065">
              <w:rPr>
                <w:rFonts w:ascii="Times New Roman" w:hAnsi="Times New Roman" w:cs="Times New Roman"/>
              </w:rPr>
              <w:t xml:space="preserve"> </w:t>
            </w:r>
          </w:p>
          <w:p w14:paraId="3E2D6AC9" w14:textId="2FBA985B" w:rsidR="00D36E02" w:rsidRPr="001A1065" w:rsidRDefault="00D36E02" w:rsidP="001A1065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="Times New Roman" w:hAnsi="Times New Roman" w:cs="Times New Roman"/>
                <w:i/>
              </w:rPr>
            </w:pPr>
            <w:r w:rsidRPr="001A1065">
              <w:rPr>
                <w:rFonts w:ascii="Times New Roman" w:hAnsi="Times New Roman" w:cs="Times New Roman"/>
              </w:rPr>
              <w:t xml:space="preserve">Requires broadband deployment, based on number of locations lacking service, the cost of providing service, and support to be received </w:t>
            </w:r>
          </w:p>
          <w:p w14:paraId="6F667E4D" w14:textId="24739D4C" w:rsidR="00D36E02" w:rsidRPr="00843574" w:rsidRDefault="00843574" w:rsidP="001A1065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="Times New Roman" w:hAnsi="Times New Roman" w:cs="Times New Roman"/>
                <w:i/>
              </w:rPr>
            </w:pPr>
            <w:r w:rsidRPr="00843574">
              <w:rPr>
                <w:rFonts w:ascii="Times New Roman" w:eastAsia="Times New Roman" w:hAnsi="Times New Roman" w:cs="Times New Roman"/>
              </w:rPr>
              <w:t>Directs USF to those areas without broadband competition</w:t>
            </w:r>
          </w:p>
          <w:p w14:paraId="4A0855A5" w14:textId="77777777" w:rsidR="00D06D39" w:rsidRPr="001A1065" w:rsidRDefault="00D06D39" w:rsidP="00E241F3">
            <w:pPr>
              <w:pStyle w:val="ListParagraph"/>
              <w:spacing w:after="120"/>
              <w:ind w:left="1440"/>
              <w:rPr>
                <w:rFonts w:ascii="Times New Roman" w:hAnsi="Times New Roman" w:cs="Times New Roman"/>
                <w:i/>
              </w:rPr>
            </w:pPr>
          </w:p>
          <w:p w14:paraId="3CCA7694" w14:textId="5DAD5A3D" w:rsidR="00782F30" w:rsidRPr="001A1065" w:rsidRDefault="00782F30" w:rsidP="001A106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b/>
              </w:rPr>
            </w:pPr>
            <w:r w:rsidRPr="001A1065">
              <w:rPr>
                <w:rFonts w:ascii="Times New Roman" w:hAnsi="Times New Roman" w:cs="Times New Roman"/>
                <w:b/>
              </w:rPr>
              <w:t>Create</w:t>
            </w:r>
            <w:r w:rsidR="00291855" w:rsidRPr="001A1065">
              <w:rPr>
                <w:rFonts w:ascii="Times New Roman" w:hAnsi="Times New Roman" w:cs="Times New Roman"/>
                <w:b/>
              </w:rPr>
              <w:t>s</w:t>
            </w:r>
            <w:r w:rsidRPr="001A1065">
              <w:rPr>
                <w:rFonts w:ascii="Times New Roman" w:hAnsi="Times New Roman" w:cs="Times New Roman"/>
                <w:b/>
              </w:rPr>
              <w:t xml:space="preserve"> </w:t>
            </w:r>
            <w:r w:rsidR="00763A26">
              <w:rPr>
                <w:rFonts w:ascii="Times New Roman" w:hAnsi="Times New Roman" w:cs="Times New Roman"/>
                <w:b/>
              </w:rPr>
              <w:t xml:space="preserve">Two Paths to </w:t>
            </w:r>
            <w:r w:rsidRPr="001A1065">
              <w:rPr>
                <w:rFonts w:ascii="Times New Roman" w:hAnsi="Times New Roman" w:cs="Times New Roman"/>
                <w:b/>
              </w:rPr>
              <w:t>a “Connect America Fund” for Rate-of-Return Carriers</w:t>
            </w:r>
          </w:p>
          <w:p w14:paraId="499C3C92" w14:textId="77777777" w:rsidR="00763A26" w:rsidRDefault="00763A26" w:rsidP="001A1065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Model-Based Option</w:t>
            </w:r>
          </w:p>
          <w:p w14:paraId="3E33EB3A" w14:textId="026635F8" w:rsidR="009958CA" w:rsidRPr="00843574" w:rsidRDefault="00D36E02" w:rsidP="005E5715">
            <w:pPr>
              <w:pStyle w:val="ListParagraph"/>
              <w:numPr>
                <w:ilvl w:val="2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1A1065">
              <w:rPr>
                <w:rFonts w:ascii="Times New Roman" w:hAnsi="Times New Roman" w:cs="Times New Roman"/>
              </w:rPr>
              <w:lastRenderedPageBreak/>
              <w:t xml:space="preserve">Carriers can </w:t>
            </w:r>
            <w:r w:rsidRPr="00DD42E0">
              <w:rPr>
                <w:rFonts w:ascii="Times New Roman" w:hAnsi="Times New Roman" w:cs="Times New Roman"/>
                <w:i/>
              </w:rPr>
              <w:t>voluntarily</w:t>
            </w:r>
            <w:r w:rsidRPr="001A1065">
              <w:rPr>
                <w:rFonts w:ascii="Times New Roman" w:hAnsi="Times New Roman" w:cs="Times New Roman"/>
              </w:rPr>
              <w:t xml:space="preserve"> transition from legacy rate-of-return support to model-based support, similar to </w:t>
            </w:r>
            <w:r w:rsidR="00843574" w:rsidRPr="00843574">
              <w:rPr>
                <w:rFonts w:ascii="Times New Roman" w:hAnsi="Times New Roman" w:cs="Times New Roman"/>
              </w:rPr>
              <w:t>Connect America Fund Phase II offer of support to the larger carriers last year</w:t>
            </w:r>
          </w:p>
          <w:p w14:paraId="68D3D347" w14:textId="77777777" w:rsidR="00782F30" w:rsidRPr="001A1065" w:rsidRDefault="009958CA" w:rsidP="005E5715">
            <w:pPr>
              <w:pStyle w:val="ListParagraph"/>
              <w:numPr>
                <w:ilvl w:val="2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1A1065">
              <w:rPr>
                <w:rFonts w:ascii="Times New Roman" w:hAnsi="Times New Roman" w:cs="Times New Roman"/>
              </w:rPr>
              <w:t xml:space="preserve">Carriers accepting support must </w:t>
            </w:r>
            <w:r w:rsidR="00782F30" w:rsidRPr="001A1065">
              <w:rPr>
                <w:rFonts w:ascii="Times New Roman" w:hAnsi="Times New Roman" w:cs="Times New Roman"/>
              </w:rPr>
              <w:t>deploy service providing 10 Mbps downloads/1 Mbps uploads to all funded locations, with faster 25/3 service required in areas of higher population density</w:t>
            </w:r>
          </w:p>
          <w:p w14:paraId="215D4860" w14:textId="77777777" w:rsidR="00782F30" w:rsidRDefault="00782F30" w:rsidP="005E5715">
            <w:pPr>
              <w:pStyle w:val="ListParagraph"/>
              <w:numPr>
                <w:ilvl w:val="2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1A1065">
              <w:rPr>
                <w:rFonts w:ascii="Times New Roman" w:hAnsi="Times New Roman" w:cs="Times New Roman"/>
              </w:rPr>
              <w:t xml:space="preserve">Buildout requirement: 40% buildout required by year four, increasing by 10% each year </w:t>
            </w:r>
            <w:r w:rsidR="00E241F3">
              <w:rPr>
                <w:rFonts w:ascii="Times New Roman" w:hAnsi="Times New Roman" w:cs="Times New Roman"/>
              </w:rPr>
              <w:t>until reaching 100% by year 10</w:t>
            </w:r>
          </w:p>
          <w:p w14:paraId="066D96C4" w14:textId="6756B94C" w:rsidR="00763A26" w:rsidRDefault="00763A26" w:rsidP="00763A26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Legacy </w:t>
            </w:r>
            <w:r w:rsidR="00240101">
              <w:rPr>
                <w:rFonts w:ascii="Times New Roman" w:hAnsi="Times New Roman" w:cs="Times New Roman"/>
              </w:rPr>
              <w:t xml:space="preserve">Mechanism </w:t>
            </w:r>
            <w:r>
              <w:rPr>
                <w:rFonts w:ascii="Times New Roman" w:hAnsi="Times New Roman" w:cs="Times New Roman"/>
              </w:rPr>
              <w:t>Option</w:t>
            </w:r>
          </w:p>
          <w:p w14:paraId="353DA1FD" w14:textId="6E0C93B5" w:rsidR="00763A26" w:rsidRDefault="00763A26" w:rsidP="005E5715">
            <w:pPr>
              <w:pStyle w:val="ListParagraph"/>
              <w:numPr>
                <w:ilvl w:val="2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Reforms the existing Interstate Common Line support mechanism to provide support for stand-alone broadband, now known as the Connect America Fund Broadband Loop support</w:t>
            </w:r>
          </w:p>
          <w:p w14:paraId="12AE4ED7" w14:textId="77777777" w:rsidR="00D06D39" w:rsidRPr="001A1065" w:rsidRDefault="00D06D39" w:rsidP="00D06D39">
            <w:pPr>
              <w:pStyle w:val="ListParagraph"/>
              <w:spacing w:after="120"/>
              <w:ind w:left="1440"/>
              <w:rPr>
                <w:rFonts w:ascii="Times New Roman" w:hAnsi="Times New Roman" w:cs="Times New Roman"/>
              </w:rPr>
            </w:pPr>
          </w:p>
          <w:p w14:paraId="441337EA" w14:textId="77777777" w:rsidR="00782F30" w:rsidRPr="001A1065" w:rsidRDefault="00782F30" w:rsidP="001A106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i/>
              </w:rPr>
            </w:pPr>
            <w:r w:rsidRPr="001A1065">
              <w:rPr>
                <w:rFonts w:ascii="Times New Roman" w:hAnsi="Times New Roman" w:cs="Times New Roman"/>
                <w:b/>
              </w:rPr>
              <w:t>Increase Fiscal Responsibility in the Universal Service Fund by</w:t>
            </w:r>
            <w:r w:rsidRPr="001A1065">
              <w:rPr>
                <w:rFonts w:ascii="Times New Roman" w:hAnsi="Times New Roman" w:cs="Times New Roman"/>
              </w:rPr>
              <w:t>:</w:t>
            </w:r>
          </w:p>
          <w:p w14:paraId="3054F37C" w14:textId="3BFDD731" w:rsidR="00782F30" w:rsidRPr="007F016B" w:rsidRDefault="009958CA" w:rsidP="001A1065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="Times New Roman" w:hAnsi="Times New Roman" w:cs="Times New Roman"/>
                <w:i/>
              </w:rPr>
            </w:pPr>
            <w:r w:rsidRPr="001A1065">
              <w:rPr>
                <w:rFonts w:ascii="Times New Roman" w:hAnsi="Times New Roman" w:cs="Times New Roman"/>
              </w:rPr>
              <w:t>Reduce</w:t>
            </w:r>
            <w:r w:rsidR="00240101">
              <w:rPr>
                <w:rFonts w:ascii="Times New Roman" w:hAnsi="Times New Roman" w:cs="Times New Roman"/>
              </w:rPr>
              <w:t>s</w:t>
            </w:r>
            <w:r w:rsidR="00782F30" w:rsidRPr="001A1065">
              <w:rPr>
                <w:rFonts w:ascii="Times New Roman" w:hAnsi="Times New Roman" w:cs="Times New Roman"/>
              </w:rPr>
              <w:t xml:space="preserve"> the allowable rate-of-return from the current 11.25 percent to 9</w:t>
            </w:r>
            <w:r w:rsidR="007F016B">
              <w:rPr>
                <w:rFonts w:ascii="Times New Roman" w:hAnsi="Times New Roman" w:cs="Times New Roman"/>
              </w:rPr>
              <w:t>.75</w:t>
            </w:r>
            <w:r w:rsidRPr="001A1065">
              <w:rPr>
                <w:rFonts w:ascii="Times New Roman" w:hAnsi="Times New Roman" w:cs="Times New Roman"/>
              </w:rPr>
              <w:t xml:space="preserve"> percent</w:t>
            </w:r>
            <w:r w:rsidR="00782F30" w:rsidRPr="001A1065">
              <w:rPr>
                <w:rFonts w:ascii="Times New Roman" w:hAnsi="Times New Roman" w:cs="Times New Roman"/>
              </w:rPr>
              <w:t>, reflecting current market conditions</w:t>
            </w:r>
            <w:r w:rsidR="00763A26">
              <w:rPr>
                <w:rFonts w:ascii="Times New Roman" w:hAnsi="Times New Roman" w:cs="Times New Roman"/>
              </w:rPr>
              <w:t>, with a phased transition</w:t>
            </w:r>
          </w:p>
          <w:p w14:paraId="460DAFF7" w14:textId="5D457AB3" w:rsidR="007F016B" w:rsidRPr="001A1065" w:rsidRDefault="007F016B" w:rsidP="001A1065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Limits operational and capital expenditures </w:t>
            </w:r>
            <w:r w:rsidR="00240101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B06">
              <w:rPr>
                <w:rFonts w:ascii="Times New Roman" w:hAnsi="Times New Roman" w:cs="Times New Roman"/>
              </w:rPr>
              <w:t>help target support to those areas with less broadband deployment</w:t>
            </w:r>
            <w:r>
              <w:rPr>
                <w:rFonts w:ascii="Times New Roman" w:hAnsi="Times New Roman" w:cs="Times New Roman"/>
              </w:rPr>
              <w:t xml:space="preserve"> today</w:t>
            </w:r>
          </w:p>
          <w:p w14:paraId="118345BF" w14:textId="77777777" w:rsidR="00782F30" w:rsidRPr="00D06D39" w:rsidRDefault="00D06D39" w:rsidP="00D06D39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="Times New Roman" w:hAnsi="Times New Roman" w:cs="Times New Roman"/>
                <w:i/>
              </w:rPr>
            </w:pPr>
            <w:r w:rsidRPr="00D06D39">
              <w:rPr>
                <w:rFonts w:ascii="Times New Roman" w:hAnsi="Times New Roman" w:cs="Times New Roman"/>
              </w:rPr>
              <w:t>Enforceable $2 billion budget</w:t>
            </w:r>
          </w:p>
          <w:p w14:paraId="74176103" w14:textId="0995DB95" w:rsidR="00782F30" w:rsidRDefault="00E241F3" w:rsidP="001A106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item </w:t>
            </w:r>
            <w:r w:rsidR="00291855" w:rsidRPr="00D06D39">
              <w:rPr>
                <w:sz w:val="22"/>
                <w:szCs w:val="22"/>
              </w:rPr>
              <w:t>also seeks comment on further reforms to</w:t>
            </w:r>
            <w:r w:rsidR="00782F30" w:rsidRPr="00D06D39">
              <w:rPr>
                <w:sz w:val="22"/>
                <w:szCs w:val="22"/>
              </w:rPr>
              <w:t xml:space="preserve"> bar</w:t>
            </w:r>
            <w:r w:rsidR="00782F30" w:rsidRPr="001A1065">
              <w:rPr>
                <w:sz w:val="22"/>
                <w:szCs w:val="22"/>
              </w:rPr>
              <w:t xml:space="preserve"> carriers from</w:t>
            </w:r>
            <w:r>
              <w:rPr>
                <w:sz w:val="22"/>
                <w:szCs w:val="22"/>
              </w:rPr>
              <w:t>, in effect,</w:t>
            </w:r>
            <w:r w:rsidR="00782F30" w:rsidRPr="001A10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billing either the Universal Service Fund or their customers for </w:t>
            </w:r>
            <w:r w:rsidR="00782F30" w:rsidRPr="001A1065">
              <w:rPr>
                <w:sz w:val="22"/>
                <w:szCs w:val="22"/>
              </w:rPr>
              <w:t xml:space="preserve">inappropriate expenses, such as artwork and </w:t>
            </w:r>
            <w:r w:rsidR="00763A26">
              <w:rPr>
                <w:sz w:val="22"/>
                <w:szCs w:val="22"/>
              </w:rPr>
              <w:t>corporate jets</w:t>
            </w:r>
            <w:r w:rsidR="00291855" w:rsidRPr="001A1065">
              <w:rPr>
                <w:sz w:val="22"/>
                <w:szCs w:val="22"/>
              </w:rPr>
              <w:t xml:space="preserve">. In addition, the item </w:t>
            </w:r>
            <w:r w:rsidR="00505AAF">
              <w:rPr>
                <w:sz w:val="22"/>
                <w:szCs w:val="22"/>
              </w:rPr>
              <w:t>s</w:t>
            </w:r>
            <w:r w:rsidR="00782F30" w:rsidRPr="001A1065">
              <w:rPr>
                <w:sz w:val="22"/>
                <w:szCs w:val="22"/>
              </w:rPr>
              <w:t xml:space="preserve">eeks comment on </w:t>
            </w:r>
            <w:r w:rsidR="00763A26">
              <w:rPr>
                <w:sz w:val="22"/>
                <w:szCs w:val="22"/>
              </w:rPr>
              <w:t>measures</w:t>
            </w:r>
            <w:r w:rsidR="00782F30" w:rsidRPr="001A1065">
              <w:rPr>
                <w:sz w:val="22"/>
                <w:szCs w:val="22"/>
              </w:rPr>
              <w:t xml:space="preserve"> </w:t>
            </w:r>
            <w:r w:rsidR="005446EB">
              <w:rPr>
                <w:sz w:val="22"/>
                <w:szCs w:val="22"/>
              </w:rPr>
              <w:t xml:space="preserve">to increase broadband deployment </w:t>
            </w:r>
            <w:r w:rsidR="00782F30" w:rsidRPr="001A1065">
              <w:rPr>
                <w:sz w:val="22"/>
                <w:szCs w:val="22"/>
              </w:rPr>
              <w:t>on Tribal lands</w:t>
            </w:r>
            <w:r w:rsidR="00D06D39">
              <w:rPr>
                <w:sz w:val="22"/>
                <w:szCs w:val="22"/>
              </w:rPr>
              <w:t>.</w:t>
            </w:r>
          </w:p>
          <w:p w14:paraId="355B668D" w14:textId="77777777" w:rsidR="004F0F1F" w:rsidRPr="001A1065" w:rsidRDefault="00F708E3" w:rsidP="001A1065">
            <w:pPr>
              <w:spacing w:after="120"/>
              <w:ind w:right="240"/>
              <w:jc w:val="center"/>
              <w:rPr>
                <w:sz w:val="22"/>
                <w:szCs w:val="22"/>
              </w:rPr>
            </w:pPr>
            <w:r w:rsidRPr="001A1065">
              <w:rPr>
                <w:sz w:val="22"/>
                <w:szCs w:val="22"/>
              </w:rPr>
              <w:t>###</w:t>
            </w:r>
          </w:p>
          <w:p w14:paraId="0E79EF37" w14:textId="77777777" w:rsidR="00E644FE" w:rsidRPr="001A1065" w:rsidRDefault="00E644FE" w:rsidP="001A1065">
            <w:pPr>
              <w:spacing w:after="120"/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1A1065">
              <w:rPr>
                <w:b/>
                <w:bCs/>
                <w:sz w:val="22"/>
                <w:szCs w:val="22"/>
              </w:rPr>
              <w:br/>
              <w:t>Off</w:t>
            </w:r>
            <w:r w:rsidR="00AD0D19" w:rsidRPr="001A1065">
              <w:rPr>
                <w:b/>
                <w:bCs/>
                <w:sz w:val="22"/>
                <w:szCs w:val="22"/>
              </w:rPr>
              <w:t xml:space="preserve">ice of Media Relations: </w:t>
            </w:r>
            <w:r w:rsidR="00AC0A38" w:rsidRPr="001A1065">
              <w:rPr>
                <w:b/>
                <w:bCs/>
                <w:sz w:val="22"/>
                <w:szCs w:val="22"/>
              </w:rPr>
              <w:t xml:space="preserve">(202) </w:t>
            </w:r>
            <w:r w:rsidR="00AD0D19" w:rsidRPr="001A1065">
              <w:rPr>
                <w:b/>
                <w:bCs/>
                <w:sz w:val="22"/>
                <w:szCs w:val="22"/>
              </w:rPr>
              <w:t>418-</w:t>
            </w:r>
            <w:r w:rsidRPr="001A1065">
              <w:rPr>
                <w:b/>
                <w:bCs/>
                <w:sz w:val="22"/>
                <w:szCs w:val="22"/>
              </w:rPr>
              <w:t>0500</w:t>
            </w:r>
          </w:p>
          <w:p w14:paraId="76DAC919" w14:textId="77777777" w:rsidR="00E644FE" w:rsidRPr="001A1065" w:rsidRDefault="00E644FE" w:rsidP="001A1065">
            <w:pPr>
              <w:spacing w:after="120"/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1A1065">
              <w:rPr>
                <w:b/>
                <w:bCs/>
                <w:sz w:val="22"/>
                <w:szCs w:val="22"/>
              </w:rPr>
              <w:t xml:space="preserve">TTY: </w:t>
            </w:r>
            <w:r w:rsidR="00AC0A38" w:rsidRPr="001A1065">
              <w:rPr>
                <w:b/>
                <w:bCs/>
                <w:sz w:val="22"/>
                <w:szCs w:val="22"/>
              </w:rPr>
              <w:t xml:space="preserve">(888) </w:t>
            </w:r>
            <w:r w:rsidR="006E4A76" w:rsidRPr="001A1065">
              <w:rPr>
                <w:b/>
                <w:bCs/>
                <w:sz w:val="22"/>
                <w:szCs w:val="22"/>
              </w:rPr>
              <w:t>835-5322</w:t>
            </w:r>
          </w:p>
          <w:p w14:paraId="4261C628" w14:textId="77777777" w:rsidR="00CC5E08" w:rsidRPr="001A1065" w:rsidRDefault="006A2FC5" w:rsidP="001A1065">
            <w:pPr>
              <w:spacing w:after="120"/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1A1065">
              <w:rPr>
                <w:b/>
                <w:bCs/>
                <w:sz w:val="22"/>
                <w:szCs w:val="22"/>
              </w:rPr>
              <w:t>Twitter: @FCC</w:t>
            </w:r>
          </w:p>
          <w:p w14:paraId="3BFBD2F5" w14:textId="03007109" w:rsidR="00CC5E08" w:rsidRPr="001A1065" w:rsidRDefault="0039223C" w:rsidP="001A1065">
            <w:pPr>
              <w:spacing w:after="120"/>
              <w:ind w:right="498"/>
              <w:jc w:val="center"/>
              <w:rPr>
                <w:rStyle w:val="Hyperlink"/>
                <w:b/>
                <w:bCs/>
                <w:color w:val="auto"/>
                <w:sz w:val="22"/>
                <w:szCs w:val="22"/>
              </w:rPr>
            </w:pPr>
            <w:hyperlink r:id="rId9" w:history="1">
              <w:r w:rsidR="00EE0E90" w:rsidRPr="001A1065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www.fcc.gov/office-media-relations</w:t>
              </w:r>
            </w:hyperlink>
          </w:p>
          <w:p w14:paraId="46D8E675" w14:textId="77777777" w:rsidR="0069420F" w:rsidRPr="001A1065" w:rsidRDefault="0069420F" w:rsidP="001A1065">
            <w:pPr>
              <w:spacing w:after="120"/>
              <w:ind w:right="498"/>
              <w:jc w:val="center"/>
              <w:rPr>
                <w:b/>
                <w:bCs/>
                <w:sz w:val="22"/>
                <w:szCs w:val="22"/>
              </w:rPr>
            </w:pPr>
          </w:p>
          <w:p w14:paraId="0A0DEE19" w14:textId="77777777" w:rsidR="00EE0E90" w:rsidRPr="001A1065" w:rsidRDefault="0069420F" w:rsidP="001A1065">
            <w:pPr>
              <w:spacing w:after="120"/>
              <w:ind w:right="498"/>
              <w:jc w:val="center"/>
              <w:rPr>
                <w:bCs/>
                <w:i/>
                <w:sz w:val="22"/>
                <w:szCs w:val="22"/>
              </w:rPr>
            </w:pPr>
            <w:r w:rsidRPr="001A1065">
              <w:rPr>
                <w:bCs/>
                <w:i/>
                <w:sz w:val="22"/>
                <w:szCs w:val="22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:rsidR="00763A26" w:rsidRPr="001A1065" w14:paraId="14AFC512" w14:textId="77777777" w:rsidTr="006D5D22">
        <w:trPr>
          <w:trHeight w:val="2181"/>
        </w:trPr>
        <w:tc>
          <w:tcPr>
            <w:tcW w:w="8856" w:type="dxa"/>
          </w:tcPr>
          <w:p w14:paraId="5AAF5DD6" w14:textId="77777777" w:rsidR="00763A26" w:rsidRPr="001A1065" w:rsidRDefault="00763A26" w:rsidP="001A1065">
            <w:pPr>
              <w:spacing w:after="120"/>
              <w:jc w:val="center"/>
              <w:rPr>
                <w:b/>
                <w:i/>
                <w:noProof/>
                <w:sz w:val="22"/>
                <w:szCs w:val="22"/>
              </w:rPr>
            </w:pPr>
          </w:p>
        </w:tc>
      </w:tr>
    </w:tbl>
    <w:p w14:paraId="229ED140" w14:textId="77777777" w:rsidR="00D24C3D" w:rsidRPr="001A1065" w:rsidRDefault="00D24C3D" w:rsidP="001A1065">
      <w:pPr>
        <w:spacing w:after="120"/>
        <w:rPr>
          <w:b/>
          <w:bCs/>
          <w:sz w:val="22"/>
          <w:szCs w:val="22"/>
        </w:rPr>
      </w:pPr>
    </w:p>
    <w:sectPr w:rsidR="00D24C3D" w:rsidRPr="001A10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1AE17" w14:textId="77777777" w:rsidR="009E363C" w:rsidRDefault="009E363C" w:rsidP="009E363C">
      <w:r>
        <w:separator/>
      </w:r>
    </w:p>
  </w:endnote>
  <w:endnote w:type="continuationSeparator" w:id="0">
    <w:p w14:paraId="2924D9E6" w14:textId="77777777" w:rsidR="009E363C" w:rsidRDefault="009E363C" w:rsidP="009E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CC19D" w14:textId="77777777" w:rsidR="009E363C" w:rsidRDefault="009E36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F0926" w14:textId="77777777" w:rsidR="009E363C" w:rsidRDefault="009E36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0F4D" w14:textId="77777777" w:rsidR="009E363C" w:rsidRDefault="009E3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862B" w14:textId="77777777" w:rsidR="009E363C" w:rsidRDefault="009E363C" w:rsidP="009E363C">
      <w:r>
        <w:separator/>
      </w:r>
    </w:p>
  </w:footnote>
  <w:footnote w:type="continuationSeparator" w:id="0">
    <w:p w14:paraId="489FBFA0" w14:textId="77777777" w:rsidR="009E363C" w:rsidRDefault="009E363C" w:rsidP="009E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C671" w14:textId="77777777" w:rsidR="009E363C" w:rsidRDefault="009E3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87B01" w14:textId="77777777" w:rsidR="009E363C" w:rsidRDefault="009E36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0335B" w14:textId="77777777" w:rsidR="009E363C" w:rsidRDefault="009E3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DD6"/>
    <w:multiLevelType w:val="hybridMultilevel"/>
    <w:tmpl w:val="6D58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5D63775A"/>
    <w:multiLevelType w:val="hybridMultilevel"/>
    <w:tmpl w:val="3376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005C"/>
    <w:multiLevelType w:val="hybridMultilevel"/>
    <w:tmpl w:val="D924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3767C"/>
    <w:multiLevelType w:val="hybridMultilevel"/>
    <w:tmpl w:val="7A52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0E697A"/>
    <w:rsid w:val="0010799B"/>
    <w:rsid w:val="00115B53"/>
    <w:rsid w:val="00117DB2"/>
    <w:rsid w:val="00123ED2"/>
    <w:rsid w:val="00125BE0"/>
    <w:rsid w:val="00142C13"/>
    <w:rsid w:val="00151E57"/>
    <w:rsid w:val="00152776"/>
    <w:rsid w:val="00153222"/>
    <w:rsid w:val="001577D3"/>
    <w:rsid w:val="001733A6"/>
    <w:rsid w:val="001865A9"/>
    <w:rsid w:val="00187DB2"/>
    <w:rsid w:val="001A1065"/>
    <w:rsid w:val="001B20BB"/>
    <w:rsid w:val="001C4370"/>
    <w:rsid w:val="001D3779"/>
    <w:rsid w:val="001E2089"/>
    <w:rsid w:val="001F0469"/>
    <w:rsid w:val="00203A98"/>
    <w:rsid w:val="00206EDD"/>
    <w:rsid w:val="0021247E"/>
    <w:rsid w:val="002146F6"/>
    <w:rsid w:val="00231C32"/>
    <w:rsid w:val="00240101"/>
    <w:rsid w:val="00240345"/>
    <w:rsid w:val="002421F0"/>
    <w:rsid w:val="00247274"/>
    <w:rsid w:val="00266966"/>
    <w:rsid w:val="00274328"/>
    <w:rsid w:val="00291855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47BCB"/>
    <w:rsid w:val="003506E1"/>
    <w:rsid w:val="003727E3"/>
    <w:rsid w:val="00376796"/>
    <w:rsid w:val="00385A93"/>
    <w:rsid w:val="003910F1"/>
    <w:rsid w:val="0039192B"/>
    <w:rsid w:val="0039223C"/>
    <w:rsid w:val="003E42FC"/>
    <w:rsid w:val="003E5991"/>
    <w:rsid w:val="003F344A"/>
    <w:rsid w:val="00403FF0"/>
    <w:rsid w:val="00412BB8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0D26"/>
    <w:rsid w:val="004D3D85"/>
    <w:rsid w:val="004E2BD8"/>
    <w:rsid w:val="004F0F1F"/>
    <w:rsid w:val="005022AA"/>
    <w:rsid w:val="00504845"/>
    <w:rsid w:val="00505AAF"/>
    <w:rsid w:val="0050757F"/>
    <w:rsid w:val="00516AD2"/>
    <w:rsid w:val="005446EB"/>
    <w:rsid w:val="00545DAE"/>
    <w:rsid w:val="0055105C"/>
    <w:rsid w:val="00571B83"/>
    <w:rsid w:val="00575A00"/>
    <w:rsid w:val="0058673C"/>
    <w:rsid w:val="005A7972"/>
    <w:rsid w:val="005B17E7"/>
    <w:rsid w:val="005B2643"/>
    <w:rsid w:val="005B5FFE"/>
    <w:rsid w:val="005D17FD"/>
    <w:rsid w:val="005E5715"/>
    <w:rsid w:val="005E6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15D4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D6612"/>
    <w:rsid w:val="006E0324"/>
    <w:rsid w:val="006E4A76"/>
    <w:rsid w:val="006F1DBD"/>
    <w:rsid w:val="00700556"/>
    <w:rsid w:val="007167DD"/>
    <w:rsid w:val="0072478B"/>
    <w:rsid w:val="0073414D"/>
    <w:rsid w:val="0075235E"/>
    <w:rsid w:val="007528A5"/>
    <w:rsid w:val="00763A26"/>
    <w:rsid w:val="00765C57"/>
    <w:rsid w:val="007732CC"/>
    <w:rsid w:val="00774079"/>
    <w:rsid w:val="0077752B"/>
    <w:rsid w:val="00777FF1"/>
    <w:rsid w:val="00782F30"/>
    <w:rsid w:val="00793D6F"/>
    <w:rsid w:val="00794090"/>
    <w:rsid w:val="007A44F8"/>
    <w:rsid w:val="007D21BF"/>
    <w:rsid w:val="007F016B"/>
    <w:rsid w:val="007F3C12"/>
    <w:rsid w:val="007F5205"/>
    <w:rsid w:val="00817269"/>
    <w:rsid w:val="008215E7"/>
    <w:rsid w:val="00830FC6"/>
    <w:rsid w:val="00843574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58CA"/>
    <w:rsid w:val="009972BC"/>
    <w:rsid w:val="009B417E"/>
    <w:rsid w:val="009B4B16"/>
    <w:rsid w:val="009C4872"/>
    <w:rsid w:val="009E363C"/>
    <w:rsid w:val="009E54A1"/>
    <w:rsid w:val="009F4E25"/>
    <w:rsid w:val="009F5B1F"/>
    <w:rsid w:val="00A35DFD"/>
    <w:rsid w:val="00A702DF"/>
    <w:rsid w:val="00A775A3"/>
    <w:rsid w:val="00A8131D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06D39"/>
    <w:rsid w:val="00D16A7F"/>
    <w:rsid w:val="00D16AD2"/>
    <w:rsid w:val="00D22596"/>
    <w:rsid w:val="00D22691"/>
    <w:rsid w:val="00D24C3D"/>
    <w:rsid w:val="00D36E02"/>
    <w:rsid w:val="00D46CB1"/>
    <w:rsid w:val="00D52E89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42E0"/>
    <w:rsid w:val="00E14A03"/>
    <w:rsid w:val="00E241F3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AA1"/>
    <w:rsid w:val="00EE0E90"/>
    <w:rsid w:val="00EE73A9"/>
    <w:rsid w:val="00EF0EC3"/>
    <w:rsid w:val="00EF3BCA"/>
    <w:rsid w:val="00F01B0D"/>
    <w:rsid w:val="00F1238F"/>
    <w:rsid w:val="00F16485"/>
    <w:rsid w:val="00F228ED"/>
    <w:rsid w:val="00F24383"/>
    <w:rsid w:val="00F26E31"/>
    <w:rsid w:val="00F27C6C"/>
    <w:rsid w:val="00F34A8D"/>
    <w:rsid w:val="00F50D25"/>
    <w:rsid w:val="00F535D8"/>
    <w:rsid w:val="00F61155"/>
    <w:rsid w:val="00F66129"/>
    <w:rsid w:val="00F708E3"/>
    <w:rsid w:val="00F76561"/>
    <w:rsid w:val="00F779B0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38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2F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F01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0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1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0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016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F0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01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E3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363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E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36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2F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F01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0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1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0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016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F0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01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E3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363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E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3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3369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2016-03-24T14:57:00Z</cp:lastPrinted>
  <dcterms:created xsi:type="dcterms:W3CDTF">2016-03-30T22:19:00Z</dcterms:created>
  <dcterms:modified xsi:type="dcterms:W3CDTF">2016-03-30T22:19:00Z</dcterms:modified>
  <cp:category> </cp:category>
  <cp:contentStatus> </cp:contentStatus>
</cp:coreProperties>
</file>