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087049" w14:paraId="4090238D" w14:textId="77777777" w:rsidTr="6E427C09">
        <w:trPr>
          <w:trHeight w:val="68"/>
        </w:trPr>
        <w:tc>
          <w:tcPr>
            <w:tcW w:w="8856" w:type="dxa"/>
          </w:tcPr>
          <w:p w14:paraId="62CD49B7" w14:textId="77777777" w:rsidR="00FF232D" w:rsidRPr="00087049" w:rsidRDefault="00C81D88" w:rsidP="006A7D75">
            <w:pPr>
              <w:jc w:val="center"/>
              <w:rPr>
                <w:b/>
              </w:rPr>
            </w:pPr>
            <w:bookmarkStart w:id="0" w:name="_GoBack"/>
            <w:bookmarkEnd w:id="0"/>
            <w:r w:rsidRPr="00087049">
              <w:rPr>
                <w:b/>
                <w:i/>
                <w:noProof/>
              </w:rPr>
              <w:drawing>
                <wp:inline distT="0" distB="0" distL="0" distR="0" wp14:anchorId="204F86A1" wp14:editId="25EC9D0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169A0EF5" w14:textId="77777777" w:rsidR="00426518" w:rsidRPr="00087049" w:rsidRDefault="00426518" w:rsidP="00B57131">
            <w:pPr>
              <w:rPr>
                <w:b/>
                <w:bCs/>
              </w:rPr>
            </w:pPr>
          </w:p>
          <w:p w14:paraId="00AE3EF2" w14:textId="77777777" w:rsidR="007A44F8" w:rsidRPr="00087049" w:rsidRDefault="007A44F8" w:rsidP="00BB4E29">
            <w:pPr>
              <w:rPr>
                <w:b/>
                <w:bCs/>
              </w:rPr>
            </w:pPr>
            <w:r w:rsidRPr="00087049">
              <w:rPr>
                <w:b/>
                <w:bCs/>
              </w:rPr>
              <w:t xml:space="preserve">Media Contact: </w:t>
            </w:r>
          </w:p>
          <w:p w14:paraId="3F272339" w14:textId="77777777" w:rsidR="007A44F8" w:rsidRPr="00087049" w:rsidRDefault="00CE0135" w:rsidP="00BB4E29">
            <w:pPr>
              <w:rPr>
                <w:bCs/>
              </w:rPr>
            </w:pPr>
            <w:r w:rsidRPr="00087049">
              <w:rPr>
                <w:bCs/>
              </w:rPr>
              <w:t>Tom Sullivan</w:t>
            </w:r>
            <w:r w:rsidR="007F499C" w:rsidRPr="00087049">
              <w:rPr>
                <w:bCs/>
              </w:rPr>
              <w:t>, 202-418-</w:t>
            </w:r>
            <w:r w:rsidRPr="00087049">
              <w:rPr>
                <w:bCs/>
              </w:rPr>
              <w:t>0411</w:t>
            </w:r>
          </w:p>
          <w:p w14:paraId="7B667802" w14:textId="7D264D66" w:rsidR="00CE0135" w:rsidRPr="00087049" w:rsidRDefault="00343991" w:rsidP="00BB4E29">
            <w:pPr>
              <w:rPr>
                <w:bCs/>
              </w:rPr>
            </w:pPr>
            <w:hyperlink r:id="rId9" w:history="1">
              <w:r w:rsidR="00CE0135" w:rsidRPr="00087049">
                <w:rPr>
                  <w:rStyle w:val="Hyperlink"/>
                  <w:bCs/>
                </w:rPr>
                <w:t>Thomas.sullivan@fcc.gov</w:t>
              </w:r>
            </w:hyperlink>
          </w:p>
          <w:p w14:paraId="5D9BBFFD" w14:textId="77777777" w:rsidR="007A44F8" w:rsidRPr="00087049" w:rsidRDefault="007A44F8" w:rsidP="00BB4E29">
            <w:pPr>
              <w:rPr>
                <w:bCs/>
              </w:rPr>
            </w:pPr>
          </w:p>
          <w:p w14:paraId="7B69ABB8" w14:textId="6C343F65" w:rsidR="007A44F8" w:rsidRPr="00087049" w:rsidRDefault="00A05DCD" w:rsidP="00BB4E29">
            <w:pPr>
              <w:rPr>
                <w:b/>
              </w:rPr>
            </w:pPr>
            <w:r w:rsidRPr="00A51E21">
              <w:rPr>
                <w:b/>
                <w:bCs/>
              </w:rPr>
              <w:t xml:space="preserve"> December 14, 2015</w:t>
            </w:r>
          </w:p>
          <w:p w14:paraId="25C8913D" w14:textId="77777777" w:rsidR="007A44F8" w:rsidRPr="00087049" w:rsidRDefault="007A44F8" w:rsidP="00BB4E29">
            <w:pPr>
              <w:jc w:val="center"/>
              <w:rPr>
                <w:b/>
                <w:bCs/>
              </w:rPr>
            </w:pPr>
          </w:p>
          <w:p w14:paraId="3FCF1821" w14:textId="77777777" w:rsidR="00D27308" w:rsidRPr="00087049" w:rsidRDefault="00CE0135" w:rsidP="00D27308">
            <w:pPr>
              <w:pStyle w:val="Header"/>
              <w:tabs>
                <w:tab w:val="clear" w:pos="9360"/>
                <w:tab w:val="right" w:pos="9346"/>
              </w:tabs>
              <w:jc w:val="center"/>
              <w:rPr>
                <w:b/>
              </w:rPr>
            </w:pPr>
            <w:r w:rsidRPr="00087049">
              <w:rPr>
                <w:b/>
              </w:rPr>
              <w:t>INTERNATIONAL BUREAU REORGANIZATION</w:t>
            </w:r>
          </w:p>
          <w:p w14:paraId="2FF6D971" w14:textId="77777777" w:rsidR="00CE0135" w:rsidRPr="00087049" w:rsidRDefault="00731D2C" w:rsidP="00D27308">
            <w:pPr>
              <w:pStyle w:val="Header"/>
              <w:tabs>
                <w:tab w:val="clear" w:pos="9360"/>
                <w:tab w:val="right" w:pos="9346"/>
              </w:tabs>
              <w:jc w:val="center"/>
              <w:rPr>
                <w:b/>
                <w:i/>
              </w:rPr>
            </w:pPr>
            <w:r w:rsidRPr="00087049">
              <w:rPr>
                <w:b/>
                <w:i/>
              </w:rPr>
              <w:t xml:space="preserve">Aligns </w:t>
            </w:r>
            <w:r w:rsidR="00CE0135" w:rsidRPr="00087049">
              <w:rPr>
                <w:b/>
                <w:i/>
              </w:rPr>
              <w:t>spectrum rulemaking work; consolidates and elevates economic and statistical reporting</w:t>
            </w:r>
          </w:p>
          <w:p w14:paraId="65B16DC9" w14:textId="77777777" w:rsidR="00F61155" w:rsidRPr="00087049" w:rsidRDefault="00F228ED" w:rsidP="00D27308">
            <w:pPr>
              <w:tabs>
                <w:tab w:val="left" w:pos="8625"/>
              </w:tabs>
              <w:rPr>
                <w:i/>
                <w:color w:val="F2F2F2" w:themeColor="background1" w:themeShade="F2"/>
              </w:rPr>
            </w:pPr>
            <w:r w:rsidRPr="00087049">
              <w:rPr>
                <w:b/>
                <w:bCs/>
                <w:i/>
              </w:rPr>
              <w:t xml:space="preserve">  </w:t>
            </w:r>
            <w:r w:rsidRPr="00087049">
              <w:rPr>
                <w:b/>
                <w:bCs/>
                <w:i/>
                <w:color w:val="F2F2F2" w:themeColor="background1" w:themeShade="F2"/>
              </w:rPr>
              <w:t>--</w:t>
            </w:r>
            <w:r w:rsidR="00347716" w:rsidRPr="00087049">
              <w:rPr>
                <w:b/>
                <w:bCs/>
                <w:i/>
                <w:color w:val="F2F2F2" w:themeColor="background1" w:themeShade="F2"/>
              </w:rPr>
              <w:t xml:space="preserve"> </w:t>
            </w:r>
          </w:p>
          <w:p w14:paraId="1DC3A168" w14:textId="77777777" w:rsidR="00B74B8B" w:rsidRPr="00087049" w:rsidRDefault="00FF1C0B" w:rsidP="000C1192">
            <w:pPr>
              <w:ind w:right="432"/>
            </w:pPr>
            <w:r w:rsidRPr="00087049">
              <w:t xml:space="preserve">WASHINGTON, </w:t>
            </w:r>
            <w:r w:rsidR="00D27308" w:rsidRPr="00087049">
              <w:t>December 1</w:t>
            </w:r>
            <w:r w:rsidR="00731D2C" w:rsidRPr="00087049">
              <w:t>4</w:t>
            </w:r>
            <w:r w:rsidR="00D27308" w:rsidRPr="00087049">
              <w:t>,</w:t>
            </w:r>
            <w:r w:rsidR="007F499C" w:rsidRPr="00087049">
              <w:t xml:space="preserve"> 2015</w:t>
            </w:r>
            <w:r w:rsidR="002B1013" w:rsidRPr="00087049">
              <w:t xml:space="preserve"> – </w:t>
            </w:r>
            <w:r w:rsidR="00D27308" w:rsidRPr="00087049">
              <w:t>T</w:t>
            </w:r>
            <w:r w:rsidR="00BE273A" w:rsidRPr="00087049">
              <w:t>oday t</w:t>
            </w:r>
            <w:r w:rsidR="00D27308" w:rsidRPr="00087049">
              <w:t xml:space="preserve">he </w:t>
            </w:r>
            <w:r w:rsidR="00CE0135" w:rsidRPr="00087049">
              <w:t xml:space="preserve">International Bureau </w:t>
            </w:r>
            <w:r w:rsidR="000B68EA" w:rsidRPr="00087049">
              <w:t xml:space="preserve">begins operating under a new organizational and functional realignment.  </w:t>
            </w:r>
            <w:r w:rsidR="00BE273A" w:rsidRPr="00087049">
              <w:t xml:space="preserve">As part of the Commission’s process reform initiative, the Bureau conducted an </w:t>
            </w:r>
            <w:r w:rsidR="00471D91" w:rsidRPr="00087049">
              <w:t xml:space="preserve">in-depth </w:t>
            </w:r>
            <w:r w:rsidR="00BE273A" w:rsidRPr="00087049">
              <w:t>analysis that indicated a realignment of certai</w:t>
            </w:r>
            <w:r w:rsidR="00B93994" w:rsidRPr="00087049">
              <w:t>n functions and operations will</w:t>
            </w:r>
            <w:r w:rsidR="00BE273A" w:rsidRPr="00087049">
              <w:t xml:space="preserve"> provide greater efficiencies and </w:t>
            </w:r>
            <w:r w:rsidR="00B93994" w:rsidRPr="00087049">
              <w:t xml:space="preserve">enable new analyses of </w:t>
            </w:r>
            <w:r w:rsidR="00BE273A" w:rsidRPr="00087049">
              <w:t xml:space="preserve">trends in international telecommunications. </w:t>
            </w:r>
            <w:r w:rsidR="000B68EA" w:rsidRPr="00087049">
              <w:t xml:space="preserve">The new operations </w:t>
            </w:r>
            <w:r w:rsidR="00CE0135" w:rsidRPr="00087049">
              <w:t xml:space="preserve">consolidate spectrum rulemakings </w:t>
            </w:r>
            <w:r w:rsidR="000B68EA" w:rsidRPr="00087049">
              <w:t>in the Satellite Division and move all e</w:t>
            </w:r>
            <w:r w:rsidR="00CE0135" w:rsidRPr="00087049">
              <w:t xml:space="preserve">conomic reporting and </w:t>
            </w:r>
            <w:r w:rsidR="000B68EA" w:rsidRPr="00087049">
              <w:t xml:space="preserve">statistical </w:t>
            </w:r>
            <w:r w:rsidR="00CE0135" w:rsidRPr="00087049">
              <w:t xml:space="preserve">analysis responsibilities </w:t>
            </w:r>
            <w:r w:rsidR="00C11232" w:rsidRPr="00087049">
              <w:t>previously</w:t>
            </w:r>
            <w:r w:rsidR="00CE0135" w:rsidRPr="00087049">
              <w:t xml:space="preserve"> distributed throughout the Bureau</w:t>
            </w:r>
            <w:r w:rsidR="000B68EA" w:rsidRPr="00087049">
              <w:t xml:space="preserve"> to the new Telecommunications and Analysis Division</w:t>
            </w:r>
            <w:r w:rsidR="00CE0135" w:rsidRPr="00087049">
              <w:t xml:space="preserve">.  </w:t>
            </w:r>
          </w:p>
          <w:p w14:paraId="07ABFF56" w14:textId="77777777" w:rsidR="00B74B8B" w:rsidRPr="00087049" w:rsidRDefault="00B74B8B" w:rsidP="000C1192">
            <w:pPr>
              <w:ind w:right="432"/>
            </w:pPr>
          </w:p>
          <w:p w14:paraId="0628AA43" w14:textId="77777777" w:rsidR="00C11232" w:rsidRPr="00087049" w:rsidRDefault="00B74B8B" w:rsidP="000C1192">
            <w:pPr>
              <w:ind w:right="432"/>
            </w:pPr>
            <w:r w:rsidRPr="00087049">
              <w:t>“</w:t>
            </w:r>
            <w:r w:rsidR="00C11232" w:rsidRPr="00087049">
              <w:t xml:space="preserve">The </w:t>
            </w:r>
            <w:r w:rsidR="00BF07D5" w:rsidRPr="00087049">
              <w:t>B</w:t>
            </w:r>
            <w:r w:rsidR="00C11232" w:rsidRPr="00087049">
              <w:t>ureau’s reorganization elevate</w:t>
            </w:r>
            <w:r w:rsidR="000B68EA" w:rsidRPr="00087049">
              <w:t>s</w:t>
            </w:r>
            <w:r w:rsidR="00C11232" w:rsidRPr="00087049">
              <w:t xml:space="preserve"> and expand</w:t>
            </w:r>
            <w:r w:rsidR="000B68EA" w:rsidRPr="00087049">
              <w:t>s</w:t>
            </w:r>
            <w:r w:rsidR="00C11232" w:rsidRPr="00087049">
              <w:t xml:space="preserve"> the role of economic analysis and improve</w:t>
            </w:r>
            <w:r w:rsidR="000B68EA" w:rsidRPr="00087049">
              <w:t>s</w:t>
            </w:r>
            <w:r w:rsidR="00C11232" w:rsidRPr="00087049">
              <w:t xml:space="preserve"> </w:t>
            </w:r>
            <w:r w:rsidR="00BF07D5" w:rsidRPr="00087049">
              <w:t>our</w:t>
            </w:r>
            <w:r w:rsidR="00C11232" w:rsidRPr="00087049">
              <w:t xml:space="preserve"> international coordination role</w:t>
            </w:r>
            <w:r w:rsidRPr="00087049">
              <w:t>,” said Mindel De La Torre, Chief of the International Bureau</w:t>
            </w:r>
            <w:r w:rsidR="00C11232" w:rsidRPr="00087049">
              <w:t>.</w:t>
            </w:r>
          </w:p>
          <w:p w14:paraId="4A5F5A50" w14:textId="77777777" w:rsidR="00CA301A" w:rsidRPr="00087049" w:rsidRDefault="00CA301A" w:rsidP="000C1192">
            <w:pPr>
              <w:ind w:right="432"/>
            </w:pPr>
          </w:p>
          <w:p w14:paraId="29A01374" w14:textId="77777777" w:rsidR="00CA301A" w:rsidRPr="00087049" w:rsidRDefault="00CA301A" w:rsidP="000C1192">
            <w:pPr>
              <w:ind w:right="432"/>
            </w:pPr>
            <w:r w:rsidRPr="00087049">
              <w:t>The specific outcomes from the realignment within the International Bureau are:</w:t>
            </w:r>
          </w:p>
          <w:p w14:paraId="67B2DBA5" w14:textId="77777777" w:rsidR="000C1192" w:rsidRPr="00087049" w:rsidRDefault="000C1192" w:rsidP="00C11232"/>
          <w:p w14:paraId="19D9A34C" w14:textId="2B70F869" w:rsidR="00CA301A" w:rsidRPr="00087049" w:rsidRDefault="00CA301A" w:rsidP="00C11232">
            <w:pPr>
              <w:rPr>
                <w:i/>
              </w:rPr>
            </w:pPr>
            <w:r w:rsidRPr="00A51E21">
              <w:rPr>
                <w:i/>
                <w:iCs/>
              </w:rPr>
              <w:t>Global Strategy and Negotiation Division</w:t>
            </w:r>
          </w:p>
          <w:p w14:paraId="011FA9A2" w14:textId="77777777" w:rsidR="00CA301A" w:rsidRPr="00087049" w:rsidRDefault="00CA301A" w:rsidP="00C11232"/>
          <w:p w14:paraId="7BE08407" w14:textId="77777777" w:rsidR="00CA301A" w:rsidRPr="00087049" w:rsidRDefault="000B68EA" w:rsidP="00CA301A">
            <w:pPr>
              <w:pStyle w:val="ListParagraph"/>
              <w:numPr>
                <w:ilvl w:val="0"/>
                <w:numId w:val="8"/>
              </w:numPr>
              <w:rPr>
                <w:szCs w:val="24"/>
              </w:rPr>
            </w:pPr>
            <w:r w:rsidRPr="00087049">
              <w:rPr>
                <w:szCs w:val="24"/>
              </w:rPr>
              <w:t xml:space="preserve">The </w:t>
            </w:r>
            <w:r w:rsidR="0032164D" w:rsidRPr="00087049">
              <w:rPr>
                <w:szCs w:val="24"/>
              </w:rPr>
              <w:t xml:space="preserve">Strategic Analysis and Negotiations Division </w:t>
            </w:r>
            <w:r w:rsidRPr="00087049">
              <w:rPr>
                <w:szCs w:val="24"/>
              </w:rPr>
              <w:t xml:space="preserve">is now </w:t>
            </w:r>
            <w:r w:rsidR="0032164D" w:rsidRPr="00087049">
              <w:rPr>
                <w:szCs w:val="24"/>
              </w:rPr>
              <w:t>named the Global Strategy and Negotiation Division</w:t>
            </w:r>
            <w:r w:rsidR="000D7B45" w:rsidRPr="00087049">
              <w:rPr>
                <w:szCs w:val="24"/>
              </w:rPr>
              <w:t xml:space="preserve"> (GSN)</w:t>
            </w:r>
            <w:r w:rsidR="00471D91" w:rsidRPr="00087049">
              <w:rPr>
                <w:szCs w:val="24"/>
              </w:rPr>
              <w:t xml:space="preserve"> and </w:t>
            </w:r>
            <w:r w:rsidR="000D7B45" w:rsidRPr="00087049">
              <w:rPr>
                <w:szCs w:val="24"/>
              </w:rPr>
              <w:t xml:space="preserve">continues its leadership role in multi-national organizations such as the ITU, CITEL, OECD and others, bilateral affairs, and cross-border negotiations.  </w:t>
            </w:r>
          </w:p>
          <w:p w14:paraId="31EAA3E1" w14:textId="77777777" w:rsidR="00CA301A" w:rsidRPr="00087049" w:rsidRDefault="00CA301A" w:rsidP="0032164D"/>
          <w:p w14:paraId="2DCEBCF6" w14:textId="77777777" w:rsidR="00CA301A" w:rsidRPr="00087049" w:rsidRDefault="00CA301A" w:rsidP="00CA301A">
            <w:pPr>
              <w:pStyle w:val="ListParagraph"/>
              <w:numPr>
                <w:ilvl w:val="0"/>
                <w:numId w:val="8"/>
              </w:numPr>
              <w:rPr>
                <w:szCs w:val="24"/>
              </w:rPr>
            </w:pPr>
            <w:r w:rsidRPr="00087049">
              <w:rPr>
                <w:szCs w:val="24"/>
              </w:rPr>
              <w:t>The new Global Strategy and Negotiation Division merge</w:t>
            </w:r>
            <w:r w:rsidR="00087049">
              <w:rPr>
                <w:szCs w:val="24"/>
              </w:rPr>
              <w:t>s the</w:t>
            </w:r>
            <w:r w:rsidRPr="00087049">
              <w:rPr>
                <w:szCs w:val="24"/>
              </w:rPr>
              <w:t xml:space="preserve"> Regional and Bilateral Affairs Branch and Multilateral Negotiations and Industry Analysis Branch</w:t>
            </w:r>
            <w:r w:rsidR="00087049">
              <w:rPr>
                <w:szCs w:val="24"/>
              </w:rPr>
              <w:t xml:space="preserve"> into a combined branch called</w:t>
            </w:r>
            <w:r w:rsidRPr="00087049">
              <w:rPr>
                <w:szCs w:val="24"/>
              </w:rPr>
              <w:t xml:space="preserve"> the Multilateral and Regional Affairs Branch.</w:t>
            </w:r>
            <w:r w:rsidR="00087049">
              <w:rPr>
                <w:szCs w:val="24"/>
              </w:rPr>
              <w:t xml:space="preserve">  The Cross-Border Negotiations and Treaty Compliance Branch and the International Radiocommunication Branch remain the same.</w:t>
            </w:r>
          </w:p>
          <w:p w14:paraId="360D89B3" w14:textId="77777777" w:rsidR="00CA301A" w:rsidRPr="00087049" w:rsidRDefault="00CA301A" w:rsidP="0032164D"/>
          <w:p w14:paraId="40F221AE" w14:textId="77777777" w:rsidR="00EE04B6" w:rsidRDefault="00EE04B6" w:rsidP="0032164D">
            <w:pPr>
              <w:rPr>
                <w:i/>
              </w:rPr>
            </w:pPr>
          </w:p>
          <w:p w14:paraId="2DE15E08" w14:textId="77777777" w:rsidR="00EE04B6" w:rsidRDefault="00EE04B6" w:rsidP="0032164D">
            <w:pPr>
              <w:rPr>
                <w:i/>
              </w:rPr>
            </w:pPr>
          </w:p>
          <w:p w14:paraId="2062CE89" w14:textId="77777777" w:rsidR="00CA301A" w:rsidRPr="00087049" w:rsidRDefault="00CA301A" w:rsidP="0032164D">
            <w:pPr>
              <w:rPr>
                <w:i/>
              </w:rPr>
            </w:pPr>
            <w:r w:rsidRPr="00087049">
              <w:rPr>
                <w:i/>
              </w:rPr>
              <w:lastRenderedPageBreak/>
              <w:t xml:space="preserve">Satellite Division </w:t>
            </w:r>
          </w:p>
          <w:p w14:paraId="31559FF2" w14:textId="77777777" w:rsidR="00CA301A" w:rsidRPr="00087049" w:rsidRDefault="00CA301A" w:rsidP="0032164D"/>
          <w:p w14:paraId="3DF3C4A0" w14:textId="77777777" w:rsidR="00CA301A" w:rsidRPr="00087049" w:rsidRDefault="00CA301A" w:rsidP="00CA301A">
            <w:pPr>
              <w:numPr>
                <w:ilvl w:val="0"/>
                <w:numId w:val="7"/>
              </w:numPr>
              <w:rPr>
                <w:i/>
              </w:rPr>
            </w:pPr>
            <w:r w:rsidRPr="00087049">
              <w:t>International spectrum rulemaking functions are transferred from the Policy Division to the Satellite Division.  As a result, spectrum rulemakings such as Earth Stations Aboard Aircraft will now be led by the Satellite Division.</w:t>
            </w:r>
          </w:p>
          <w:p w14:paraId="5F26D94F" w14:textId="77777777" w:rsidR="00CA301A" w:rsidRPr="00087049" w:rsidRDefault="00CA301A" w:rsidP="00CA301A">
            <w:pPr>
              <w:ind w:left="720"/>
              <w:rPr>
                <w:i/>
              </w:rPr>
            </w:pPr>
          </w:p>
          <w:p w14:paraId="7E078AB1" w14:textId="5AB26238" w:rsidR="00CA301A" w:rsidRPr="00087049" w:rsidRDefault="00CA301A" w:rsidP="00CA301A">
            <w:pPr>
              <w:numPr>
                <w:ilvl w:val="0"/>
                <w:numId w:val="7"/>
              </w:numPr>
            </w:pPr>
            <w:r w:rsidRPr="00087049">
              <w:t xml:space="preserve">Notifications to the </w:t>
            </w:r>
            <w:r w:rsidR="00087049">
              <w:t>International Telecommunication</w:t>
            </w:r>
            <w:r w:rsidRPr="00087049">
              <w:t xml:space="preserve"> Union (ITU) will now be processed by the Satellite Division.  The point of contact for ITU notifications is </w:t>
            </w:r>
            <w:r w:rsidR="003172E7">
              <w:t>Kathyrn Medley</w:t>
            </w:r>
            <w:r w:rsidRPr="00087049">
              <w:t xml:space="preserve">.  Ms. </w:t>
            </w:r>
            <w:r w:rsidR="003172E7">
              <w:t>Medley</w:t>
            </w:r>
            <w:r w:rsidRPr="00087049">
              <w:t xml:space="preserve"> can be reached by email at </w:t>
            </w:r>
            <w:r w:rsidR="003172E7">
              <w:t>Kathyrn.Medley@fcc.gov</w:t>
            </w:r>
            <w:r w:rsidRPr="00087049">
              <w:t>, or by phone at (202) 418-</w:t>
            </w:r>
            <w:r w:rsidR="003172E7">
              <w:t>1211</w:t>
            </w:r>
            <w:r w:rsidRPr="00087049">
              <w:t>.</w:t>
            </w:r>
          </w:p>
          <w:p w14:paraId="2C288154" w14:textId="77777777" w:rsidR="00CA301A" w:rsidRPr="00087049" w:rsidRDefault="00CA301A" w:rsidP="00CA301A">
            <w:pPr>
              <w:ind w:left="720"/>
              <w:rPr>
                <w:i/>
              </w:rPr>
            </w:pPr>
          </w:p>
          <w:p w14:paraId="0A76F82D" w14:textId="77777777" w:rsidR="00CA301A" w:rsidRPr="00087049" w:rsidRDefault="00CA301A" w:rsidP="0032164D">
            <w:pPr>
              <w:rPr>
                <w:i/>
              </w:rPr>
            </w:pPr>
            <w:r w:rsidRPr="00087049">
              <w:rPr>
                <w:i/>
              </w:rPr>
              <w:t>Telecommunications and Analysis Division</w:t>
            </w:r>
          </w:p>
          <w:p w14:paraId="67E833A5" w14:textId="77777777" w:rsidR="0037535D" w:rsidRPr="00087049" w:rsidRDefault="0037535D" w:rsidP="0032164D"/>
          <w:p w14:paraId="16096C3F" w14:textId="77777777" w:rsidR="00C11232" w:rsidRPr="00087049" w:rsidRDefault="000D7B45" w:rsidP="0037535D">
            <w:pPr>
              <w:pStyle w:val="ListParagraph"/>
              <w:numPr>
                <w:ilvl w:val="0"/>
                <w:numId w:val="9"/>
              </w:numPr>
              <w:rPr>
                <w:szCs w:val="24"/>
              </w:rPr>
            </w:pPr>
            <w:r w:rsidRPr="00087049">
              <w:rPr>
                <w:szCs w:val="24"/>
              </w:rPr>
              <w:t xml:space="preserve">The </w:t>
            </w:r>
            <w:r w:rsidR="0032164D" w:rsidRPr="00087049">
              <w:rPr>
                <w:szCs w:val="24"/>
              </w:rPr>
              <w:t xml:space="preserve">Policy Division </w:t>
            </w:r>
            <w:r w:rsidR="000B68EA" w:rsidRPr="00087049">
              <w:rPr>
                <w:szCs w:val="24"/>
              </w:rPr>
              <w:t xml:space="preserve">is </w:t>
            </w:r>
            <w:r w:rsidR="0032164D" w:rsidRPr="00087049">
              <w:rPr>
                <w:szCs w:val="24"/>
              </w:rPr>
              <w:t>renamed the Telecommunications and Analysis Division</w:t>
            </w:r>
            <w:r w:rsidR="00CA301A" w:rsidRPr="00087049">
              <w:rPr>
                <w:szCs w:val="24"/>
              </w:rPr>
              <w:t xml:space="preserve"> (TAD)</w:t>
            </w:r>
            <w:r w:rsidR="0037535D" w:rsidRPr="00087049">
              <w:rPr>
                <w:szCs w:val="24"/>
              </w:rPr>
              <w:t xml:space="preserve"> as a result of c</w:t>
            </w:r>
            <w:r w:rsidR="00C11232" w:rsidRPr="00087049">
              <w:rPr>
                <w:szCs w:val="24"/>
              </w:rPr>
              <w:t>onsolidat</w:t>
            </w:r>
            <w:r w:rsidR="0037535D" w:rsidRPr="00087049">
              <w:rPr>
                <w:szCs w:val="24"/>
              </w:rPr>
              <w:t xml:space="preserve">ing the </w:t>
            </w:r>
            <w:r w:rsidR="00C11232" w:rsidRPr="00087049">
              <w:rPr>
                <w:szCs w:val="24"/>
              </w:rPr>
              <w:t xml:space="preserve">economic analysis and statistical reporting functions </w:t>
            </w:r>
            <w:r w:rsidR="0037535D" w:rsidRPr="00087049">
              <w:rPr>
                <w:szCs w:val="24"/>
              </w:rPr>
              <w:t xml:space="preserve">within the bureau.  </w:t>
            </w:r>
          </w:p>
          <w:p w14:paraId="6B498A13" w14:textId="77777777" w:rsidR="0032164D" w:rsidRPr="00087049" w:rsidRDefault="0032164D" w:rsidP="0032164D">
            <w:pPr>
              <w:pStyle w:val="ListParagraph"/>
              <w:rPr>
                <w:i/>
                <w:szCs w:val="24"/>
              </w:rPr>
            </w:pPr>
          </w:p>
          <w:p w14:paraId="6415D6BA" w14:textId="77777777" w:rsidR="0094096F" w:rsidRPr="00087049" w:rsidRDefault="0094096F" w:rsidP="0037535D">
            <w:pPr>
              <w:pStyle w:val="ListParagraph"/>
              <w:numPr>
                <w:ilvl w:val="0"/>
                <w:numId w:val="9"/>
              </w:numPr>
              <w:ind w:right="432"/>
              <w:rPr>
                <w:szCs w:val="24"/>
              </w:rPr>
            </w:pPr>
            <w:r w:rsidRPr="00087049">
              <w:rPr>
                <w:szCs w:val="24"/>
              </w:rPr>
              <w:t xml:space="preserve">The Telecommunications and Analysis Division continues its important international communication policy portfolio, including foreign ownership review and licensing of international section 214 authorizations and submarine cables, and now gains responsibility for economic analysis and reports.  </w:t>
            </w:r>
          </w:p>
          <w:p w14:paraId="39E278C8" w14:textId="77777777" w:rsidR="00B93994" w:rsidRPr="00087049" w:rsidRDefault="0032164D" w:rsidP="009B0341">
            <w:pPr>
              <w:ind w:left="1080" w:right="432"/>
            </w:pPr>
            <w:r w:rsidRPr="00087049">
              <w:t xml:space="preserve"> </w:t>
            </w:r>
          </w:p>
          <w:p w14:paraId="3836E887" w14:textId="77777777" w:rsidR="004F0F1F" w:rsidRPr="00087049" w:rsidRDefault="00F708E3" w:rsidP="002E4182">
            <w:pPr>
              <w:autoSpaceDE w:val="0"/>
              <w:autoSpaceDN w:val="0"/>
              <w:jc w:val="center"/>
            </w:pPr>
            <w:r w:rsidRPr="00087049">
              <w:t>###</w:t>
            </w:r>
          </w:p>
          <w:p w14:paraId="4B4A7B93" w14:textId="77777777" w:rsidR="00E644FE" w:rsidRPr="00087049" w:rsidRDefault="00E644FE" w:rsidP="00BB4E29">
            <w:pPr>
              <w:ind w:right="498"/>
              <w:jc w:val="center"/>
              <w:rPr>
                <w:b/>
                <w:bCs/>
              </w:rPr>
            </w:pPr>
            <w:r w:rsidRPr="00087049">
              <w:rPr>
                <w:b/>
                <w:bCs/>
              </w:rPr>
              <w:br/>
              <w:t>Off</w:t>
            </w:r>
            <w:r w:rsidR="00AD0D19" w:rsidRPr="00087049">
              <w:rPr>
                <w:b/>
                <w:bCs/>
              </w:rPr>
              <w:t xml:space="preserve">ice of Media Relations: </w:t>
            </w:r>
            <w:r w:rsidR="00AC0A38" w:rsidRPr="00087049">
              <w:rPr>
                <w:b/>
                <w:bCs/>
              </w:rPr>
              <w:t xml:space="preserve">(202) </w:t>
            </w:r>
            <w:r w:rsidR="00AD0D19" w:rsidRPr="00087049">
              <w:rPr>
                <w:b/>
                <w:bCs/>
              </w:rPr>
              <w:t>418-</w:t>
            </w:r>
            <w:r w:rsidRPr="00087049">
              <w:rPr>
                <w:b/>
                <w:bCs/>
              </w:rPr>
              <w:t>0500</w:t>
            </w:r>
          </w:p>
          <w:p w14:paraId="0FE5426A" w14:textId="77777777" w:rsidR="00E644FE" w:rsidRPr="00087049" w:rsidRDefault="00E644FE" w:rsidP="00BB4E29">
            <w:pPr>
              <w:ind w:right="498"/>
              <w:jc w:val="center"/>
              <w:rPr>
                <w:b/>
                <w:bCs/>
              </w:rPr>
            </w:pPr>
            <w:r w:rsidRPr="00087049">
              <w:rPr>
                <w:b/>
                <w:bCs/>
              </w:rPr>
              <w:t xml:space="preserve">TTY: </w:t>
            </w:r>
            <w:r w:rsidR="00AC0A38" w:rsidRPr="00087049">
              <w:rPr>
                <w:b/>
                <w:bCs/>
              </w:rPr>
              <w:t xml:space="preserve">(888) </w:t>
            </w:r>
            <w:r w:rsidR="006E4A76" w:rsidRPr="00087049">
              <w:rPr>
                <w:b/>
                <w:bCs/>
              </w:rPr>
              <w:t>835-5322</w:t>
            </w:r>
          </w:p>
          <w:p w14:paraId="5484387A" w14:textId="77777777" w:rsidR="00CC5E08" w:rsidRPr="00087049" w:rsidRDefault="006A2FC5" w:rsidP="00BB4E29">
            <w:pPr>
              <w:ind w:right="498"/>
              <w:jc w:val="center"/>
              <w:rPr>
                <w:b/>
                <w:bCs/>
              </w:rPr>
            </w:pPr>
            <w:r w:rsidRPr="00087049">
              <w:rPr>
                <w:b/>
                <w:bCs/>
              </w:rPr>
              <w:t>Twitter: @FCC</w:t>
            </w:r>
          </w:p>
          <w:p w14:paraId="034ABA83" w14:textId="05C4ACFD" w:rsidR="00CC5E08" w:rsidRPr="00087049" w:rsidRDefault="00343991" w:rsidP="00BB4E29">
            <w:pPr>
              <w:ind w:right="498"/>
              <w:jc w:val="center"/>
              <w:rPr>
                <w:rStyle w:val="Hyperlink"/>
                <w:b/>
                <w:bCs/>
                <w:color w:val="auto"/>
              </w:rPr>
            </w:pPr>
            <w:hyperlink r:id="rId10" w:history="1">
              <w:r w:rsidR="00EE0E90" w:rsidRPr="00087049">
                <w:rPr>
                  <w:rStyle w:val="Hyperlink"/>
                  <w:b/>
                  <w:bCs/>
                  <w:color w:val="auto"/>
                </w:rPr>
                <w:t>www.fcc.gov/office-media-relations</w:t>
              </w:r>
            </w:hyperlink>
          </w:p>
          <w:p w14:paraId="44663D32" w14:textId="77777777" w:rsidR="0069420F" w:rsidRPr="00087049" w:rsidRDefault="0069420F" w:rsidP="00BB4E29">
            <w:pPr>
              <w:ind w:right="498"/>
              <w:jc w:val="center"/>
              <w:rPr>
                <w:b/>
                <w:bCs/>
              </w:rPr>
            </w:pPr>
          </w:p>
          <w:p w14:paraId="053868E8" w14:textId="77777777" w:rsidR="00EE0E90" w:rsidRPr="00087049" w:rsidRDefault="0069420F" w:rsidP="0069420F">
            <w:pPr>
              <w:ind w:right="498"/>
              <w:jc w:val="center"/>
              <w:rPr>
                <w:bCs/>
                <w:i/>
              </w:rPr>
            </w:pPr>
            <w:r w:rsidRPr="00087049">
              <w:rPr>
                <w:bCs/>
                <w:i/>
              </w:rPr>
              <w:t>This is an unofficial announcement of Commission action.  Release of the full text of a Commission order constitutes official action.  See MCI v. FCC, 515 F.2d 385 (D.C. Cir. 1974).</w:t>
            </w:r>
          </w:p>
        </w:tc>
      </w:tr>
      <w:tr w:rsidR="007F499C" w:rsidRPr="00087049" w14:paraId="6EC8F277" w14:textId="77777777" w:rsidTr="6E427C09">
        <w:trPr>
          <w:trHeight w:val="2181"/>
        </w:trPr>
        <w:tc>
          <w:tcPr>
            <w:tcW w:w="8856" w:type="dxa"/>
          </w:tcPr>
          <w:p w14:paraId="6503C99A" w14:textId="77777777" w:rsidR="007F499C" w:rsidRPr="00087049" w:rsidRDefault="007F499C" w:rsidP="006A7D75">
            <w:pPr>
              <w:jc w:val="center"/>
              <w:rPr>
                <w:b/>
                <w:i/>
                <w:noProof/>
              </w:rPr>
            </w:pPr>
          </w:p>
        </w:tc>
      </w:tr>
    </w:tbl>
    <w:p w14:paraId="7EB2FD9B" w14:textId="77777777" w:rsidR="0003167F" w:rsidRPr="00087049" w:rsidRDefault="0003167F">
      <w:pPr>
        <w:rPr>
          <w:b/>
          <w:bCs/>
        </w:rPr>
      </w:pPr>
    </w:p>
    <w:sectPr w:rsidR="0003167F" w:rsidRPr="00087049" w:rsidSect="00A51E2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33C0" w14:textId="77777777" w:rsidR="008439CC" w:rsidRDefault="008439CC" w:rsidP="00733019">
      <w:r>
        <w:separator/>
      </w:r>
    </w:p>
  </w:endnote>
  <w:endnote w:type="continuationSeparator" w:id="0">
    <w:p w14:paraId="7E0261A2" w14:textId="77777777" w:rsidR="008439CC" w:rsidRDefault="008439CC" w:rsidP="00733019">
      <w:r>
        <w:continuationSeparator/>
      </w:r>
    </w:p>
  </w:endnote>
  <w:endnote w:type="continuationNotice" w:id="1">
    <w:p w14:paraId="0DADC0B8" w14:textId="77777777" w:rsidR="008439CC" w:rsidRDefault="00843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19B3" w14:textId="77777777" w:rsidR="00B37EF9" w:rsidRDefault="00B37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0083" w14:textId="77777777" w:rsidR="00B37EF9" w:rsidRDefault="00B37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CF13" w14:textId="77777777" w:rsidR="00B37EF9" w:rsidRDefault="00B3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1ADF" w14:textId="77777777" w:rsidR="008439CC" w:rsidRDefault="008439CC" w:rsidP="00733019">
      <w:r>
        <w:separator/>
      </w:r>
    </w:p>
  </w:footnote>
  <w:footnote w:type="continuationSeparator" w:id="0">
    <w:p w14:paraId="47317D12" w14:textId="77777777" w:rsidR="008439CC" w:rsidRDefault="008439CC" w:rsidP="00733019">
      <w:r>
        <w:continuationSeparator/>
      </w:r>
    </w:p>
  </w:footnote>
  <w:footnote w:type="continuationNotice" w:id="1">
    <w:p w14:paraId="701502C3" w14:textId="77777777" w:rsidR="008439CC" w:rsidRDefault="008439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6643" w14:textId="77777777" w:rsidR="00B37EF9" w:rsidRDefault="00B37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55D36" w14:textId="77777777" w:rsidR="00B37EF9" w:rsidRDefault="00B37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8041" w14:textId="77777777" w:rsidR="00B37EF9" w:rsidRDefault="00B37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6BB"/>
    <w:multiLevelType w:val="hybridMultilevel"/>
    <w:tmpl w:val="3110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526D"/>
    <w:multiLevelType w:val="hybridMultilevel"/>
    <w:tmpl w:val="A920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5115"/>
    <w:multiLevelType w:val="hybridMultilevel"/>
    <w:tmpl w:val="F62CB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468297F"/>
    <w:multiLevelType w:val="hybridMultilevel"/>
    <w:tmpl w:val="DB920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5D8B62D8"/>
    <w:multiLevelType w:val="hybridMultilevel"/>
    <w:tmpl w:val="DB920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27F57"/>
    <w:multiLevelType w:val="hybridMultilevel"/>
    <w:tmpl w:val="F1AE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8E03652"/>
    <w:multiLevelType w:val="hybridMultilevel"/>
    <w:tmpl w:val="2FCA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55BE"/>
    <w:rsid w:val="00006BCF"/>
    <w:rsid w:val="0001146A"/>
    <w:rsid w:val="00020BCB"/>
    <w:rsid w:val="0002500C"/>
    <w:rsid w:val="000311FC"/>
    <w:rsid w:val="0003167F"/>
    <w:rsid w:val="00040127"/>
    <w:rsid w:val="00055B66"/>
    <w:rsid w:val="00071A8D"/>
    <w:rsid w:val="00073473"/>
    <w:rsid w:val="00081232"/>
    <w:rsid w:val="00087049"/>
    <w:rsid w:val="00091E65"/>
    <w:rsid w:val="00096D4A"/>
    <w:rsid w:val="000A0818"/>
    <w:rsid w:val="000A0A2E"/>
    <w:rsid w:val="000A38EA"/>
    <w:rsid w:val="000B68EA"/>
    <w:rsid w:val="000C1192"/>
    <w:rsid w:val="000C1E47"/>
    <w:rsid w:val="000C26F3"/>
    <w:rsid w:val="000D1EF3"/>
    <w:rsid w:val="000D50E4"/>
    <w:rsid w:val="000D583A"/>
    <w:rsid w:val="000D5FF0"/>
    <w:rsid w:val="000D6580"/>
    <w:rsid w:val="000D7B45"/>
    <w:rsid w:val="000E049E"/>
    <w:rsid w:val="0010799B"/>
    <w:rsid w:val="00117DB2"/>
    <w:rsid w:val="001230F2"/>
    <w:rsid w:val="00123ED2"/>
    <w:rsid w:val="00125BE0"/>
    <w:rsid w:val="001307A4"/>
    <w:rsid w:val="00142C13"/>
    <w:rsid w:val="00142D15"/>
    <w:rsid w:val="00144204"/>
    <w:rsid w:val="0015254B"/>
    <w:rsid w:val="00152776"/>
    <w:rsid w:val="00152B1D"/>
    <w:rsid w:val="00153222"/>
    <w:rsid w:val="001577D3"/>
    <w:rsid w:val="00170247"/>
    <w:rsid w:val="001733A6"/>
    <w:rsid w:val="0017440D"/>
    <w:rsid w:val="001865A9"/>
    <w:rsid w:val="00187DB2"/>
    <w:rsid w:val="001A46B4"/>
    <w:rsid w:val="001B20BB"/>
    <w:rsid w:val="001B69B9"/>
    <w:rsid w:val="001B7DC5"/>
    <w:rsid w:val="001C435D"/>
    <w:rsid w:val="001C4370"/>
    <w:rsid w:val="001D02B7"/>
    <w:rsid w:val="001D29CE"/>
    <w:rsid w:val="001D3779"/>
    <w:rsid w:val="001E0F3F"/>
    <w:rsid w:val="001E50A2"/>
    <w:rsid w:val="001F0469"/>
    <w:rsid w:val="00203A98"/>
    <w:rsid w:val="00206EDD"/>
    <w:rsid w:val="0021247E"/>
    <w:rsid w:val="002146F6"/>
    <w:rsid w:val="0021734D"/>
    <w:rsid w:val="00222E4E"/>
    <w:rsid w:val="00227006"/>
    <w:rsid w:val="00231C32"/>
    <w:rsid w:val="0023640C"/>
    <w:rsid w:val="00240345"/>
    <w:rsid w:val="002421F0"/>
    <w:rsid w:val="00247274"/>
    <w:rsid w:val="002474DC"/>
    <w:rsid w:val="00261891"/>
    <w:rsid w:val="00266966"/>
    <w:rsid w:val="002675DF"/>
    <w:rsid w:val="00277CD5"/>
    <w:rsid w:val="0029008E"/>
    <w:rsid w:val="0029309A"/>
    <w:rsid w:val="00294C0C"/>
    <w:rsid w:val="002A0934"/>
    <w:rsid w:val="002B1013"/>
    <w:rsid w:val="002B1FAA"/>
    <w:rsid w:val="002C4423"/>
    <w:rsid w:val="002D03E5"/>
    <w:rsid w:val="002D574D"/>
    <w:rsid w:val="002E1FA6"/>
    <w:rsid w:val="002E3F1D"/>
    <w:rsid w:val="002E4182"/>
    <w:rsid w:val="002F0A1A"/>
    <w:rsid w:val="002F31D0"/>
    <w:rsid w:val="00300359"/>
    <w:rsid w:val="00315495"/>
    <w:rsid w:val="003172E7"/>
    <w:rsid w:val="0031773E"/>
    <w:rsid w:val="0032164D"/>
    <w:rsid w:val="00322A1C"/>
    <w:rsid w:val="00330741"/>
    <w:rsid w:val="003311BE"/>
    <w:rsid w:val="00331E58"/>
    <w:rsid w:val="003410A7"/>
    <w:rsid w:val="00343991"/>
    <w:rsid w:val="00345D49"/>
    <w:rsid w:val="00347716"/>
    <w:rsid w:val="003506E1"/>
    <w:rsid w:val="0035472E"/>
    <w:rsid w:val="00356FDC"/>
    <w:rsid w:val="0036743C"/>
    <w:rsid w:val="00370120"/>
    <w:rsid w:val="0037074F"/>
    <w:rsid w:val="003727E3"/>
    <w:rsid w:val="0037535D"/>
    <w:rsid w:val="00375D9A"/>
    <w:rsid w:val="00377445"/>
    <w:rsid w:val="00385A93"/>
    <w:rsid w:val="00390642"/>
    <w:rsid w:val="0039101B"/>
    <w:rsid w:val="003910F1"/>
    <w:rsid w:val="003A1DB1"/>
    <w:rsid w:val="003D2736"/>
    <w:rsid w:val="003D5DE3"/>
    <w:rsid w:val="003E1BDB"/>
    <w:rsid w:val="003E42FC"/>
    <w:rsid w:val="003E5991"/>
    <w:rsid w:val="003F344A"/>
    <w:rsid w:val="003F4391"/>
    <w:rsid w:val="003F6BBB"/>
    <w:rsid w:val="00403FF0"/>
    <w:rsid w:val="0042046D"/>
    <w:rsid w:val="004247C9"/>
    <w:rsid w:val="004256B4"/>
    <w:rsid w:val="00425AEF"/>
    <w:rsid w:val="00426518"/>
    <w:rsid w:val="00427B06"/>
    <w:rsid w:val="00431640"/>
    <w:rsid w:val="004356AD"/>
    <w:rsid w:val="00436192"/>
    <w:rsid w:val="00441F59"/>
    <w:rsid w:val="00444E07"/>
    <w:rsid w:val="00444FA9"/>
    <w:rsid w:val="004616E3"/>
    <w:rsid w:val="00464876"/>
    <w:rsid w:val="0046549E"/>
    <w:rsid w:val="00471D91"/>
    <w:rsid w:val="00473E9C"/>
    <w:rsid w:val="004775EC"/>
    <w:rsid w:val="00480099"/>
    <w:rsid w:val="00497858"/>
    <w:rsid w:val="004A0643"/>
    <w:rsid w:val="004A369A"/>
    <w:rsid w:val="004B3AB6"/>
    <w:rsid w:val="004B4FEA"/>
    <w:rsid w:val="004C0ADA"/>
    <w:rsid w:val="004C433E"/>
    <w:rsid w:val="004C4512"/>
    <w:rsid w:val="004C4F36"/>
    <w:rsid w:val="004D3D85"/>
    <w:rsid w:val="004E0518"/>
    <w:rsid w:val="004E2BD8"/>
    <w:rsid w:val="004E4B0E"/>
    <w:rsid w:val="004F0F1F"/>
    <w:rsid w:val="00500FAF"/>
    <w:rsid w:val="005022AA"/>
    <w:rsid w:val="00504006"/>
    <w:rsid w:val="00504845"/>
    <w:rsid w:val="0050757F"/>
    <w:rsid w:val="00516AD2"/>
    <w:rsid w:val="00545563"/>
    <w:rsid w:val="00545DAE"/>
    <w:rsid w:val="00550AF5"/>
    <w:rsid w:val="00551000"/>
    <w:rsid w:val="00551D41"/>
    <w:rsid w:val="00570197"/>
    <w:rsid w:val="00570459"/>
    <w:rsid w:val="00571B83"/>
    <w:rsid w:val="00575A00"/>
    <w:rsid w:val="00576625"/>
    <w:rsid w:val="0058001C"/>
    <w:rsid w:val="0058673C"/>
    <w:rsid w:val="005963C3"/>
    <w:rsid w:val="005979EE"/>
    <w:rsid w:val="005A50F7"/>
    <w:rsid w:val="005A7972"/>
    <w:rsid w:val="005B17E7"/>
    <w:rsid w:val="005B2643"/>
    <w:rsid w:val="005B4624"/>
    <w:rsid w:val="005C213E"/>
    <w:rsid w:val="005D0719"/>
    <w:rsid w:val="005D17FD"/>
    <w:rsid w:val="005D2E51"/>
    <w:rsid w:val="005E18F9"/>
    <w:rsid w:val="005E3B2B"/>
    <w:rsid w:val="005E46A2"/>
    <w:rsid w:val="005F0D55"/>
    <w:rsid w:val="005F183E"/>
    <w:rsid w:val="005F1F79"/>
    <w:rsid w:val="005F6FD2"/>
    <w:rsid w:val="005F7B57"/>
    <w:rsid w:val="00600DDA"/>
    <w:rsid w:val="00604211"/>
    <w:rsid w:val="00613498"/>
    <w:rsid w:val="00617B94"/>
    <w:rsid w:val="00620BED"/>
    <w:rsid w:val="00622324"/>
    <w:rsid w:val="00625A78"/>
    <w:rsid w:val="006415B4"/>
    <w:rsid w:val="00642086"/>
    <w:rsid w:val="00644E3D"/>
    <w:rsid w:val="00651B9E"/>
    <w:rsid w:val="00652019"/>
    <w:rsid w:val="006522A2"/>
    <w:rsid w:val="00657EC9"/>
    <w:rsid w:val="00665633"/>
    <w:rsid w:val="00674C86"/>
    <w:rsid w:val="0068015E"/>
    <w:rsid w:val="00680421"/>
    <w:rsid w:val="00683923"/>
    <w:rsid w:val="0068412D"/>
    <w:rsid w:val="00685085"/>
    <w:rsid w:val="006861AB"/>
    <w:rsid w:val="00686B89"/>
    <w:rsid w:val="00687ACE"/>
    <w:rsid w:val="0069420F"/>
    <w:rsid w:val="00695A32"/>
    <w:rsid w:val="006A2FC5"/>
    <w:rsid w:val="006A7D75"/>
    <w:rsid w:val="006B0A70"/>
    <w:rsid w:val="006B606A"/>
    <w:rsid w:val="006C33AF"/>
    <w:rsid w:val="006C62A0"/>
    <w:rsid w:val="006C72C7"/>
    <w:rsid w:val="006D5D22"/>
    <w:rsid w:val="006E0324"/>
    <w:rsid w:val="006E39A9"/>
    <w:rsid w:val="006E4A76"/>
    <w:rsid w:val="006E7741"/>
    <w:rsid w:val="006F1DBD"/>
    <w:rsid w:val="00700556"/>
    <w:rsid w:val="00705179"/>
    <w:rsid w:val="007053F6"/>
    <w:rsid w:val="007167DD"/>
    <w:rsid w:val="00722ADE"/>
    <w:rsid w:val="0072478B"/>
    <w:rsid w:val="00731D2C"/>
    <w:rsid w:val="00733019"/>
    <w:rsid w:val="0073414D"/>
    <w:rsid w:val="00734567"/>
    <w:rsid w:val="00743635"/>
    <w:rsid w:val="0075235E"/>
    <w:rsid w:val="007528A5"/>
    <w:rsid w:val="007732CC"/>
    <w:rsid w:val="00774079"/>
    <w:rsid w:val="0077752B"/>
    <w:rsid w:val="007817AC"/>
    <w:rsid w:val="0078643D"/>
    <w:rsid w:val="00790D22"/>
    <w:rsid w:val="00793D6F"/>
    <w:rsid w:val="00794090"/>
    <w:rsid w:val="007A0BE3"/>
    <w:rsid w:val="007A1445"/>
    <w:rsid w:val="007A44F8"/>
    <w:rsid w:val="007B078D"/>
    <w:rsid w:val="007B673B"/>
    <w:rsid w:val="007B70E2"/>
    <w:rsid w:val="007C6EF8"/>
    <w:rsid w:val="007D21BF"/>
    <w:rsid w:val="007D2A8F"/>
    <w:rsid w:val="007D71D0"/>
    <w:rsid w:val="007F0415"/>
    <w:rsid w:val="007F3C12"/>
    <w:rsid w:val="007F499C"/>
    <w:rsid w:val="007F5205"/>
    <w:rsid w:val="007F6B5F"/>
    <w:rsid w:val="00802889"/>
    <w:rsid w:val="008118CC"/>
    <w:rsid w:val="0081459D"/>
    <w:rsid w:val="008215E7"/>
    <w:rsid w:val="00830E92"/>
    <w:rsid w:val="00830FC6"/>
    <w:rsid w:val="00831D45"/>
    <w:rsid w:val="00835B06"/>
    <w:rsid w:val="00840133"/>
    <w:rsid w:val="008439CC"/>
    <w:rsid w:val="00850435"/>
    <w:rsid w:val="00852DC1"/>
    <w:rsid w:val="00861FE3"/>
    <w:rsid w:val="00865EAA"/>
    <w:rsid w:val="00866F06"/>
    <w:rsid w:val="00871E17"/>
    <w:rsid w:val="00871F68"/>
    <w:rsid w:val="008728F5"/>
    <w:rsid w:val="008824C2"/>
    <w:rsid w:val="00882BCF"/>
    <w:rsid w:val="008960E4"/>
    <w:rsid w:val="008A3940"/>
    <w:rsid w:val="008B13C9"/>
    <w:rsid w:val="008B533E"/>
    <w:rsid w:val="008C248C"/>
    <w:rsid w:val="008C5432"/>
    <w:rsid w:val="008C55BB"/>
    <w:rsid w:val="008C662B"/>
    <w:rsid w:val="008C7BF1"/>
    <w:rsid w:val="008D00D6"/>
    <w:rsid w:val="008D1337"/>
    <w:rsid w:val="008D3133"/>
    <w:rsid w:val="008D4D00"/>
    <w:rsid w:val="008D4E5E"/>
    <w:rsid w:val="008D6CBB"/>
    <w:rsid w:val="008D7ABD"/>
    <w:rsid w:val="008E19E3"/>
    <w:rsid w:val="008E1F7B"/>
    <w:rsid w:val="008E4855"/>
    <w:rsid w:val="008E55A2"/>
    <w:rsid w:val="008E7393"/>
    <w:rsid w:val="008F1609"/>
    <w:rsid w:val="008F78D8"/>
    <w:rsid w:val="00911AA8"/>
    <w:rsid w:val="00913B23"/>
    <w:rsid w:val="0091538A"/>
    <w:rsid w:val="0094096F"/>
    <w:rsid w:val="00961620"/>
    <w:rsid w:val="009652C4"/>
    <w:rsid w:val="009734B6"/>
    <w:rsid w:val="00977ABB"/>
    <w:rsid w:val="0098096F"/>
    <w:rsid w:val="00982B6A"/>
    <w:rsid w:val="009841B6"/>
    <w:rsid w:val="0098437A"/>
    <w:rsid w:val="00986C92"/>
    <w:rsid w:val="0099169C"/>
    <w:rsid w:val="00992CD8"/>
    <w:rsid w:val="00993C47"/>
    <w:rsid w:val="009B0341"/>
    <w:rsid w:val="009B0CCA"/>
    <w:rsid w:val="009B4B16"/>
    <w:rsid w:val="009D462E"/>
    <w:rsid w:val="009D4F30"/>
    <w:rsid w:val="009E53CA"/>
    <w:rsid w:val="009E54A1"/>
    <w:rsid w:val="009F1233"/>
    <w:rsid w:val="009F1702"/>
    <w:rsid w:val="009F4E25"/>
    <w:rsid w:val="009F5B1F"/>
    <w:rsid w:val="00A03C96"/>
    <w:rsid w:val="00A05DCD"/>
    <w:rsid w:val="00A1436D"/>
    <w:rsid w:val="00A23928"/>
    <w:rsid w:val="00A30636"/>
    <w:rsid w:val="00A30AE4"/>
    <w:rsid w:val="00A3326D"/>
    <w:rsid w:val="00A35DFD"/>
    <w:rsid w:val="00A5022F"/>
    <w:rsid w:val="00A51E21"/>
    <w:rsid w:val="00A63057"/>
    <w:rsid w:val="00A65789"/>
    <w:rsid w:val="00A701AA"/>
    <w:rsid w:val="00A702DF"/>
    <w:rsid w:val="00A719AA"/>
    <w:rsid w:val="00A775A3"/>
    <w:rsid w:val="00A81B5B"/>
    <w:rsid w:val="00A82512"/>
    <w:rsid w:val="00A82FAD"/>
    <w:rsid w:val="00A9673A"/>
    <w:rsid w:val="00A96EF2"/>
    <w:rsid w:val="00AA24D2"/>
    <w:rsid w:val="00AA5C35"/>
    <w:rsid w:val="00AA5ED9"/>
    <w:rsid w:val="00AB6650"/>
    <w:rsid w:val="00AC0A38"/>
    <w:rsid w:val="00AC0F1C"/>
    <w:rsid w:val="00AC4E0E"/>
    <w:rsid w:val="00AC517B"/>
    <w:rsid w:val="00AD0D19"/>
    <w:rsid w:val="00AD1A69"/>
    <w:rsid w:val="00AE5DE4"/>
    <w:rsid w:val="00AF051B"/>
    <w:rsid w:val="00AF06C4"/>
    <w:rsid w:val="00AF78FE"/>
    <w:rsid w:val="00B032B8"/>
    <w:rsid w:val="00B037A2"/>
    <w:rsid w:val="00B14B83"/>
    <w:rsid w:val="00B31870"/>
    <w:rsid w:val="00B320B8"/>
    <w:rsid w:val="00B35EE2"/>
    <w:rsid w:val="00B36DEF"/>
    <w:rsid w:val="00B37EF9"/>
    <w:rsid w:val="00B420D4"/>
    <w:rsid w:val="00B45342"/>
    <w:rsid w:val="00B53750"/>
    <w:rsid w:val="00B57131"/>
    <w:rsid w:val="00B62F2C"/>
    <w:rsid w:val="00B64C21"/>
    <w:rsid w:val="00B67B45"/>
    <w:rsid w:val="00B727C9"/>
    <w:rsid w:val="00B735C8"/>
    <w:rsid w:val="00B743B0"/>
    <w:rsid w:val="00B748B8"/>
    <w:rsid w:val="00B74B8B"/>
    <w:rsid w:val="00B76A63"/>
    <w:rsid w:val="00B8154A"/>
    <w:rsid w:val="00B824C6"/>
    <w:rsid w:val="00B93994"/>
    <w:rsid w:val="00BA6350"/>
    <w:rsid w:val="00BA79F3"/>
    <w:rsid w:val="00BB4E29"/>
    <w:rsid w:val="00BB74C9"/>
    <w:rsid w:val="00BC3AB6"/>
    <w:rsid w:val="00BD19E8"/>
    <w:rsid w:val="00BD4273"/>
    <w:rsid w:val="00BE273A"/>
    <w:rsid w:val="00BE7979"/>
    <w:rsid w:val="00BF07D5"/>
    <w:rsid w:val="00BF2875"/>
    <w:rsid w:val="00C11232"/>
    <w:rsid w:val="00C37E46"/>
    <w:rsid w:val="00C432E4"/>
    <w:rsid w:val="00C445C4"/>
    <w:rsid w:val="00C56EA4"/>
    <w:rsid w:val="00C70C26"/>
    <w:rsid w:val="00C72001"/>
    <w:rsid w:val="00C7432B"/>
    <w:rsid w:val="00C770CF"/>
    <w:rsid w:val="00C772B7"/>
    <w:rsid w:val="00C80347"/>
    <w:rsid w:val="00C804C6"/>
    <w:rsid w:val="00C81D88"/>
    <w:rsid w:val="00C862DE"/>
    <w:rsid w:val="00C9163C"/>
    <w:rsid w:val="00CA301A"/>
    <w:rsid w:val="00CB316A"/>
    <w:rsid w:val="00CB7C1A"/>
    <w:rsid w:val="00CC5E08"/>
    <w:rsid w:val="00CD69EF"/>
    <w:rsid w:val="00CE0135"/>
    <w:rsid w:val="00CF1802"/>
    <w:rsid w:val="00CF6860"/>
    <w:rsid w:val="00CF795D"/>
    <w:rsid w:val="00D02AC6"/>
    <w:rsid w:val="00D03F0C"/>
    <w:rsid w:val="00D04312"/>
    <w:rsid w:val="00D16A7F"/>
    <w:rsid w:val="00D16AD2"/>
    <w:rsid w:val="00D22596"/>
    <w:rsid w:val="00D22691"/>
    <w:rsid w:val="00D22F17"/>
    <w:rsid w:val="00D24C3D"/>
    <w:rsid w:val="00D27308"/>
    <w:rsid w:val="00D32171"/>
    <w:rsid w:val="00D46CB1"/>
    <w:rsid w:val="00D54E4A"/>
    <w:rsid w:val="00D57984"/>
    <w:rsid w:val="00D723F0"/>
    <w:rsid w:val="00D8133F"/>
    <w:rsid w:val="00D87799"/>
    <w:rsid w:val="00D93AB5"/>
    <w:rsid w:val="00D94650"/>
    <w:rsid w:val="00D95B05"/>
    <w:rsid w:val="00D97E2D"/>
    <w:rsid w:val="00DA103D"/>
    <w:rsid w:val="00DA45D3"/>
    <w:rsid w:val="00DA4772"/>
    <w:rsid w:val="00DA5654"/>
    <w:rsid w:val="00DA7B44"/>
    <w:rsid w:val="00DB2667"/>
    <w:rsid w:val="00DB67B7"/>
    <w:rsid w:val="00DC15A9"/>
    <w:rsid w:val="00DC40AA"/>
    <w:rsid w:val="00DD1750"/>
    <w:rsid w:val="00E05C3B"/>
    <w:rsid w:val="00E349AA"/>
    <w:rsid w:val="00E41390"/>
    <w:rsid w:val="00E41CA0"/>
    <w:rsid w:val="00E4366B"/>
    <w:rsid w:val="00E50A4A"/>
    <w:rsid w:val="00E56ABD"/>
    <w:rsid w:val="00E606DE"/>
    <w:rsid w:val="00E644FE"/>
    <w:rsid w:val="00E712FF"/>
    <w:rsid w:val="00E72733"/>
    <w:rsid w:val="00E735A5"/>
    <w:rsid w:val="00E742FA"/>
    <w:rsid w:val="00E75BE4"/>
    <w:rsid w:val="00E76816"/>
    <w:rsid w:val="00E83DBF"/>
    <w:rsid w:val="00E87C13"/>
    <w:rsid w:val="00E94CD9"/>
    <w:rsid w:val="00EA0BFF"/>
    <w:rsid w:val="00EA1A76"/>
    <w:rsid w:val="00EA290B"/>
    <w:rsid w:val="00EB7ED5"/>
    <w:rsid w:val="00EC61FD"/>
    <w:rsid w:val="00EE04B6"/>
    <w:rsid w:val="00EE0E90"/>
    <w:rsid w:val="00EE47B8"/>
    <w:rsid w:val="00EF3BCA"/>
    <w:rsid w:val="00F01B0D"/>
    <w:rsid w:val="00F04A42"/>
    <w:rsid w:val="00F1238F"/>
    <w:rsid w:val="00F16485"/>
    <w:rsid w:val="00F228ED"/>
    <w:rsid w:val="00F26E31"/>
    <w:rsid w:val="00F27C6C"/>
    <w:rsid w:val="00F34A8D"/>
    <w:rsid w:val="00F5023B"/>
    <w:rsid w:val="00F50D25"/>
    <w:rsid w:val="00F5348A"/>
    <w:rsid w:val="00F535D8"/>
    <w:rsid w:val="00F56D08"/>
    <w:rsid w:val="00F61155"/>
    <w:rsid w:val="00F64BF2"/>
    <w:rsid w:val="00F66FE9"/>
    <w:rsid w:val="00F708E3"/>
    <w:rsid w:val="00F72A61"/>
    <w:rsid w:val="00F76561"/>
    <w:rsid w:val="00F828BD"/>
    <w:rsid w:val="00F84736"/>
    <w:rsid w:val="00F8697D"/>
    <w:rsid w:val="00FA55A8"/>
    <w:rsid w:val="00FB4A93"/>
    <w:rsid w:val="00FC6C29"/>
    <w:rsid w:val="00FD1837"/>
    <w:rsid w:val="00FD2274"/>
    <w:rsid w:val="00FD58E0"/>
    <w:rsid w:val="00FD623A"/>
    <w:rsid w:val="00FE0198"/>
    <w:rsid w:val="00FE3A7C"/>
    <w:rsid w:val="00FF1C0B"/>
    <w:rsid w:val="00FF232D"/>
    <w:rsid w:val="00FF7F9B"/>
    <w:rsid w:val="6E42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D27308"/>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D2730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945">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23441329">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2441">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55987247">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44446">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Thomas.sullivan@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2729</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2015-11-19T15:00:00Z</cp:lastPrinted>
  <dcterms:created xsi:type="dcterms:W3CDTF">2015-12-14T15:31:00Z</dcterms:created>
  <dcterms:modified xsi:type="dcterms:W3CDTF">2015-12-14T15:31:00Z</dcterms:modified>
  <cp:category> </cp:category>
  <cp:contentStatus> </cp:contentStatus>
</cp:coreProperties>
</file>