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8B" w:rsidRDefault="0060228B">
      <w:pPr>
        <w:jc w:val="center"/>
        <w:rPr>
          <w:b/>
        </w:rPr>
      </w:pPr>
      <w:bookmarkStart w:id="0" w:name="_GoBack"/>
      <w:bookmarkEnd w:id="0"/>
      <w:r>
        <w:rPr>
          <w:b/>
        </w:rPr>
        <w:t>Before the</w:t>
      </w:r>
    </w:p>
    <w:p w:rsidR="0060228B" w:rsidRDefault="0060228B">
      <w:pPr>
        <w:jc w:val="center"/>
        <w:rPr>
          <w:b/>
        </w:rPr>
      </w:pPr>
      <w:r>
        <w:rPr>
          <w:b/>
        </w:rPr>
        <w:t>Federal Communications Commission</w:t>
      </w:r>
    </w:p>
    <w:p w:rsidR="0060228B" w:rsidRDefault="0060228B">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60228B" w:rsidRDefault="0060228B"/>
    <w:p w:rsidR="0060228B" w:rsidRDefault="0060228B"/>
    <w:tbl>
      <w:tblPr>
        <w:tblW w:w="0" w:type="auto"/>
        <w:tblLayout w:type="fixed"/>
        <w:tblLook w:val="0000" w:firstRow="0" w:lastRow="0" w:firstColumn="0" w:lastColumn="0" w:noHBand="0" w:noVBand="0"/>
      </w:tblPr>
      <w:tblGrid>
        <w:gridCol w:w="4698"/>
        <w:gridCol w:w="720"/>
        <w:gridCol w:w="4230"/>
      </w:tblGrid>
      <w:tr w:rsidR="0060228B">
        <w:tc>
          <w:tcPr>
            <w:tcW w:w="4698" w:type="dxa"/>
          </w:tcPr>
          <w:p w:rsidR="0060228B" w:rsidRDefault="0060228B">
            <w:pPr>
              <w:ind w:right="-18"/>
            </w:pPr>
            <w:r>
              <w:t xml:space="preserve">In the </w:t>
            </w:r>
            <w:r w:rsidR="002A29D2">
              <w:t>M</w:t>
            </w:r>
            <w:r>
              <w:t>atter of</w:t>
            </w:r>
          </w:p>
          <w:p w:rsidR="0060228B" w:rsidRDefault="0060228B">
            <w:pPr>
              <w:ind w:right="-18"/>
            </w:pPr>
          </w:p>
          <w:p w:rsidR="009C72E6" w:rsidRPr="009C72E6" w:rsidRDefault="009C72E6" w:rsidP="009C72E6">
            <w:pPr>
              <w:tabs>
                <w:tab w:val="center" w:pos="4680"/>
              </w:tabs>
              <w:suppressAutoHyphens/>
              <w:snapToGrid w:val="0"/>
              <w:rPr>
                <w:snapToGrid/>
                <w:spacing w:val="-2"/>
              </w:rPr>
            </w:pPr>
            <w:r w:rsidRPr="009C72E6">
              <w:rPr>
                <w:snapToGrid/>
                <w:spacing w:val="-2"/>
              </w:rPr>
              <w:t>Improvements to Benchmarks and Related Requirements Governing Hearing Aid-Compatible Mobile Handsets</w:t>
            </w:r>
          </w:p>
          <w:p w:rsidR="0060228B" w:rsidRDefault="0060228B">
            <w:pPr>
              <w:ind w:right="-18"/>
            </w:pPr>
          </w:p>
          <w:p w:rsidR="009C72E6" w:rsidRPr="009C72E6" w:rsidRDefault="009C72E6" w:rsidP="009C72E6">
            <w:pPr>
              <w:tabs>
                <w:tab w:val="center" w:pos="4680"/>
              </w:tabs>
              <w:suppressAutoHyphens/>
              <w:snapToGrid w:val="0"/>
              <w:rPr>
                <w:snapToGrid/>
                <w:spacing w:val="-2"/>
              </w:rPr>
            </w:pPr>
            <w:r w:rsidRPr="009C72E6">
              <w:rPr>
                <w:snapToGrid/>
                <w:spacing w:val="-2"/>
              </w:rPr>
              <w:t>Amendment of the Commission’s Rules Governing Hearing Aid-Compatible Mobile</w:t>
            </w:r>
          </w:p>
          <w:p w:rsidR="009C72E6" w:rsidRPr="009C72E6" w:rsidRDefault="009C72E6" w:rsidP="009C72E6">
            <w:pPr>
              <w:tabs>
                <w:tab w:val="center" w:pos="4680"/>
              </w:tabs>
              <w:suppressAutoHyphens/>
              <w:snapToGrid w:val="0"/>
              <w:rPr>
                <w:snapToGrid/>
                <w:spacing w:val="-2"/>
              </w:rPr>
            </w:pPr>
            <w:r w:rsidRPr="009C72E6">
              <w:rPr>
                <w:snapToGrid/>
                <w:spacing w:val="-2"/>
              </w:rPr>
              <w:t>Handsets</w:t>
            </w:r>
          </w:p>
          <w:p w:rsidR="009C72E6" w:rsidRDefault="009C72E6">
            <w:pPr>
              <w:ind w:right="-18"/>
            </w:pPr>
          </w:p>
        </w:tc>
        <w:tc>
          <w:tcPr>
            <w:tcW w:w="720" w:type="dxa"/>
          </w:tcPr>
          <w:p w:rsidR="0060228B" w:rsidRDefault="0060228B">
            <w:pPr>
              <w:rPr>
                <w:b/>
              </w:rPr>
            </w:pPr>
            <w:r>
              <w:rPr>
                <w:b/>
              </w:rPr>
              <w:t>)</w:t>
            </w:r>
          </w:p>
          <w:p w:rsidR="0060228B" w:rsidRDefault="0060228B">
            <w:pPr>
              <w:rPr>
                <w:b/>
              </w:rPr>
            </w:pPr>
            <w:r>
              <w:rPr>
                <w:b/>
              </w:rPr>
              <w:t>)</w:t>
            </w:r>
          </w:p>
          <w:p w:rsidR="0060228B" w:rsidRDefault="0060228B">
            <w:pPr>
              <w:rPr>
                <w:b/>
              </w:rPr>
            </w:pPr>
            <w:r>
              <w:rPr>
                <w:b/>
              </w:rPr>
              <w:t>)</w:t>
            </w:r>
          </w:p>
          <w:p w:rsidR="0060228B" w:rsidRDefault="0060228B">
            <w:pPr>
              <w:rPr>
                <w:b/>
              </w:rPr>
            </w:pPr>
            <w:r>
              <w:rPr>
                <w:b/>
              </w:rPr>
              <w:t>)</w:t>
            </w:r>
          </w:p>
          <w:p w:rsidR="0060228B" w:rsidRDefault="0060228B">
            <w:pPr>
              <w:rPr>
                <w:b/>
              </w:rPr>
            </w:pPr>
            <w:r>
              <w:rPr>
                <w:b/>
              </w:rPr>
              <w:t>)</w:t>
            </w:r>
          </w:p>
          <w:p w:rsidR="0060228B" w:rsidRDefault="0060228B">
            <w:pPr>
              <w:rPr>
                <w:b/>
              </w:rPr>
            </w:pPr>
            <w:r>
              <w:rPr>
                <w:b/>
              </w:rPr>
              <w:t>)</w:t>
            </w:r>
          </w:p>
          <w:p w:rsidR="0060228B" w:rsidRDefault="0060228B">
            <w:pPr>
              <w:rPr>
                <w:b/>
              </w:rPr>
            </w:pPr>
            <w:r>
              <w:rPr>
                <w:b/>
              </w:rPr>
              <w:t>)</w:t>
            </w:r>
          </w:p>
          <w:p w:rsidR="009C72E6" w:rsidRDefault="009C72E6">
            <w:pPr>
              <w:rPr>
                <w:b/>
              </w:rPr>
            </w:pPr>
            <w:r>
              <w:rPr>
                <w:b/>
              </w:rPr>
              <w:t>)</w:t>
            </w:r>
          </w:p>
          <w:p w:rsidR="009C72E6" w:rsidRDefault="009C72E6">
            <w:pPr>
              <w:rPr>
                <w:b/>
              </w:rPr>
            </w:pPr>
            <w:r>
              <w:rPr>
                <w:b/>
              </w:rPr>
              <w:t>)</w:t>
            </w:r>
          </w:p>
          <w:p w:rsidR="0060228B" w:rsidRDefault="0060228B">
            <w:pPr>
              <w:rPr>
                <w:b/>
              </w:rPr>
            </w:pPr>
          </w:p>
        </w:tc>
        <w:tc>
          <w:tcPr>
            <w:tcW w:w="4230" w:type="dxa"/>
          </w:tcPr>
          <w:p w:rsidR="0060228B" w:rsidRDefault="0060228B"/>
          <w:p w:rsidR="0060228B" w:rsidRDefault="0060228B"/>
          <w:p w:rsidR="0060228B" w:rsidRDefault="009C72E6" w:rsidP="00F25801">
            <w:r w:rsidRPr="009C72E6">
              <w:t>WT Docket No. 15-285</w:t>
            </w:r>
          </w:p>
          <w:p w:rsidR="009C72E6" w:rsidRDefault="009C72E6" w:rsidP="00F25801"/>
          <w:p w:rsidR="009C72E6" w:rsidRDefault="009C72E6" w:rsidP="00F25801"/>
          <w:p w:rsidR="009C72E6" w:rsidRDefault="009C72E6" w:rsidP="00F25801"/>
          <w:p w:rsidR="008B7989" w:rsidRPr="009C72E6" w:rsidRDefault="009C72E6" w:rsidP="00F25801">
            <w:r>
              <w:t>WT Docket No. 07-250</w:t>
            </w:r>
          </w:p>
        </w:tc>
      </w:tr>
    </w:tbl>
    <w:p w:rsidR="0060228B" w:rsidRDefault="0060228B"/>
    <w:p w:rsidR="0060228B" w:rsidRDefault="002E484C" w:rsidP="000F34C9">
      <w:pPr>
        <w:jc w:val="center"/>
        <w:rPr>
          <w:b/>
          <w:spacing w:val="-2"/>
        </w:rPr>
      </w:pPr>
      <w:r>
        <w:rPr>
          <w:b/>
          <w:spacing w:val="-2"/>
        </w:rPr>
        <w:t>ERRATUM</w:t>
      </w:r>
    </w:p>
    <w:p w:rsidR="00E00E22" w:rsidRDefault="00E00E22">
      <w:pPr>
        <w:tabs>
          <w:tab w:val="left" w:pos="5760"/>
        </w:tabs>
        <w:rPr>
          <w:b/>
        </w:rPr>
      </w:pPr>
    </w:p>
    <w:p w:rsidR="0060228B" w:rsidRDefault="0060228B" w:rsidP="002A29D2">
      <w:pPr>
        <w:jc w:val="right"/>
        <w:rPr>
          <w:b/>
        </w:rPr>
      </w:pPr>
      <w:r>
        <w:rPr>
          <w:b/>
        </w:rPr>
        <w:t xml:space="preserve">Released:  </w:t>
      </w:r>
      <w:r w:rsidR="0072575B">
        <w:rPr>
          <w:b/>
        </w:rPr>
        <w:t>December 3</w:t>
      </w:r>
      <w:r w:rsidR="008B7989">
        <w:rPr>
          <w:b/>
        </w:rPr>
        <w:t>, 2015</w:t>
      </w:r>
    </w:p>
    <w:p w:rsidR="0060228B" w:rsidRDefault="0060228B">
      <w:pPr>
        <w:tabs>
          <w:tab w:val="left" w:pos="5760"/>
        </w:tabs>
        <w:rPr>
          <w:b/>
        </w:rPr>
      </w:pPr>
    </w:p>
    <w:p w:rsidR="0060228B" w:rsidRDefault="008B7989">
      <w:pPr>
        <w:tabs>
          <w:tab w:val="left" w:pos="5760"/>
        </w:tabs>
      </w:pPr>
      <w:r>
        <w:t>By the</w:t>
      </w:r>
      <w:r w:rsidR="00E54F94">
        <w:t xml:space="preserve"> </w:t>
      </w:r>
      <w:r w:rsidR="00744226">
        <w:t xml:space="preserve">Associate </w:t>
      </w:r>
      <w:r w:rsidR="009C72E6">
        <w:t>Chief</w:t>
      </w:r>
      <w:r w:rsidR="00E54F94">
        <w:t>,</w:t>
      </w:r>
      <w:r w:rsidR="009C72E6">
        <w:t xml:space="preserve"> Wireless Telecommunications Bureau</w:t>
      </w:r>
      <w:r w:rsidR="0060228B">
        <w:rPr>
          <w:spacing w:val="-2"/>
        </w:rPr>
        <w:t>:</w:t>
      </w:r>
    </w:p>
    <w:p w:rsidR="0060228B" w:rsidRDefault="0060228B"/>
    <w:p w:rsidR="00B07300" w:rsidRPr="002D0B4C" w:rsidRDefault="002A29D2" w:rsidP="002A29D2">
      <w:pPr>
        <w:pStyle w:val="ParaNum"/>
        <w:numPr>
          <w:ilvl w:val="0"/>
          <w:numId w:val="0"/>
        </w:numPr>
        <w:rPr>
          <w:szCs w:val="22"/>
        </w:rPr>
      </w:pPr>
      <w:r>
        <w:t xml:space="preserve"> </w:t>
      </w:r>
      <w:r>
        <w:tab/>
      </w:r>
      <w:r w:rsidR="008571CD">
        <w:t>On November 20, 2015,</w:t>
      </w:r>
      <w:r w:rsidR="00B07300">
        <w:t xml:space="preserve"> the </w:t>
      </w:r>
      <w:r w:rsidR="00467C4B">
        <w:t xml:space="preserve">Commission </w:t>
      </w:r>
      <w:r w:rsidR="00B07300">
        <w:t>released a</w:t>
      </w:r>
      <w:r w:rsidR="00B07300" w:rsidRPr="00A6678A">
        <w:t xml:space="preserve"> </w:t>
      </w:r>
      <w:r w:rsidR="00467C4B" w:rsidRPr="006B076F">
        <w:rPr>
          <w:i/>
        </w:rPr>
        <w:t>Fourth Report and Order and Notice of Proposed Rulemaking</w:t>
      </w:r>
      <w:r w:rsidR="00B07300">
        <w:rPr>
          <w:i/>
        </w:rPr>
        <w:t xml:space="preserve">, </w:t>
      </w:r>
      <w:r w:rsidR="00467C4B">
        <w:t>FCC 15-155</w:t>
      </w:r>
      <w:r w:rsidR="008B7989">
        <w:t>, in the above-</w:t>
      </w:r>
      <w:r w:rsidR="00B07300">
        <w:t xml:space="preserve">captioned proceeding.  This Erratum </w:t>
      </w:r>
      <w:r w:rsidR="004602B4">
        <w:t>amends</w:t>
      </w:r>
      <w:r w:rsidR="008B7989">
        <w:t xml:space="preserve"> the </w:t>
      </w:r>
      <w:r w:rsidR="008B7989">
        <w:rPr>
          <w:i/>
        </w:rPr>
        <w:t xml:space="preserve">Fourth Report and Order and Notice of Proposed </w:t>
      </w:r>
      <w:r w:rsidR="008B7989" w:rsidRPr="002D0B4C">
        <w:rPr>
          <w:i/>
          <w:szCs w:val="22"/>
        </w:rPr>
        <w:t>Rulemaking</w:t>
      </w:r>
      <w:r w:rsidR="002D0B4C" w:rsidRPr="002D0B4C">
        <w:rPr>
          <w:szCs w:val="22"/>
        </w:rPr>
        <w:t xml:space="preserve"> </w:t>
      </w:r>
      <w:r w:rsidR="009A2707">
        <w:rPr>
          <w:szCs w:val="22"/>
        </w:rPr>
        <w:t xml:space="preserve">and Appendices A and D to that document </w:t>
      </w:r>
      <w:r w:rsidR="002D0B4C" w:rsidRPr="002D0B4C">
        <w:rPr>
          <w:szCs w:val="22"/>
        </w:rPr>
        <w:t>as indicated below</w:t>
      </w:r>
      <w:r w:rsidR="00010C8C">
        <w:rPr>
          <w:szCs w:val="22"/>
        </w:rPr>
        <w:t>:</w:t>
      </w:r>
      <w:r w:rsidR="002D0B4C" w:rsidRPr="002D0B4C">
        <w:rPr>
          <w:szCs w:val="22"/>
        </w:rPr>
        <w:t xml:space="preserve">  </w:t>
      </w:r>
    </w:p>
    <w:p w:rsidR="008B7989" w:rsidRDefault="008B7989" w:rsidP="00A64C85">
      <w:pPr>
        <w:pStyle w:val="ParaNum"/>
        <w:numPr>
          <w:ilvl w:val="0"/>
          <w:numId w:val="4"/>
        </w:numPr>
        <w:ind w:left="0" w:firstLine="720"/>
      </w:pPr>
      <w:r>
        <w:t xml:space="preserve">In paragraph 1, </w:t>
      </w:r>
      <w:r w:rsidR="00C44771">
        <w:t>at the end of</w:t>
      </w:r>
      <w:r w:rsidR="00917CD5">
        <w:t xml:space="preserve"> “Since 2003”</w:t>
      </w:r>
      <w:r w:rsidR="00C44771">
        <w:t>,</w:t>
      </w:r>
      <w:r w:rsidR="00917CD5">
        <w:t xml:space="preserve"> </w:t>
      </w:r>
      <w:r w:rsidR="00C44771">
        <w:t xml:space="preserve">replace the “f” </w:t>
      </w:r>
      <w:r w:rsidR="00917CD5">
        <w:t>with</w:t>
      </w:r>
      <w:r w:rsidR="00C44771">
        <w:t xml:space="preserve"> a comma;</w:t>
      </w:r>
      <w:r w:rsidR="00917CD5">
        <w:t xml:space="preserve"> </w:t>
      </w:r>
      <w:r w:rsidR="00540430">
        <w:t>replace the space with a dash in</w:t>
      </w:r>
      <w:r w:rsidR="00DC1241">
        <w:t xml:space="preserve"> “</w:t>
      </w:r>
      <w:r w:rsidR="00540430">
        <w:t>…</w:t>
      </w:r>
      <w:r w:rsidR="00DC1241">
        <w:t xml:space="preserve"> aid compatible”</w:t>
      </w:r>
      <w:r w:rsidR="00C44771">
        <w:t>;</w:t>
      </w:r>
      <w:r w:rsidR="00DC1241">
        <w:t xml:space="preserve"> </w:t>
      </w:r>
      <w:r w:rsidR="00917CD5">
        <w:t xml:space="preserve">and delete </w:t>
      </w:r>
      <w:r w:rsidR="00C44771">
        <w:t xml:space="preserve">the </w:t>
      </w:r>
      <w:r w:rsidR="00917CD5">
        <w:t>extra space after “</w:t>
      </w:r>
      <w:r w:rsidR="008E1DD4">
        <w:t>essential</w:t>
      </w:r>
      <w:r w:rsidR="00DD7A90">
        <w:t>.</w:t>
      </w:r>
      <w:r w:rsidR="00917CD5">
        <w:t>”</w:t>
      </w:r>
    </w:p>
    <w:p w:rsidR="00042D73" w:rsidRDefault="00042D73" w:rsidP="00A64C85">
      <w:pPr>
        <w:pStyle w:val="ParaNum"/>
        <w:numPr>
          <w:ilvl w:val="0"/>
          <w:numId w:val="4"/>
        </w:numPr>
        <w:ind w:left="0" w:firstLine="720"/>
      </w:pPr>
      <w:r>
        <w:t xml:space="preserve">In paragraph 2, </w:t>
      </w:r>
      <w:r w:rsidR="00C44771">
        <w:t xml:space="preserve">in the </w:t>
      </w:r>
      <w:r>
        <w:t xml:space="preserve">fourth sentence, </w:t>
      </w:r>
      <w:r w:rsidR="00C44771">
        <w:t xml:space="preserve">add an “s” to </w:t>
      </w:r>
      <w:r>
        <w:t>“device</w:t>
      </w:r>
      <w:r w:rsidR="00214C43">
        <w:t>.</w:t>
      </w:r>
      <w:r>
        <w:t>”</w:t>
      </w:r>
    </w:p>
    <w:p w:rsidR="00865B46" w:rsidRDefault="00F50030" w:rsidP="00A64C85">
      <w:pPr>
        <w:pStyle w:val="ParaNum"/>
        <w:numPr>
          <w:ilvl w:val="0"/>
          <w:numId w:val="4"/>
        </w:numPr>
        <w:ind w:left="0" w:firstLine="720"/>
      </w:pPr>
      <w:r>
        <w:t xml:space="preserve">In paragraph 4, </w:t>
      </w:r>
      <w:r w:rsidR="00C2070B">
        <w:t xml:space="preserve">add an “s” to the words </w:t>
      </w:r>
      <w:r>
        <w:t>“require” and “provide</w:t>
      </w:r>
      <w:r w:rsidR="00DD7A90">
        <w:t>.</w:t>
      </w:r>
      <w:r>
        <w:t>”</w:t>
      </w:r>
    </w:p>
    <w:p w:rsidR="00C77D56" w:rsidRDefault="00C77D56" w:rsidP="00A64C85">
      <w:pPr>
        <w:pStyle w:val="ParaNum"/>
        <w:numPr>
          <w:ilvl w:val="0"/>
          <w:numId w:val="4"/>
        </w:numPr>
        <w:ind w:left="0" w:firstLine="720"/>
      </w:pPr>
      <w:r>
        <w:t xml:space="preserve">In footnote 9, delete </w:t>
      </w:r>
      <w:r w:rsidR="00C7654D">
        <w:t>the</w:t>
      </w:r>
      <w:r>
        <w:t xml:space="preserve"> space after “11167.”</w:t>
      </w:r>
    </w:p>
    <w:p w:rsidR="00806FBD" w:rsidRDefault="00806FBD" w:rsidP="00A64C85">
      <w:pPr>
        <w:pStyle w:val="ParaNum"/>
        <w:numPr>
          <w:ilvl w:val="0"/>
          <w:numId w:val="4"/>
        </w:numPr>
        <w:ind w:left="0" w:firstLine="720"/>
      </w:pPr>
      <w:r>
        <w:t xml:space="preserve">In paragraph 13, </w:t>
      </w:r>
      <w:r w:rsidR="00C7654D">
        <w:t>correct</w:t>
      </w:r>
      <w:r>
        <w:t xml:space="preserve"> “all” </w:t>
      </w:r>
      <w:r w:rsidR="00C7654D">
        <w:t>to read as</w:t>
      </w:r>
      <w:r>
        <w:t xml:space="preserve"> “[a]ll.”</w:t>
      </w:r>
    </w:p>
    <w:p w:rsidR="00B46E11" w:rsidRDefault="00BB2D1B" w:rsidP="00A64C85">
      <w:pPr>
        <w:pStyle w:val="ParaNum"/>
        <w:numPr>
          <w:ilvl w:val="0"/>
          <w:numId w:val="4"/>
        </w:numPr>
        <w:ind w:left="0" w:firstLine="720"/>
      </w:pPr>
      <w:r>
        <w:t>In p</w:t>
      </w:r>
      <w:r w:rsidR="00B46E11">
        <w:t xml:space="preserve">aragraph 14, </w:t>
      </w:r>
      <w:r w:rsidR="00C2070B">
        <w:t>correct</w:t>
      </w:r>
      <w:r>
        <w:t xml:space="preserve"> “noted” </w:t>
      </w:r>
      <w:r w:rsidR="00C2070B">
        <w:t>to read as</w:t>
      </w:r>
      <w:r>
        <w:t xml:space="preserve"> “notes” and </w:t>
      </w:r>
      <w:r w:rsidR="00C2070B">
        <w:t xml:space="preserve">replace </w:t>
      </w:r>
      <w:r>
        <w:t>“was” with “is</w:t>
      </w:r>
      <w:r w:rsidR="00DD7A90">
        <w:t>.</w:t>
      </w:r>
      <w:r>
        <w:t>”</w:t>
      </w:r>
    </w:p>
    <w:p w:rsidR="009E34BB" w:rsidRDefault="009E34BB" w:rsidP="00A64C85">
      <w:pPr>
        <w:pStyle w:val="ParaNum"/>
        <w:numPr>
          <w:ilvl w:val="0"/>
          <w:numId w:val="4"/>
        </w:numPr>
        <w:ind w:left="0" w:firstLine="720"/>
      </w:pPr>
      <w:r>
        <w:t xml:space="preserve">In footnote 43, </w:t>
      </w:r>
      <w:r w:rsidR="00C44771">
        <w:t>correct</w:t>
      </w:r>
      <w:r>
        <w:t xml:space="preserve"> “Motorola 2014 Refresh PN Comments” </w:t>
      </w:r>
      <w:r w:rsidR="00C44771">
        <w:t>to read as</w:t>
      </w:r>
      <w:r>
        <w:t xml:space="preserve"> “Motorola Solutions 2014 Refresh PN Comments</w:t>
      </w:r>
      <w:r w:rsidR="00DD7A90">
        <w:t>.</w:t>
      </w:r>
      <w:r>
        <w:t>”</w:t>
      </w:r>
    </w:p>
    <w:p w:rsidR="00664505" w:rsidRDefault="00664505" w:rsidP="00A64C85">
      <w:pPr>
        <w:pStyle w:val="ParaNum"/>
        <w:numPr>
          <w:ilvl w:val="0"/>
          <w:numId w:val="4"/>
        </w:numPr>
        <w:ind w:left="0" w:firstLine="720"/>
      </w:pPr>
      <w:r>
        <w:t>Footnote</w:t>
      </w:r>
      <w:r w:rsidR="0055407D">
        <w:t>s</w:t>
      </w:r>
      <w:r>
        <w:t xml:space="preserve"> 45 </w:t>
      </w:r>
      <w:r w:rsidR="000F34C9">
        <w:t>and 46 are</w:t>
      </w:r>
      <w:r>
        <w:t xml:space="preserve"> corrected to read as follows:</w:t>
      </w:r>
    </w:p>
    <w:p w:rsidR="00664505" w:rsidRDefault="000F34C9" w:rsidP="007E43CD">
      <w:pPr>
        <w:pStyle w:val="ParaNum"/>
        <w:numPr>
          <w:ilvl w:val="0"/>
          <w:numId w:val="0"/>
        </w:numPr>
        <w:ind w:left="720" w:hanging="90"/>
      </w:pPr>
      <w:r w:rsidRPr="000F34C9">
        <w:t>“</w:t>
      </w:r>
      <w:r w:rsidR="00664505">
        <w:rPr>
          <w:i/>
        </w:rPr>
        <w:t xml:space="preserve">See </w:t>
      </w:r>
      <w:r w:rsidR="00664505">
        <w:t xml:space="preserve">Blooston 2010 Further NPRM Comments at 5-6: </w:t>
      </w:r>
      <w:r w:rsidR="00664505" w:rsidRPr="00F433F9">
        <w:rPr>
          <w:i/>
        </w:rPr>
        <w:t>see infra</w:t>
      </w:r>
      <w:r w:rsidR="00664505" w:rsidRPr="00A840D5">
        <w:t xml:space="preserve"> n</w:t>
      </w:r>
      <w:r w:rsidR="00664505">
        <w:t xml:space="preserve">ote </w:t>
      </w:r>
      <w:r w:rsidR="00F67BFC">
        <w:t>62</w:t>
      </w:r>
      <w:r w:rsidR="00664505">
        <w:t xml:space="preserve"> (</w:t>
      </w:r>
      <w:r w:rsidR="00664505" w:rsidRPr="00A840D5">
        <w:t>the definition of Tier III service providers</w:t>
      </w:r>
      <w:r w:rsidR="00664505">
        <w:t>).</w:t>
      </w:r>
    </w:p>
    <w:p w:rsidR="00664505" w:rsidRDefault="00664505" w:rsidP="007E43CD">
      <w:pPr>
        <w:pStyle w:val="ParaNum"/>
        <w:numPr>
          <w:ilvl w:val="0"/>
          <w:numId w:val="0"/>
        </w:numPr>
        <w:ind w:left="720"/>
      </w:pPr>
      <w:r>
        <w:rPr>
          <w:i/>
        </w:rPr>
        <w:t xml:space="preserve">See </w:t>
      </w:r>
      <w:r>
        <w:t>HIA 2010 Further NPRM Comments at 9</w:t>
      </w:r>
      <w:r w:rsidRPr="00A840D5">
        <w:t>.</w:t>
      </w:r>
      <w:r w:rsidR="000F34C9">
        <w:t>”</w:t>
      </w:r>
    </w:p>
    <w:p w:rsidR="006B68D5" w:rsidRDefault="006B68D5" w:rsidP="00A64C85">
      <w:pPr>
        <w:pStyle w:val="ParaNum"/>
        <w:numPr>
          <w:ilvl w:val="0"/>
          <w:numId w:val="4"/>
        </w:numPr>
        <w:ind w:left="0" w:firstLine="720"/>
      </w:pPr>
      <w:r>
        <w:t>In paragraph 18, replace “VoIP” with “Voice over Internet Protocol (VoIP)</w:t>
      </w:r>
      <w:r w:rsidR="00DD7A90">
        <w:t>.</w:t>
      </w:r>
      <w:r>
        <w:t>”</w:t>
      </w:r>
    </w:p>
    <w:p w:rsidR="00DC1241" w:rsidRDefault="00DC1241" w:rsidP="00A64C85">
      <w:pPr>
        <w:pStyle w:val="ParaNum"/>
        <w:numPr>
          <w:ilvl w:val="0"/>
          <w:numId w:val="4"/>
        </w:numPr>
        <w:ind w:left="0" w:firstLine="720"/>
      </w:pPr>
      <w:r>
        <w:t xml:space="preserve">In footnote 57, </w:t>
      </w:r>
      <w:r w:rsidR="00C44771">
        <w:t>re</w:t>
      </w:r>
      <w:r w:rsidR="00C7654D">
        <w:t>pla</w:t>
      </w:r>
      <w:r w:rsidR="00C44771">
        <w:t>c</w:t>
      </w:r>
      <w:r w:rsidR="00C7654D">
        <w:t>e the space with a dash in</w:t>
      </w:r>
      <w:r>
        <w:t xml:space="preserve"> “</w:t>
      </w:r>
      <w:r w:rsidR="00C7654D">
        <w:t>…</w:t>
      </w:r>
      <w:r>
        <w:rPr>
          <w:i/>
        </w:rPr>
        <w:t xml:space="preserve"> Aid Compatible</w:t>
      </w:r>
      <w:r>
        <w:t>.”</w:t>
      </w:r>
    </w:p>
    <w:p w:rsidR="00355D7B" w:rsidRDefault="00042D73" w:rsidP="00A64C85">
      <w:pPr>
        <w:pStyle w:val="ParaNum"/>
        <w:numPr>
          <w:ilvl w:val="0"/>
          <w:numId w:val="4"/>
        </w:numPr>
        <w:ind w:left="0" w:firstLine="720"/>
      </w:pPr>
      <w:r>
        <w:t xml:space="preserve">In paragraph 23, </w:t>
      </w:r>
      <w:r w:rsidR="00C44771">
        <w:t xml:space="preserve">in the </w:t>
      </w:r>
      <w:r>
        <w:t>first sentence</w:t>
      </w:r>
      <w:r w:rsidR="00355D7B">
        <w:t xml:space="preserve">, </w:t>
      </w:r>
      <w:r w:rsidR="00C7654D">
        <w:t>add an</w:t>
      </w:r>
      <w:r w:rsidR="00355D7B">
        <w:t xml:space="preserve"> “s” </w:t>
      </w:r>
      <w:r w:rsidR="00C7654D">
        <w:t>to</w:t>
      </w:r>
      <w:r w:rsidR="00355D7B">
        <w:t xml:space="preserve"> “handset”</w:t>
      </w:r>
      <w:r w:rsidR="000F34C9">
        <w:t xml:space="preserve"> and</w:t>
      </w:r>
      <w:r w:rsidR="00C7654D">
        <w:t>;</w:t>
      </w:r>
      <w:r w:rsidR="00355D7B">
        <w:t xml:space="preserve"> </w:t>
      </w:r>
      <w:r w:rsidR="000F34C9">
        <w:t xml:space="preserve">in the </w:t>
      </w:r>
      <w:r>
        <w:t xml:space="preserve">second </w:t>
      </w:r>
      <w:r w:rsidR="00355D7B">
        <w:t xml:space="preserve">sentence, </w:t>
      </w:r>
      <w:r w:rsidR="00C7654D">
        <w:t>add an</w:t>
      </w:r>
      <w:r w:rsidR="00355D7B">
        <w:t xml:space="preserve"> “s” </w:t>
      </w:r>
      <w:r w:rsidR="00C7654D">
        <w:t>to the end of</w:t>
      </w:r>
      <w:r w:rsidR="00355D7B">
        <w:t xml:space="preserve"> “public mobile service” and “private radio service</w:t>
      </w:r>
      <w:r w:rsidR="00DD7A90">
        <w:t>.</w:t>
      </w:r>
      <w:r w:rsidR="00355D7B">
        <w:t>”</w:t>
      </w:r>
    </w:p>
    <w:p w:rsidR="00664505" w:rsidRDefault="00355D7B" w:rsidP="00A64C85">
      <w:pPr>
        <w:pStyle w:val="ParaNum"/>
        <w:numPr>
          <w:ilvl w:val="0"/>
          <w:numId w:val="4"/>
        </w:numPr>
        <w:ind w:left="0" w:firstLine="720"/>
      </w:pPr>
      <w:r>
        <w:t xml:space="preserve">In paragraph 27, </w:t>
      </w:r>
      <w:r w:rsidR="0010534A">
        <w:t>delete</w:t>
      </w:r>
      <w:r w:rsidR="00C7654D">
        <w:t xml:space="preserve"> the dash in</w:t>
      </w:r>
      <w:r>
        <w:t xml:space="preserve"> “hearing aid-compatibility</w:t>
      </w:r>
      <w:r w:rsidR="00DD7A90">
        <w:t>.</w:t>
      </w:r>
      <w:r>
        <w:t>”</w:t>
      </w:r>
    </w:p>
    <w:p w:rsidR="000A5702" w:rsidRDefault="000A5702" w:rsidP="00A64C85">
      <w:pPr>
        <w:pStyle w:val="ParaNum"/>
        <w:numPr>
          <w:ilvl w:val="0"/>
          <w:numId w:val="4"/>
        </w:numPr>
        <w:ind w:left="0" w:firstLine="720"/>
      </w:pPr>
      <w:r>
        <w:t>In footnote 74, add a space after “1,</w:t>
      </w:r>
      <w:r w:rsidR="00C2070B">
        <w:t>.</w:t>
      </w:r>
      <w:r>
        <w:t>”</w:t>
      </w:r>
    </w:p>
    <w:p w:rsidR="00355D7B" w:rsidRDefault="00355D7B" w:rsidP="00A64C85">
      <w:pPr>
        <w:pStyle w:val="ParaNum"/>
        <w:numPr>
          <w:ilvl w:val="0"/>
          <w:numId w:val="4"/>
        </w:numPr>
        <w:ind w:left="0" w:firstLine="720"/>
      </w:pPr>
      <w:r>
        <w:lastRenderedPageBreak/>
        <w:t xml:space="preserve">In paragraph 31, </w:t>
      </w:r>
      <w:r w:rsidR="0010534A">
        <w:t>delete</w:t>
      </w:r>
      <w:r w:rsidR="00C7654D">
        <w:t xml:space="preserve"> the dash in </w:t>
      </w:r>
      <w:r>
        <w:t>“hearing aid-compatibility</w:t>
      </w:r>
      <w:r w:rsidR="00DD7A90">
        <w:t>.</w:t>
      </w:r>
      <w:r>
        <w:t>”</w:t>
      </w:r>
    </w:p>
    <w:p w:rsidR="002E33FB" w:rsidRDefault="002E33FB" w:rsidP="00A64C85">
      <w:pPr>
        <w:pStyle w:val="ParaNum"/>
        <w:numPr>
          <w:ilvl w:val="0"/>
          <w:numId w:val="4"/>
        </w:numPr>
        <w:ind w:left="0" w:firstLine="720"/>
      </w:pPr>
      <w:r>
        <w:t xml:space="preserve">In footnote 84, </w:t>
      </w:r>
      <w:r w:rsidR="00C7654D">
        <w:t>replace the space with a dash in</w:t>
      </w:r>
      <w:r>
        <w:t xml:space="preserve"> “</w:t>
      </w:r>
      <w:r w:rsidR="00C7654D">
        <w:t>…</w:t>
      </w:r>
      <w:r>
        <w:t xml:space="preserve"> aid compatible.”</w:t>
      </w:r>
    </w:p>
    <w:p w:rsidR="00C063B1" w:rsidRDefault="00C063B1" w:rsidP="00A64C85">
      <w:pPr>
        <w:pStyle w:val="ParaNum"/>
        <w:numPr>
          <w:ilvl w:val="0"/>
          <w:numId w:val="4"/>
        </w:numPr>
        <w:ind w:left="0" w:firstLine="720"/>
      </w:pPr>
      <w:r>
        <w:t>In paragraph 38, replace “Hearing Access &amp; Innovations” with “Lintz.”</w:t>
      </w:r>
    </w:p>
    <w:p w:rsidR="009E34BB" w:rsidRDefault="009E34BB" w:rsidP="00A64C85">
      <w:pPr>
        <w:pStyle w:val="ParaNum"/>
        <w:numPr>
          <w:ilvl w:val="0"/>
          <w:numId w:val="4"/>
        </w:numPr>
        <w:ind w:left="0" w:firstLine="720"/>
      </w:pPr>
      <w:r>
        <w:t>In footnote</w:t>
      </w:r>
      <w:r w:rsidR="00D62A07">
        <w:t>s</w:t>
      </w:r>
      <w:r>
        <w:t xml:space="preserve"> 115, 116, </w:t>
      </w:r>
      <w:r w:rsidR="00D62A07">
        <w:t xml:space="preserve">and </w:t>
      </w:r>
      <w:r>
        <w:t xml:space="preserve">117, </w:t>
      </w:r>
      <w:r w:rsidR="00D62A07">
        <w:t>correct</w:t>
      </w:r>
      <w:r>
        <w:t xml:space="preserve"> “Motorola 2014 Refresh PN Comments” </w:t>
      </w:r>
      <w:r w:rsidR="00D62A07">
        <w:t>to read as</w:t>
      </w:r>
      <w:r>
        <w:t xml:space="preserve"> “Motorola Solutions 2014 Refresh PN Comments</w:t>
      </w:r>
      <w:r w:rsidR="00DD7A90">
        <w:t>.</w:t>
      </w:r>
      <w:r>
        <w:t>”</w:t>
      </w:r>
    </w:p>
    <w:p w:rsidR="00EF5278" w:rsidRDefault="002E33FB" w:rsidP="00A64C85">
      <w:pPr>
        <w:pStyle w:val="ParaNum"/>
        <w:numPr>
          <w:ilvl w:val="0"/>
          <w:numId w:val="4"/>
        </w:numPr>
        <w:ind w:left="0" w:firstLine="720"/>
      </w:pPr>
      <w:r>
        <w:t>In footnote</w:t>
      </w:r>
      <w:r w:rsidR="00D62A07">
        <w:t>s</w:t>
      </w:r>
      <w:r>
        <w:t xml:space="preserve"> 118</w:t>
      </w:r>
      <w:r w:rsidR="00D62A07">
        <w:t xml:space="preserve"> and </w:t>
      </w:r>
      <w:r w:rsidR="00EF5278">
        <w:t xml:space="preserve">133, </w:t>
      </w:r>
      <w:r w:rsidR="00FB087F">
        <w:t xml:space="preserve">replace the space with a dash in </w:t>
      </w:r>
      <w:r w:rsidR="00EF5278">
        <w:t>“</w:t>
      </w:r>
      <w:r w:rsidR="00FB087F">
        <w:t>…</w:t>
      </w:r>
      <w:r w:rsidR="00EF5278">
        <w:t xml:space="preserve"> aid compatible.”</w:t>
      </w:r>
    </w:p>
    <w:p w:rsidR="00BC4020" w:rsidRDefault="00BC4020" w:rsidP="00A64C85">
      <w:pPr>
        <w:pStyle w:val="ParaNum"/>
        <w:numPr>
          <w:ilvl w:val="0"/>
          <w:numId w:val="4"/>
        </w:numPr>
        <w:ind w:left="0" w:firstLine="720"/>
      </w:pPr>
      <w:r>
        <w:t xml:space="preserve">In footnote 140, </w:t>
      </w:r>
      <w:r w:rsidR="0010534A">
        <w:t xml:space="preserve">delete </w:t>
      </w:r>
      <w:r w:rsidR="00C44771">
        <w:t>t</w:t>
      </w:r>
      <w:r w:rsidR="0010534A">
        <w:t>he dash in</w:t>
      </w:r>
      <w:r>
        <w:t xml:space="preserve"> “hearing aid-compatibility.”</w:t>
      </w:r>
    </w:p>
    <w:p w:rsidR="00ED2B76" w:rsidRDefault="00ED2B76" w:rsidP="00A64C85">
      <w:pPr>
        <w:pStyle w:val="ParaNum"/>
        <w:numPr>
          <w:ilvl w:val="0"/>
          <w:numId w:val="4"/>
        </w:numPr>
        <w:ind w:left="0" w:firstLine="720"/>
      </w:pPr>
      <w:r>
        <w:t xml:space="preserve">In paragraph 54, replace </w:t>
      </w:r>
      <w:r w:rsidR="0010534A">
        <w:t xml:space="preserve">the space with a dash in </w:t>
      </w:r>
      <w:r>
        <w:t>“</w:t>
      </w:r>
      <w:r w:rsidR="0010534A">
        <w:t>…</w:t>
      </w:r>
      <w:r>
        <w:t xml:space="preserve"> ai</w:t>
      </w:r>
      <w:r w:rsidR="0056645B">
        <w:t>d compatible</w:t>
      </w:r>
      <w:r w:rsidR="00DD7A90">
        <w:t>.</w:t>
      </w:r>
      <w:r w:rsidR="0056645B">
        <w:t>”</w:t>
      </w:r>
    </w:p>
    <w:p w:rsidR="00782862" w:rsidRDefault="00782862" w:rsidP="00A64C85">
      <w:pPr>
        <w:pStyle w:val="ParaNum"/>
        <w:numPr>
          <w:ilvl w:val="0"/>
          <w:numId w:val="4"/>
        </w:numPr>
        <w:ind w:left="0" w:firstLine="720"/>
      </w:pPr>
      <w:r>
        <w:t xml:space="preserve">In footnote 187, </w:t>
      </w:r>
      <w:r w:rsidR="0010534A">
        <w:t>correct</w:t>
      </w:r>
      <w:r>
        <w:t xml:space="preserve"> “app. A” </w:t>
      </w:r>
      <w:r w:rsidR="0010534A">
        <w:t>to read as</w:t>
      </w:r>
      <w:r>
        <w:t xml:space="preserve"> “App. A.”</w:t>
      </w:r>
    </w:p>
    <w:p w:rsidR="008E1DD4" w:rsidRDefault="008E1DD4" w:rsidP="00A64C85">
      <w:pPr>
        <w:pStyle w:val="ParaNum"/>
        <w:numPr>
          <w:ilvl w:val="0"/>
          <w:numId w:val="4"/>
        </w:numPr>
        <w:ind w:left="0" w:firstLine="720"/>
      </w:pPr>
      <w:r>
        <w:t>In footnote 194, replace “HLAA” with “Consumer Groups and RERC-TA</w:t>
      </w:r>
      <w:r w:rsidR="00DD7A90">
        <w:t>.</w:t>
      </w:r>
      <w:r>
        <w:t>”</w:t>
      </w:r>
    </w:p>
    <w:p w:rsidR="004A0CBB" w:rsidRDefault="004A0CBB" w:rsidP="00A64C85">
      <w:pPr>
        <w:pStyle w:val="ParaNum"/>
        <w:numPr>
          <w:ilvl w:val="0"/>
          <w:numId w:val="4"/>
        </w:numPr>
        <w:ind w:left="0" w:firstLine="720"/>
      </w:pPr>
      <w:r>
        <w:t>In</w:t>
      </w:r>
      <w:r w:rsidR="00BE6A1C">
        <w:t xml:space="preserve"> </w:t>
      </w:r>
      <w:r w:rsidR="00067F0C">
        <w:t>the titles of headings “</w:t>
      </w:r>
      <w:r w:rsidR="00067F0C" w:rsidRPr="00067F0C">
        <w:rPr>
          <w:b/>
        </w:rPr>
        <w:t>3</w:t>
      </w:r>
      <w:r w:rsidR="00067F0C">
        <w:t>” to “</w:t>
      </w:r>
      <w:r w:rsidR="00067F0C" w:rsidRPr="00067F0C">
        <w:rPr>
          <w:b/>
        </w:rPr>
        <w:t>8</w:t>
      </w:r>
      <w:r w:rsidR="00067F0C">
        <w:t xml:space="preserve">,” </w:t>
      </w:r>
      <w:r w:rsidR="00BE6A1C">
        <w:t xml:space="preserve">on pages 37 to 41, </w:t>
      </w:r>
      <w:r>
        <w:t xml:space="preserve">delete </w:t>
      </w:r>
      <w:r w:rsidR="00BE6A1C">
        <w:t xml:space="preserve">the </w:t>
      </w:r>
      <w:r>
        <w:t>period</w:t>
      </w:r>
      <w:r w:rsidR="00BE6A1C">
        <w:t xml:space="preserve"> at the end</w:t>
      </w:r>
      <w:r w:rsidR="00067F0C">
        <w:t>.</w:t>
      </w:r>
    </w:p>
    <w:p w:rsidR="00DC1241" w:rsidRDefault="00DC1241" w:rsidP="00A64C85">
      <w:pPr>
        <w:pStyle w:val="ParaNum"/>
        <w:numPr>
          <w:ilvl w:val="0"/>
          <w:numId w:val="4"/>
        </w:numPr>
        <w:ind w:left="0" w:firstLine="720"/>
      </w:pPr>
      <w:r>
        <w:t xml:space="preserve">In paragraph 89, </w:t>
      </w:r>
      <w:r w:rsidR="00A64C85">
        <w:t xml:space="preserve">replace the space with a dash in “hearing aid compatible,” </w:t>
      </w:r>
      <w:r>
        <w:t xml:space="preserve">in </w:t>
      </w:r>
      <w:r w:rsidR="00BE6A1C">
        <w:t xml:space="preserve">the first, fourth, fifth, and </w:t>
      </w:r>
      <w:r w:rsidR="00A64C85">
        <w:t xml:space="preserve">the </w:t>
      </w:r>
      <w:r w:rsidR="00BE6A1C">
        <w:t xml:space="preserve">eleventh </w:t>
      </w:r>
      <w:r>
        <w:t>sentence</w:t>
      </w:r>
      <w:r w:rsidR="00A64C85">
        <w:t>.</w:t>
      </w:r>
      <w:r>
        <w:t xml:space="preserve"> </w:t>
      </w:r>
    </w:p>
    <w:p w:rsidR="00B46E11" w:rsidRDefault="00B46E11" w:rsidP="00A64C85">
      <w:pPr>
        <w:pStyle w:val="ParaNum"/>
        <w:numPr>
          <w:ilvl w:val="0"/>
          <w:numId w:val="4"/>
        </w:numPr>
        <w:ind w:left="0" w:firstLine="720"/>
      </w:pPr>
      <w:r>
        <w:t>Paragraph 98 is corrected to read as follows:</w:t>
      </w:r>
    </w:p>
    <w:p w:rsidR="002D0B4C" w:rsidRDefault="002D0B4C" w:rsidP="000F34C9">
      <w:pPr>
        <w:pStyle w:val="ParaNum"/>
        <w:numPr>
          <w:ilvl w:val="0"/>
          <w:numId w:val="0"/>
        </w:numPr>
        <w:ind w:firstLine="720"/>
        <w:sectPr w:rsidR="002D0B4C" w:rsidSect="0045763B">
          <w:headerReference w:type="even" r:id="rId8"/>
          <w:headerReference w:type="default" r:id="rId9"/>
          <w:footerReference w:type="even" r:id="rId10"/>
          <w:footerReference w:type="default" r:id="rId11"/>
          <w:headerReference w:type="first" r:id="rId12"/>
          <w:footerReference w:type="first" r:id="rId13"/>
          <w:footnotePr>
            <w:numStart w:val="25"/>
          </w:footnotePr>
          <w:type w:val="continuous"/>
          <w:pgSz w:w="12240" w:h="15840"/>
          <w:pgMar w:top="1440" w:right="1440" w:bottom="720" w:left="1440" w:header="720" w:footer="720" w:gutter="0"/>
          <w:pgNumType w:start="1"/>
          <w:cols w:space="720"/>
          <w:titlePg/>
        </w:sectPr>
      </w:pPr>
    </w:p>
    <w:p w:rsidR="002D0B4C" w:rsidRPr="00DD7A90" w:rsidRDefault="00A64C85" w:rsidP="00A64C85">
      <w:pPr>
        <w:pStyle w:val="ParaNum"/>
        <w:numPr>
          <w:ilvl w:val="0"/>
          <w:numId w:val="0"/>
        </w:numPr>
        <w:ind w:left="720" w:firstLine="720"/>
        <w:rPr>
          <w:szCs w:val="22"/>
        </w:rPr>
        <w:sectPr w:rsidR="002D0B4C" w:rsidRPr="00DD7A90" w:rsidSect="0045763B">
          <w:footnotePr>
            <w:numStart w:val="255"/>
          </w:footnotePr>
          <w:type w:val="continuous"/>
          <w:pgSz w:w="12240" w:h="15840"/>
          <w:pgMar w:top="1440" w:right="1440" w:bottom="720" w:left="1440" w:header="720" w:footer="720" w:gutter="0"/>
          <w:pgNumType w:start="1"/>
          <w:cols w:space="720"/>
          <w:titlePg/>
        </w:sectPr>
      </w:pPr>
      <w:r>
        <w:lastRenderedPageBreak/>
        <w:t>“</w:t>
      </w:r>
      <w:r w:rsidR="00B46E11" w:rsidRPr="00613C84">
        <w:t xml:space="preserve">The Fourth Report and Order does not contain substantive new or modified information collection </w:t>
      </w:r>
      <w:r w:rsidR="00B46E11" w:rsidRPr="00DD7A90">
        <w:rPr>
          <w:szCs w:val="22"/>
        </w:rPr>
        <w:t>requirements subject to the Paperwork Reduction Act of 1995 (PRA), Public Law 104-13.</w:t>
      </w:r>
      <w:r w:rsidR="002D0B4C" w:rsidRPr="00DD7A90">
        <w:rPr>
          <w:szCs w:val="22"/>
        </w:rPr>
        <w:t xml:space="preserve">  In addition, therefore, it does not contain any substantive new or modified information collection burden for small business concerns with fewer than 25 employees, pursuant to the Small Business Paperwork Relief Act of 2002, Public Law 107-198, </w:t>
      </w:r>
      <w:r w:rsidR="002D0B4C" w:rsidRPr="00DD7A90">
        <w:rPr>
          <w:i/>
          <w:szCs w:val="22"/>
        </w:rPr>
        <w:t>see</w:t>
      </w:r>
      <w:r w:rsidR="002D0B4C" w:rsidRPr="00DD7A90">
        <w:rPr>
          <w:szCs w:val="22"/>
        </w:rPr>
        <w:t> 44 U.S.C. § 3506(c)(4).</w:t>
      </w:r>
      <w:r>
        <w:rPr>
          <w:szCs w:val="22"/>
        </w:rPr>
        <w:t>”</w:t>
      </w:r>
    </w:p>
    <w:p w:rsidR="00DC42C6" w:rsidRDefault="00DC42C6" w:rsidP="00A64C85">
      <w:pPr>
        <w:pStyle w:val="ParaNum"/>
        <w:numPr>
          <w:ilvl w:val="0"/>
          <w:numId w:val="4"/>
        </w:numPr>
        <w:ind w:left="0" w:firstLine="720"/>
        <w:rPr>
          <w:szCs w:val="22"/>
        </w:rPr>
      </w:pPr>
      <w:r>
        <w:rPr>
          <w:szCs w:val="22"/>
        </w:rPr>
        <w:lastRenderedPageBreak/>
        <w:t>In paragraph 100, insert “ §” after “44 U.S.C.”</w:t>
      </w:r>
    </w:p>
    <w:p w:rsidR="00117B74" w:rsidRPr="00117B74" w:rsidRDefault="00117B74" w:rsidP="00A64C85">
      <w:pPr>
        <w:pStyle w:val="ParaNum"/>
        <w:numPr>
          <w:ilvl w:val="0"/>
          <w:numId w:val="4"/>
        </w:numPr>
        <w:ind w:left="0" w:firstLine="720"/>
        <w:rPr>
          <w:szCs w:val="22"/>
        </w:rPr>
      </w:pPr>
      <w:r>
        <w:rPr>
          <w:szCs w:val="22"/>
        </w:rPr>
        <w:t xml:space="preserve">In paragraph 103, </w:t>
      </w:r>
      <w:r w:rsidR="00A64C85">
        <w:rPr>
          <w:szCs w:val="22"/>
        </w:rPr>
        <w:t xml:space="preserve">after the first sentence, </w:t>
      </w:r>
      <w:r>
        <w:rPr>
          <w:szCs w:val="22"/>
        </w:rPr>
        <w:t>add the following: “</w:t>
      </w:r>
      <w:r>
        <w:t>All filings related to the Notice of Proposed Rulemaking should refer to WT Docket No. 15-285.”</w:t>
      </w:r>
    </w:p>
    <w:p w:rsidR="00117B74" w:rsidRDefault="00117B74" w:rsidP="00A64C85">
      <w:pPr>
        <w:pStyle w:val="ParaNum"/>
        <w:numPr>
          <w:ilvl w:val="0"/>
          <w:numId w:val="4"/>
        </w:numPr>
        <w:ind w:left="0" w:firstLine="720"/>
        <w:rPr>
          <w:szCs w:val="22"/>
        </w:rPr>
      </w:pPr>
      <w:r>
        <w:t>In paragraph 103, delete “</w:t>
      </w:r>
      <w:r w:rsidRPr="00581E6A">
        <w:t>If more than one docket or rulemaking number appears in the caption of this proceeding, filers must submit two additional copies for each additional docket or rulemaking number.</w:t>
      </w:r>
      <w:r>
        <w:t>”</w:t>
      </w:r>
    </w:p>
    <w:p w:rsidR="00664505" w:rsidRDefault="00664505" w:rsidP="00A64C85">
      <w:pPr>
        <w:pStyle w:val="ParaNum"/>
        <w:numPr>
          <w:ilvl w:val="0"/>
          <w:numId w:val="4"/>
        </w:numPr>
        <w:ind w:left="0" w:firstLine="720"/>
        <w:rPr>
          <w:szCs w:val="22"/>
        </w:rPr>
      </w:pPr>
      <w:r>
        <w:rPr>
          <w:szCs w:val="22"/>
        </w:rPr>
        <w:t>Paragraph 110 is corrected to read as follows:</w:t>
      </w:r>
    </w:p>
    <w:p w:rsidR="00664505" w:rsidRDefault="00A64C85" w:rsidP="00A64C85">
      <w:pPr>
        <w:pStyle w:val="ParaNum"/>
        <w:numPr>
          <w:ilvl w:val="0"/>
          <w:numId w:val="0"/>
        </w:numPr>
        <w:ind w:left="720" w:firstLine="720"/>
      </w:pPr>
      <w:r>
        <w:t>“</w:t>
      </w:r>
      <w:r w:rsidR="00664505">
        <w:t>IT IS FURTHER ORDERED that pursuant to applicable procedures set forth in Sections 1.415 and 1.419 of the Commission</w:t>
      </w:r>
      <w:r w:rsidR="00664505">
        <w:rPr>
          <w:b/>
        </w:rPr>
        <w:t>’</w:t>
      </w:r>
      <w:r w:rsidR="00664505">
        <w:t>s Rules, 47 C.F.R. §§ 1.415, 1.419, interested parties may file comments on this Notice of Proposed Rulemaking</w:t>
      </w:r>
      <w:r w:rsidR="00664505">
        <w:rPr>
          <w:i/>
        </w:rPr>
        <w:t xml:space="preserve"> </w:t>
      </w:r>
      <w:r w:rsidR="00664505">
        <w:t>on or before January 14, 2016, and reply comments on or before January 29, 2016.</w:t>
      </w:r>
      <w:r>
        <w:t>”</w:t>
      </w:r>
    </w:p>
    <w:p w:rsidR="0016448A" w:rsidRPr="00DD7A90" w:rsidRDefault="0016448A" w:rsidP="009A2707">
      <w:pPr>
        <w:pStyle w:val="ParaNum"/>
        <w:numPr>
          <w:ilvl w:val="0"/>
          <w:numId w:val="0"/>
        </w:numPr>
        <w:spacing w:before="240" w:after="240"/>
        <w:rPr>
          <w:szCs w:val="22"/>
        </w:rPr>
      </w:pPr>
      <w:r w:rsidRPr="00067F0C">
        <w:rPr>
          <w:b/>
          <w:szCs w:val="22"/>
        </w:rPr>
        <w:t>A</w:t>
      </w:r>
      <w:r w:rsidR="00DC24C1" w:rsidRPr="00067F0C">
        <w:rPr>
          <w:b/>
          <w:szCs w:val="22"/>
        </w:rPr>
        <w:t>PPENDIX</w:t>
      </w:r>
      <w:r w:rsidRPr="00067F0C">
        <w:rPr>
          <w:b/>
          <w:szCs w:val="22"/>
        </w:rPr>
        <w:t xml:space="preserve"> A</w:t>
      </w:r>
      <w:r w:rsidRPr="00DD7A90">
        <w:rPr>
          <w:szCs w:val="22"/>
        </w:rPr>
        <w:t xml:space="preserve"> </w:t>
      </w:r>
      <w:r w:rsidR="00DC24C1">
        <w:rPr>
          <w:szCs w:val="22"/>
        </w:rPr>
        <w:t>is corrected</w:t>
      </w:r>
      <w:r w:rsidR="009A2707">
        <w:rPr>
          <w:szCs w:val="22"/>
        </w:rPr>
        <w:t xml:space="preserve"> as follows</w:t>
      </w:r>
      <w:r w:rsidRPr="00DD7A90">
        <w:rPr>
          <w:szCs w:val="22"/>
        </w:rPr>
        <w:t>:</w:t>
      </w:r>
    </w:p>
    <w:p w:rsidR="00DC24C1" w:rsidRDefault="00DC24C1" w:rsidP="00A64C85">
      <w:pPr>
        <w:pStyle w:val="ParaNum"/>
        <w:numPr>
          <w:ilvl w:val="0"/>
          <w:numId w:val="4"/>
        </w:numPr>
        <w:ind w:left="0" w:firstLine="720"/>
        <w:rPr>
          <w:szCs w:val="22"/>
        </w:rPr>
      </w:pPr>
      <w:r>
        <w:rPr>
          <w:szCs w:val="22"/>
        </w:rPr>
        <w:t>In the list below</w:t>
      </w:r>
      <w:r w:rsidR="009A2707">
        <w:rPr>
          <w:szCs w:val="22"/>
        </w:rPr>
        <w:t xml:space="preserve"> “</w:t>
      </w:r>
      <w:r w:rsidR="0016448A" w:rsidRPr="00DD7A90">
        <w:rPr>
          <w:i/>
          <w:szCs w:val="22"/>
        </w:rPr>
        <w:t xml:space="preserve">2010 Further NPRM </w:t>
      </w:r>
      <w:r w:rsidR="0016448A" w:rsidRPr="00DD7A90">
        <w:rPr>
          <w:szCs w:val="22"/>
        </w:rPr>
        <w:t>Comments,</w:t>
      </w:r>
      <w:r w:rsidR="009A2707">
        <w:rPr>
          <w:szCs w:val="22"/>
        </w:rPr>
        <w:t>”</w:t>
      </w:r>
      <w:r w:rsidR="0016448A" w:rsidRPr="00DD7A90">
        <w:rPr>
          <w:szCs w:val="22"/>
        </w:rPr>
        <w:t xml:space="preserve"> </w:t>
      </w:r>
      <w:r>
        <w:rPr>
          <w:szCs w:val="22"/>
        </w:rPr>
        <w:t>correct</w:t>
      </w:r>
      <w:r w:rsidR="0016448A" w:rsidRPr="00DD7A90">
        <w:rPr>
          <w:szCs w:val="22"/>
        </w:rPr>
        <w:t xml:space="preserve"> “Hearing Loss Association of America (Consumer Groups)” </w:t>
      </w:r>
      <w:r>
        <w:rPr>
          <w:szCs w:val="22"/>
        </w:rPr>
        <w:t>to read as follows:</w:t>
      </w:r>
    </w:p>
    <w:p w:rsidR="00DA1D01" w:rsidRPr="00DD7A90" w:rsidRDefault="0016448A" w:rsidP="00DC24C1">
      <w:pPr>
        <w:pStyle w:val="ParaNum"/>
        <w:numPr>
          <w:ilvl w:val="0"/>
          <w:numId w:val="0"/>
        </w:numPr>
        <w:ind w:left="720"/>
        <w:rPr>
          <w:szCs w:val="22"/>
        </w:rPr>
      </w:pPr>
      <w:r w:rsidRPr="00DD7A90">
        <w:rPr>
          <w:szCs w:val="22"/>
        </w:rPr>
        <w:t>“Hearing Loss Association of America, Telecommunications for the Deaf and Hard of Hearing, Inc., Association of Late-Deafened Adults, Inc., Deaf &amp; Hard of Hearing Consumer Advocacy Network, National Association of the Deaf, and Alexander Graham Bell Association for the Deaf and Hard of Hearing (Consumer Groups)</w:t>
      </w:r>
      <w:r w:rsidR="00DD7A90" w:rsidRPr="00DD7A90">
        <w:rPr>
          <w:szCs w:val="22"/>
        </w:rPr>
        <w:t>.</w:t>
      </w:r>
      <w:r w:rsidRPr="00DD7A90">
        <w:rPr>
          <w:szCs w:val="22"/>
        </w:rPr>
        <w:t>”</w:t>
      </w:r>
    </w:p>
    <w:p w:rsidR="00DC24C1" w:rsidRDefault="00DC24C1" w:rsidP="00A64C85">
      <w:pPr>
        <w:pStyle w:val="ParaNum"/>
        <w:numPr>
          <w:ilvl w:val="0"/>
          <w:numId w:val="4"/>
        </w:numPr>
        <w:ind w:left="0" w:firstLine="720"/>
        <w:rPr>
          <w:szCs w:val="22"/>
        </w:rPr>
      </w:pPr>
      <w:r>
        <w:rPr>
          <w:szCs w:val="22"/>
        </w:rPr>
        <w:t>In the list below “</w:t>
      </w:r>
      <w:r w:rsidR="0016448A" w:rsidRPr="00DD7A90">
        <w:rPr>
          <w:i/>
          <w:szCs w:val="22"/>
        </w:rPr>
        <w:t xml:space="preserve">2012 Refresh PN </w:t>
      </w:r>
      <w:r w:rsidR="0016448A" w:rsidRPr="00DD7A90">
        <w:rPr>
          <w:szCs w:val="22"/>
        </w:rPr>
        <w:t xml:space="preserve">Comments, </w:t>
      </w:r>
      <w:r>
        <w:rPr>
          <w:szCs w:val="22"/>
        </w:rPr>
        <w:t>correct</w:t>
      </w:r>
      <w:r w:rsidR="0016448A" w:rsidRPr="00DD7A90">
        <w:rPr>
          <w:szCs w:val="22"/>
        </w:rPr>
        <w:t xml:space="preserve"> “Hearing Loss Associa</w:t>
      </w:r>
      <w:r w:rsidR="00DA1D01" w:rsidRPr="00DD7A90">
        <w:rPr>
          <w:szCs w:val="22"/>
        </w:rPr>
        <w:t>tion of America (Consumer Groups</w:t>
      </w:r>
      <w:r w:rsidR="0016448A" w:rsidRPr="00DD7A90">
        <w:rPr>
          <w:szCs w:val="22"/>
        </w:rPr>
        <w:t xml:space="preserve">)” </w:t>
      </w:r>
      <w:r>
        <w:rPr>
          <w:szCs w:val="22"/>
        </w:rPr>
        <w:t>to read as follows:</w:t>
      </w:r>
    </w:p>
    <w:p w:rsidR="00DA1D01" w:rsidRPr="00DD7A90" w:rsidRDefault="00DA1D01" w:rsidP="00DC24C1">
      <w:pPr>
        <w:pStyle w:val="ParaNum"/>
        <w:numPr>
          <w:ilvl w:val="0"/>
          <w:numId w:val="0"/>
        </w:numPr>
        <w:ind w:left="720"/>
        <w:rPr>
          <w:szCs w:val="22"/>
        </w:rPr>
      </w:pPr>
      <w:r w:rsidRPr="00DD7A90">
        <w:rPr>
          <w:szCs w:val="22"/>
        </w:rPr>
        <w:t xml:space="preserve">“Hearing Loss Association of America, Telecommunications for the Deaf and Hard of Hearing, Inc., Association of Late-Deafened Adults, Inc., Deaf &amp; Hard of Hearing Consumer Advocacy </w:t>
      </w:r>
      <w:r w:rsidRPr="00DD7A90">
        <w:rPr>
          <w:szCs w:val="22"/>
        </w:rPr>
        <w:lastRenderedPageBreak/>
        <w:t xml:space="preserve">Network, National Association of the Deaf, Alexander Graham Bell Association for the Deaf and Hard of Hearing, and </w:t>
      </w:r>
      <w:r w:rsidRPr="00DD7A90">
        <w:rPr>
          <w:snapToGrid/>
          <w:kern w:val="0"/>
          <w:szCs w:val="22"/>
        </w:rPr>
        <w:t>the Rehabilitation Engineering Research Center on Telecommunications Access (Consumer Groups and RERC-TA)</w:t>
      </w:r>
      <w:r w:rsidR="00DD7A90">
        <w:rPr>
          <w:snapToGrid/>
          <w:kern w:val="0"/>
          <w:szCs w:val="22"/>
        </w:rPr>
        <w:t>.</w:t>
      </w:r>
      <w:r w:rsidR="008E1DD4" w:rsidRPr="00DD7A90">
        <w:rPr>
          <w:snapToGrid/>
          <w:kern w:val="0"/>
          <w:szCs w:val="22"/>
        </w:rPr>
        <w:t>”</w:t>
      </w:r>
    </w:p>
    <w:p w:rsidR="00DC24C1" w:rsidRPr="00DC24C1" w:rsidRDefault="00DC24C1" w:rsidP="00A64C85">
      <w:pPr>
        <w:pStyle w:val="ParaNum"/>
        <w:numPr>
          <w:ilvl w:val="0"/>
          <w:numId w:val="4"/>
        </w:numPr>
        <w:ind w:left="0" w:firstLine="720"/>
        <w:rPr>
          <w:szCs w:val="22"/>
        </w:rPr>
      </w:pPr>
      <w:r>
        <w:rPr>
          <w:snapToGrid/>
          <w:kern w:val="0"/>
          <w:szCs w:val="22"/>
        </w:rPr>
        <w:t>In the list below</w:t>
      </w:r>
      <w:r w:rsidR="00181FED" w:rsidRPr="00DD7A90">
        <w:rPr>
          <w:snapToGrid/>
          <w:kern w:val="0"/>
          <w:szCs w:val="22"/>
        </w:rPr>
        <w:t xml:space="preserve"> </w:t>
      </w:r>
      <w:r>
        <w:rPr>
          <w:snapToGrid/>
          <w:kern w:val="0"/>
          <w:szCs w:val="22"/>
        </w:rPr>
        <w:t>“</w:t>
      </w:r>
      <w:r w:rsidR="00181FED" w:rsidRPr="00DD7A90">
        <w:rPr>
          <w:i/>
          <w:snapToGrid/>
          <w:kern w:val="0"/>
          <w:szCs w:val="22"/>
        </w:rPr>
        <w:t xml:space="preserve">2014 Refresh PN </w:t>
      </w:r>
      <w:r w:rsidR="00181FED" w:rsidRPr="00DD7A90">
        <w:rPr>
          <w:snapToGrid/>
          <w:kern w:val="0"/>
          <w:szCs w:val="22"/>
        </w:rPr>
        <w:t>Comments,</w:t>
      </w:r>
      <w:r>
        <w:rPr>
          <w:snapToGrid/>
          <w:kern w:val="0"/>
          <w:szCs w:val="22"/>
        </w:rPr>
        <w:t>”</w:t>
      </w:r>
      <w:r w:rsidR="00181FED" w:rsidRPr="00DD7A90">
        <w:rPr>
          <w:snapToGrid/>
          <w:kern w:val="0"/>
          <w:szCs w:val="22"/>
        </w:rPr>
        <w:t xml:space="preserve"> </w:t>
      </w:r>
      <w:r>
        <w:rPr>
          <w:snapToGrid/>
          <w:kern w:val="0"/>
          <w:szCs w:val="22"/>
        </w:rPr>
        <w:t>correct</w:t>
      </w:r>
      <w:r w:rsidR="00181FED" w:rsidRPr="00DD7A90">
        <w:rPr>
          <w:snapToGrid/>
          <w:kern w:val="0"/>
          <w:szCs w:val="22"/>
        </w:rPr>
        <w:t xml:space="preserve"> “Hearing Loss Association of America (Consumer Groups)” </w:t>
      </w:r>
      <w:r>
        <w:rPr>
          <w:snapToGrid/>
          <w:kern w:val="0"/>
          <w:szCs w:val="22"/>
        </w:rPr>
        <w:t>to read as follows:</w:t>
      </w:r>
    </w:p>
    <w:p w:rsidR="008E1DD4" w:rsidRPr="00183939" w:rsidRDefault="00181FED" w:rsidP="00DC24C1">
      <w:pPr>
        <w:pStyle w:val="ParaNum"/>
        <w:numPr>
          <w:ilvl w:val="0"/>
          <w:numId w:val="0"/>
        </w:numPr>
        <w:ind w:left="720"/>
        <w:rPr>
          <w:szCs w:val="22"/>
        </w:rPr>
      </w:pPr>
      <w:r w:rsidRPr="00DD7A90">
        <w:rPr>
          <w:snapToGrid/>
          <w:kern w:val="0"/>
          <w:szCs w:val="22"/>
        </w:rPr>
        <w:t>“</w:t>
      </w:r>
      <w:r w:rsidR="008E1DD4" w:rsidRPr="00DD7A90">
        <w:rPr>
          <w:snapToGrid/>
          <w:kern w:val="0"/>
          <w:szCs w:val="22"/>
        </w:rPr>
        <w:t>Hearing Loss Association of America, the Association of Late-Deafened Adults</w:t>
      </w:r>
      <w:r w:rsidR="00C063B1">
        <w:rPr>
          <w:snapToGrid/>
          <w:kern w:val="0"/>
          <w:szCs w:val="22"/>
        </w:rPr>
        <w:t>, Inc., the Deaf &amp;</w:t>
      </w:r>
      <w:r w:rsidR="008E1DD4" w:rsidRPr="00DD7A90">
        <w:rPr>
          <w:snapToGrid/>
          <w:kern w:val="0"/>
          <w:szCs w:val="22"/>
        </w:rPr>
        <w:t xml:space="preserve"> Hard of Hearing Consumer Advocacy Network, the National Association of the Deaf, and Telecommunications for the Deaf and Hard of Hearing, Inc. (Consumer Groups)</w:t>
      </w:r>
      <w:r w:rsidR="00A57F62">
        <w:rPr>
          <w:snapToGrid/>
          <w:kern w:val="0"/>
          <w:szCs w:val="22"/>
        </w:rPr>
        <w:t>,</w:t>
      </w:r>
      <w:r w:rsidR="008E1DD4" w:rsidRPr="00DD7A90">
        <w:rPr>
          <w:snapToGrid/>
          <w:kern w:val="0"/>
          <w:szCs w:val="22"/>
        </w:rPr>
        <w:t>”</w:t>
      </w:r>
      <w:r w:rsidR="00A57F62">
        <w:rPr>
          <w:snapToGrid/>
          <w:kern w:val="0"/>
          <w:szCs w:val="22"/>
        </w:rPr>
        <w:t xml:space="preserve"> and replace </w:t>
      </w:r>
      <w:r w:rsidR="00A57F62">
        <w:t>“Wireless RERC” with “Georgia Institute of Technology, Center for Advanced Communications Policy and the Rehabilitation Engineering Research Center for Wireless Technologies (Wireless RERC).”</w:t>
      </w:r>
    </w:p>
    <w:p w:rsidR="00183939" w:rsidRPr="00DD7A90" w:rsidRDefault="00DC24C1" w:rsidP="00A64C85">
      <w:pPr>
        <w:pStyle w:val="ParaNum"/>
        <w:numPr>
          <w:ilvl w:val="0"/>
          <w:numId w:val="4"/>
        </w:numPr>
        <w:ind w:left="0" w:firstLine="720"/>
        <w:rPr>
          <w:szCs w:val="22"/>
        </w:rPr>
      </w:pPr>
      <w:r>
        <w:rPr>
          <w:snapToGrid/>
          <w:kern w:val="0"/>
          <w:szCs w:val="22"/>
        </w:rPr>
        <w:t>In the list below</w:t>
      </w:r>
      <w:r w:rsidR="00183939" w:rsidRPr="00DD7A90">
        <w:rPr>
          <w:snapToGrid/>
          <w:kern w:val="0"/>
          <w:szCs w:val="22"/>
        </w:rPr>
        <w:t xml:space="preserve"> </w:t>
      </w:r>
      <w:r>
        <w:rPr>
          <w:snapToGrid/>
          <w:kern w:val="0"/>
          <w:szCs w:val="22"/>
        </w:rPr>
        <w:t>“</w:t>
      </w:r>
      <w:r w:rsidR="00183939" w:rsidRPr="00DD7A90">
        <w:rPr>
          <w:i/>
          <w:snapToGrid/>
          <w:kern w:val="0"/>
          <w:szCs w:val="22"/>
        </w:rPr>
        <w:t xml:space="preserve">2014 Refresh PN </w:t>
      </w:r>
      <w:r w:rsidR="00183939">
        <w:rPr>
          <w:snapToGrid/>
          <w:kern w:val="0"/>
          <w:szCs w:val="22"/>
        </w:rPr>
        <w:t xml:space="preserve">Reply </w:t>
      </w:r>
      <w:r w:rsidR="00183939" w:rsidRPr="00DD7A90">
        <w:rPr>
          <w:snapToGrid/>
          <w:kern w:val="0"/>
          <w:szCs w:val="22"/>
        </w:rPr>
        <w:t>Comments,</w:t>
      </w:r>
      <w:r>
        <w:rPr>
          <w:snapToGrid/>
          <w:kern w:val="0"/>
          <w:szCs w:val="22"/>
        </w:rPr>
        <w:t>”</w:t>
      </w:r>
      <w:r w:rsidR="00183939" w:rsidRPr="00DD7A90">
        <w:rPr>
          <w:snapToGrid/>
          <w:kern w:val="0"/>
          <w:szCs w:val="22"/>
        </w:rPr>
        <w:t xml:space="preserve"> </w:t>
      </w:r>
      <w:r>
        <w:rPr>
          <w:snapToGrid/>
          <w:kern w:val="0"/>
          <w:szCs w:val="22"/>
        </w:rPr>
        <w:t>correct</w:t>
      </w:r>
      <w:r w:rsidR="00183939">
        <w:rPr>
          <w:snapToGrid/>
          <w:kern w:val="0"/>
          <w:szCs w:val="22"/>
        </w:rPr>
        <w:t xml:space="preserve"> “Apple Inc.” </w:t>
      </w:r>
      <w:r>
        <w:rPr>
          <w:snapToGrid/>
          <w:kern w:val="0"/>
          <w:szCs w:val="22"/>
        </w:rPr>
        <w:t>to read as</w:t>
      </w:r>
      <w:r w:rsidR="00183939">
        <w:rPr>
          <w:snapToGrid/>
          <w:kern w:val="0"/>
          <w:szCs w:val="22"/>
        </w:rPr>
        <w:t xml:space="preserve"> “Apple Inc. (Apple).”</w:t>
      </w:r>
    </w:p>
    <w:p w:rsidR="000A4936" w:rsidRPr="00DD7A90" w:rsidRDefault="000A4936" w:rsidP="00DC24C1">
      <w:pPr>
        <w:pStyle w:val="ParaNum"/>
        <w:numPr>
          <w:ilvl w:val="0"/>
          <w:numId w:val="0"/>
        </w:numPr>
        <w:spacing w:before="240" w:after="240"/>
        <w:rPr>
          <w:szCs w:val="22"/>
        </w:rPr>
      </w:pPr>
      <w:r w:rsidRPr="00067F0C">
        <w:rPr>
          <w:b/>
          <w:szCs w:val="22"/>
        </w:rPr>
        <w:t>A</w:t>
      </w:r>
      <w:r w:rsidR="00DC24C1" w:rsidRPr="00067F0C">
        <w:rPr>
          <w:b/>
          <w:szCs w:val="22"/>
        </w:rPr>
        <w:t>PPENDIX</w:t>
      </w:r>
      <w:r w:rsidRPr="00067F0C">
        <w:rPr>
          <w:b/>
          <w:szCs w:val="22"/>
        </w:rPr>
        <w:t xml:space="preserve"> D</w:t>
      </w:r>
      <w:r w:rsidRPr="00DD7A90">
        <w:rPr>
          <w:szCs w:val="22"/>
        </w:rPr>
        <w:t xml:space="preserve"> </w:t>
      </w:r>
      <w:r w:rsidR="00DC24C1">
        <w:rPr>
          <w:szCs w:val="22"/>
        </w:rPr>
        <w:t>is corrected</w:t>
      </w:r>
      <w:r w:rsidRPr="00DD7A90">
        <w:rPr>
          <w:i/>
          <w:szCs w:val="22"/>
        </w:rPr>
        <w:t xml:space="preserve"> </w:t>
      </w:r>
      <w:r w:rsidRPr="00DD7A90">
        <w:rPr>
          <w:szCs w:val="22"/>
        </w:rPr>
        <w:t xml:space="preserve">as </w:t>
      </w:r>
      <w:r w:rsidR="00DC24C1">
        <w:rPr>
          <w:szCs w:val="22"/>
        </w:rPr>
        <w:t>follows</w:t>
      </w:r>
      <w:r w:rsidRPr="00DD7A90">
        <w:rPr>
          <w:szCs w:val="22"/>
        </w:rPr>
        <w:t>:</w:t>
      </w:r>
    </w:p>
    <w:p w:rsidR="00E51024" w:rsidRPr="008F0C0F" w:rsidRDefault="00E51024" w:rsidP="00A64C85">
      <w:pPr>
        <w:pStyle w:val="ParaNum"/>
        <w:numPr>
          <w:ilvl w:val="0"/>
          <w:numId w:val="4"/>
        </w:numPr>
        <w:ind w:left="0" w:firstLine="720"/>
        <w:rPr>
          <w:szCs w:val="22"/>
        </w:rPr>
      </w:pPr>
      <w:r w:rsidRPr="008F0C0F">
        <w:rPr>
          <w:szCs w:val="22"/>
        </w:rPr>
        <w:t>Footnote 2 is corrected to read as follows:</w:t>
      </w:r>
    </w:p>
    <w:p w:rsidR="0069181E" w:rsidRPr="008F0C0F" w:rsidRDefault="00DC24C1" w:rsidP="00DC24C1">
      <w:pPr>
        <w:pStyle w:val="ParaNum"/>
        <w:numPr>
          <w:ilvl w:val="0"/>
          <w:numId w:val="0"/>
        </w:numPr>
        <w:ind w:left="720"/>
        <w:rPr>
          <w:szCs w:val="22"/>
        </w:rPr>
      </w:pPr>
      <w:r>
        <w:rPr>
          <w:szCs w:val="22"/>
        </w:rPr>
        <w:t>“</w:t>
      </w:r>
      <w:r w:rsidR="008F0C0F" w:rsidRPr="008F0C0F">
        <w:rPr>
          <w:i/>
          <w:szCs w:val="22"/>
        </w:rPr>
        <w:t>Amendment of the Comm’n’s Rules Governing Hearing Aid-Compatible Mobile Handsets</w:t>
      </w:r>
      <w:r w:rsidR="008F0C0F" w:rsidRPr="008F0C0F">
        <w:rPr>
          <w:szCs w:val="22"/>
        </w:rPr>
        <w:t>, WT Docket No. 07-250, Policy Statement and Second Report and Order and Further Notice of Proposed Rulemaking, 25 FCC Rcd 11167 (2010) (</w:t>
      </w:r>
      <w:r w:rsidR="008F0C0F" w:rsidRPr="008F0C0F">
        <w:rPr>
          <w:i/>
          <w:szCs w:val="22"/>
        </w:rPr>
        <w:t>2010 Policy Statement</w:t>
      </w:r>
      <w:r w:rsidR="008F0C0F" w:rsidRPr="008F0C0F">
        <w:rPr>
          <w:szCs w:val="22"/>
        </w:rPr>
        <w:t xml:space="preserve">, </w:t>
      </w:r>
      <w:r w:rsidR="008F0C0F" w:rsidRPr="008F0C0F">
        <w:rPr>
          <w:i/>
          <w:szCs w:val="22"/>
        </w:rPr>
        <w:t>Second Report and Order</w:t>
      </w:r>
      <w:r w:rsidR="008F0C0F" w:rsidRPr="008F0C0F">
        <w:rPr>
          <w:szCs w:val="22"/>
        </w:rPr>
        <w:t>,</w:t>
      </w:r>
      <w:r w:rsidR="008F0C0F" w:rsidRPr="008F0C0F">
        <w:rPr>
          <w:i/>
          <w:szCs w:val="22"/>
        </w:rPr>
        <w:t xml:space="preserve"> and Further Notice</w:t>
      </w:r>
      <w:r w:rsidR="008F0C0F" w:rsidRPr="008F0C0F">
        <w:rPr>
          <w:szCs w:val="22"/>
        </w:rPr>
        <w:t>; or referencing particular sections as “</w:t>
      </w:r>
      <w:r w:rsidR="008F0C0F" w:rsidRPr="008F0C0F">
        <w:rPr>
          <w:i/>
          <w:szCs w:val="22"/>
        </w:rPr>
        <w:t>Policy Statement</w:t>
      </w:r>
      <w:r w:rsidR="008F0C0F" w:rsidRPr="008F0C0F">
        <w:rPr>
          <w:szCs w:val="22"/>
        </w:rPr>
        <w:t>,” “</w:t>
      </w:r>
      <w:r w:rsidR="008F0C0F" w:rsidRPr="008F0C0F">
        <w:rPr>
          <w:i/>
          <w:szCs w:val="22"/>
        </w:rPr>
        <w:t>Second Report and Order</w:t>
      </w:r>
      <w:r w:rsidR="008F0C0F" w:rsidRPr="008F0C0F">
        <w:rPr>
          <w:szCs w:val="22"/>
        </w:rPr>
        <w:t>,” or “</w:t>
      </w:r>
      <w:r w:rsidR="008F0C0F" w:rsidRPr="008F0C0F">
        <w:rPr>
          <w:i/>
          <w:szCs w:val="22"/>
        </w:rPr>
        <w:t>Further Notice</w:t>
      </w:r>
      <w:r w:rsidR="008F0C0F" w:rsidRPr="008F0C0F">
        <w:rPr>
          <w:szCs w:val="22"/>
        </w:rPr>
        <w:t>,” as appropriate).</w:t>
      </w:r>
      <w:r>
        <w:rPr>
          <w:szCs w:val="22"/>
        </w:rPr>
        <w:t>”</w:t>
      </w:r>
    </w:p>
    <w:p w:rsidR="005946F5" w:rsidRDefault="00DC24C1" w:rsidP="00A64C85">
      <w:pPr>
        <w:pStyle w:val="ParaNum"/>
        <w:numPr>
          <w:ilvl w:val="0"/>
          <w:numId w:val="4"/>
        </w:numPr>
        <w:ind w:left="0" w:firstLine="720"/>
        <w:rPr>
          <w:szCs w:val="22"/>
        </w:rPr>
      </w:pPr>
      <w:r>
        <w:rPr>
          <w:szCs w:val="22"/>
        </w:rPr>
        <w:t>Heading</w:t>
      </w:r>
      <w:r w:rsidR="005946F5">
        <w:rPr>
          <w:szCs w:val="22"/>
        </w:rPr>
        <w:t xml:space="preserve"> </w:t>
      </w:r>
      <w:r>
        <w:rPr>
          <w:szCs w:val="22"/>
        </w:rPr>
        <w:t>“</w:t>
      </w:r>
      <w:r w:rsidR="005946F5" w:rsidRPr="00DC24C1">
        <w:rPr>
          <w:b/>
          <w:szCs w:val="22"/>
        </w:rPr>
        <w:t>A</w:t>
      </w:r>
      <w:r>
        <w:rPr>
          <w:szCs w:val="22"/>
        </w:rPr>
        <w:t>”</w:t>
      </w:r>
      <w:r w:rsidR="005946F5">
        <w:rPr>
          <w:szCs w:val="22"/>
        </w:rPr>
        <w:t xml:space="preserve"> is corrected to read</w:t>
      </w:r>
      <w:r>
        <w:rPr>
          <w:szCs w:val="22"/>
        </w:rPr>
        <w:t xml:space="preserve"> as follows</w:t>
      </w:r>
      <w:r w:rsidR="005946F5">
        <w:rPr>
          <w:szCs w:val="22"/>
        </w:rPr>
        <w:t>:</w:t>
      </w:r>
    </w:p>
    <w:p w:rsidR="005946F5" w:rsidRPr="00067F0C" w:rsidRDefault="00067F0C" w:rsidP="000F34C9">
      <w:pPr>
        <w:pStyle w:val="ParaNum"/>
        <w:numPr>
          <w:ilvl w:val="0"/>
          <w:numId w:val="0"/>
        </w:numPr>
        <w:ind w:firstLine="720"/>
        <w:rPr>
          <w:szCs w:val="22"/>
        </w:rPr>
      </w:pPr>
      <w:r>
        <w:rPr>
          <w:szCs w:val="22"/>
        </w:rPr>
        <w:t>“</w:t>
      </w:r>
      <w:r w:rsidR="005946F5" w:rsidRPr="00067F0C">
        <w:rPr>
          <w:b/>
          <w:szCs w:val="22"/>
        </w:rPr>
        <w:t>Need for, and Objectives of, the Fourth Report and Order</w:t>
      </w:r>
      <w:r>
        <w:rPr>
          <w:szCs w:val="22"/>
        </w:rPr>
        <w:t>”</w:t>
      </w:r>
    </w:p>
    <w:p w:rsidR="005946F5" w:rsidRPr="005946F5" w:rsidRDefault="00067F0C" w:rsidP="00A64C85">
      <w:pPr>
        <w:pStyle w:val="ParaNum"/>
        <w:numPr>
          <w:ilvl w:val="0"/>
          <w:numId w:val="4"/>
        </w:numPr>
        <w:ind w:left="0" w:firstLine="720"/>
        <w:rPr>
          <w:szCs w:val="22"/>
        </w:rPr>
      </w:pPr>
      <w:r>
        <w:rPr>
          <w:szCs w:val="22"/>
        </w:rPr>
        <w:t>Heading</w:t>
      </w:r>
      <w:r w:rsidR="005946F5" w:rsidRPr="005946F5">
        <w:rPr>
          <w:szCs w:val="22"/>
        </w:rPr>
        <w:t xml:space="preserve"> </w:t>
      </w:r>
      <w:r>
        <w:rPr>
          <w:szCs w:val="22"/>
        </w:rPr>
        <w:t>“</w:t>
      </w:r>
      <w:r w:rsidR="005946F5" w:rsidRPr="00067F0C">
        <w:rPr>
          <w:b/>
          <w:szCs w:val="22"/>
        </w:rPr>
        <w:t>B</w:t>
      </w:r>
      <w:r>
        <w:rPr>
          <w:szCs w:val="22"/>
        </w:rPr>
        <w:t>”</w:t>
      </w:r>
      <w:r w:rsidR="005946F5" w:rsidRPr="005946F5">
        <w:rPr>
          <w:szCs w:val="22"/>
        </w:rPr>
        <w:t xml:space="preserve"> is corrected to read</w:t>
      </w:r>
      <w:r>
        <w:rPr>
          <w:szCs w:val="22"/>
        </w:rPr>
        <w:t xml:space="preserve"> as follows</w:t>
      </w:r>
      <w:r w:rsidR="005946F5" w:rsidRPr="005946F5">
        <w:rPr>
          <w:szCs w:val="22"/>
        </w:rPr>
        <w:t>:</w:t>
      </w:r>
    </w:p>
    <w:p w:rsidR="005946F5" w:rsidRPr="005946F5" w:rsidRDefault="00067F0C" w:rsidP="000F34C9">
      <w:pPr>
        <w:pStyle w:val="ParaNum"/>
        <w:numPr>
          <w:ilvl w:val="0"/>
          <w:numId w:val="0"/>
        </w:numPr>
        <w:ind w:firstLine="720"/>
        <w:rPr>
          <w:szCs w:val="22"/>
        </w:rPr>
      </w:pPr>
      <w:r>
        <w:rPr>
          <w:szCs w:val="22"/>
        </w:rPr>
        <w:t>“</w:t>
      </w:r>
      <w:r w:rsidR="005946F5" w:rsidRPr="00067F0C">
        <w:rPr>
          <w:b/>
          <w:szCs w:val="22"/>
        </w:rPr>
        <w:t>Summary of Significant Issues Raised by Public Comments in Response to the IRFA</w:t>
      </w:r>
      <w:r>
        <w:rPr>
          <w:szCs w:val="22"/>
        </w:rPr>
        <w:t>”</w:t>
      </w:r>
    </w:p>
    <w:p w:rsidR="005946F5" w:rsidRPr="005946F5" w:rsidRDefault="005946F5" w:rsidP="00A64C85">
      <w:pPr>
        <w:pStyle w:val="ParaNum"/>
        <w:numPr>
          <w:ilvl w:val="0"/>
          <w:numId w:val="4"/>
        </w:numPr>
        <w:ind w:left="0" w:firstLine="720"/>
        <w:rPr>
          <w:szCs w:val="22"/>
        </w:rPr>
      </w:pPr>
      <w:r w:rsidRPr="005946F5">
        <w:rPr>
          <w:szCs w:val="22"/>
        </w:rPr>
        <w:t>Paragraph 3 is corrected to read</w:t>
      </w:r>
      <w:r w:rsidR="00067F0C">
        <w:rPr>
          <w:szCs w:val="22"/>
        </w:rPr>
        <w:t xml:space="preserve"> as follows</w:t>
      </w:r>
      <w:r w:rsidRPr="005946F5">
        <w:rPr>
          <w:szCs w:val="22"/>
        </w:rPr>
        <w:t>:</w:t>
      </w:r>
    </w:p>
    <w:p w:rsidR="005946F5" w:rsidRPr="005946F5" w:rsidRDefault="00067F0C" w:rsidP="00067F0C">
      <w:pPr>
        <w:pStyle w:val="ParaNum"/>
        <w:numPr>
          <w:ilvl w:val="0"/>
          <w:numId w:val="0"/>
        </w:numPr>
        <w:ind w:left="720" w:firstLine="720"/>
        <w:rPr>
          <w:szCs w:val="22"/>
        </w:rPr>
      </w:pPr>
      <w:r>
        <w:rPr>
          <w:szCs w:val="22"/>
        </w:rPr>
        <w:t>“</w:t>
      </w:r>
      <w:r w:rsidR="005946F5" w:rsidRPr="005946F5">
        <w:rPr>
          <w:szCs w:val="22"/>
        </w:rPr>
        <w:t>There were no comments filed that specifically addressed the rules and policies proposed in the IRFA.</w:t>
      </w:r>
      <w:r>
        <w:rPr>
          <w:szCs w:val="22"/>
        </w:rPr>
        <w:t>”</w:t>
      </w:r>
    </w:p>
    <w:p w:rsidR="00E51024" w:rsidRPr="008F0C0F" w:rsidRDefault="000463D1" w:rsidP="00A64C85">
      <w:pPr>
        <w:pStyle w:val="ParaNum"/>
        <w:numPr>
          <w:ilvl w:val="0"/>
          <w:numId w:val="4"/>
        </w:numPr>
        <w:ind w:left="0" w:firstLine="720"/>
        <w:rPr>
          <w:szCs w:val="22"/>
        </w:rPr>
      </w:pPr>
      <w:r w:rsidRPr="008F0C0F">
        <w:rPr>
          <w:szCs w:val="22"/>
        </w:rPr>
        <w:t xml:space="preserve">In paragraph </w:t>
      </w:r>
      <w:r w:rsidR="002E0DDD" w:rsidRPr="008F0C0F">
        <w:rPr>
          <w:szCs w:val="22"/>
        </w:rPr>
        <w:t>4</w:t>
      </w:r>
      <w:r w:rsidR="008E1DD4" w:rsidRPr="008F0C0F">
        <w:rPr>
          <w:szCs w:val="22"/>
        </w:rPr>
        <w:t>, delete the last sentence</w:t>
      </w:r>
      <w:r w:rsidR="00DD7A90" w:rsidRPr="008F0C0F">
        <w:rPr>
          <w:szCs w:val="22"/>
        </w:rPr>
        <w:t>.</w:t>
      </w:r>
    </w:p>
    <w:p w:rsidR="0069181E" w:rsidRDefault="0069181E" w:rsidP="00A64C85">
      <w:pPr>
        <w:pStyle w:val="ParaNum"/>
        <w:numPr>
          <w:ilvl w:val="0"/>
          <w:numId w:val="4"/>
        </w:numPr>
        <w:ind w:left="0" w:firstLine="720"/>
        <w:rPr>
          <w:szCs w:val="22"/>
        </w:rPr>
      </w:pPr>
      <w:r>
        <w:rPr>
          <w:szCs w:val="22"/>
        </w:rPr>
        <w:t>Footnote 13 is corrected to read as follows:</w:t>
      </w:r>
    </w:p>
    <w:p w:rsidR="0069181E" w:rsidRPr="00DD7A90" w:rsidRDefault="00067F0C" w:rsidP="00067F0C">
      <w:pPr>
        <w:pStyle w:val="ParaNum"/>
        <w:numPr>
          <w:ilvl w:val="0"/>
          <w:numId w:val="0"/>
        </w:numPr>
        <w:ind w:left="720"/>
        <w:rPr>
          <w:szCs w:val="22"/>
        </w:rPr>
      </w:pPr>
      <w:r>
        <w:rPr>
          <w:szCs w:val="22"/>
        </w:rPr>
        <w:t>“</w:t>
      </w:r>
      <w:r w:rsidR="0069181E">
        <w:rPr>
          <w:szCs w:val="22"/>
        </w:rPr>
        <w:t>U.S. CENSUS BUREAU, STATISTICAL ABSTRACT OF THE UNITED STATES: 2011, Table 427 (2007).</w:t>
      </w:r>
      <w:r>
        <w:rPr>
          <w:szCs w:val="22"/>
        </w:rPr>
        <w:t>”</w:t>
      </w:r>
    </w:p>
    <w:p w:rsidR="0069181E" w:rsidRPr="000846D1" w:rsidRDefault="00EB082B" w:rsidP="000846D1">
      <w:pPr>
        <w:pStyle w:val="ParaNum"/>
        <w:numPr>
          <w:ilvl w:val="0"/>
          <w:numId w:val="4"/>
        </w:numPr>
        <w:ind w:left="0" w:firstLine="720"/>
        <w:rPr>
          <w:szCs w:val="22"/>
        </w:rPr>
      </w:pPr>
      <w:r w:rsidRPr="00EB082B">
        <w:rPr>
          <w:szCs w:val="22"/>
        </w:rPr>
        <w:t>In f</w:t>
      </w:r>
      <w:r w:rsidR="0069181E" w:rsidRPr="00EB082B">
        <w:rPr>
          <w:szCs w:val="22"/>
        </w:rPr>
        <w:t>ootnote 14</w:t>
      </w:r>
      <w:r w:rsidRPr="00EB082B">
        <w:rPr>
          <w:szCs w:val="22"/>
        </w:rPr>
        <w:t xml:space="preserve">, </w:t>
      </w:r>
      <w:r w:rsidR="000846D1">
        <w:rPr>
          <w:szCs w:val="22"/>
        </w:rPr>
        <w:t>replace</w:t>
      </w:r>
      <w:r w:rsidRPr="00EB082B">
        <w:rPr>
          <w:szCs w:val="22"/>
        </w:rPr>
        <w:t xml:space="preserve"> “</w:t>
      </w:r>
      <w:r w:rsidRPr="00CD402A">
        <w:t>2011, Tables 427, 426 (Data cited therein are from 2007)</w:t>
      </w:r>
      <w:r>
        <w:t xml:space="preserve">” </w:t>
      </w:r>
      <w:r w:rsidR="000846D1">
        <w:t>with</w:t>
      </w:r>
      <w:r w:rsidR="00067F0C">
        <w:t xml:space="preserve"> </w:t>
      </w:r>
      <w:r>
        <w:t>“</w:t>
      </w:r>
      <w:r w:rsidR="0069181E" w:rsidRPr="000846D1">
        <w:rPr>
          <w:szCs w:val="22"/>
        </w:rPr>
        <w:t>: 2011, Table 426, 427 (2007).</w:t>
      </w:r>
      <w:r w:rsidRPr="000846D1">
        <w:rPr>
          <w:szCs w:val="22"/>
        </w:rPr>
        <w:t>”</w:t>
      </w:r>
    </w:p>
    <w:p w:rsidR="0069181E" w:rsidRDefault="0069181E" w:rsidP="00A64C85">
      <w:pPr>
        <w:pStyle w:val="ParaNum"/>
        <w:numPr>
          <w:ilvl w:val="0"/>
          <w:numId w:val="4"/>
        </w:numPr>
        <w:ind w:left="0" w:firstLine="720"/>
        <w:rPr>
          <w:szCs w:val="22"/>
        </w:rPr>
      </w:pPr>
      <w:r>
        <w:rPr>
          <w:szCs w:val="22"/>
        </w:rPr>
        <w:t>Footnote 16 is corrected to read as follows:</w:t>
      </w:r>
    </w:p>
    <w:p w:rsidR="0069181E" w:rsidRPr="0069181E" w:rsidRDefault="00067F0C" w:rsidP="00067F0C">
      <w:pPr>
        <w:pStyle w:val="ParaNum"/>
        <w:numPr>
          <w:ilvl w:val="0"/>
          <w:numId w:val="0"/>
        </w:numPr>
        <w:ind w:left="720"/>
      </w:pPr>
      <w:r>
        <w:rPr>
          <w:szCs w:val="22"/>
        </w:rPr>
        <w:t>“</w:t>
      </w:r>
      <w:r w:rsidR="0069181E">
        <w:rPr>
          <w:szCs w:val="22"/>
        </w:rPr>
        <w:t>13 C.F.R. § 121.201, NAICS code 334220.</w:t>
      </w:r>
      <w:r>
        <w:rPr>
          <w:szCs w:val="22"/>
        </w:rPr>
        <w:t>”</w:t>
      </w:r>
      <w:r w:rsidR="0069181E">
        <w:rPr>
          <w:szCs w:val="22"/>
        </w:rPr>
        <w:t xml:space="preserve"> </w:t>
      </w:r>
    </w:p>
    <w:p w:rsidR="0069181E" w:rsidRDefault="0069181E" w:rsidP="00A64C85">
      <w:pPr>
        <w:pStyle w:val="ParaNum"/>
        <w:numPr>
          <w:ilvl w:val="0"/>
          <w:numId w:val="4"/>
        </w:numPr>
        <w:ind w:left="0" w:firstLine="720"/>
        <w:rPr>
          <w:szCs w:val="22"/>
        </w:rPr>
      </w:pPr>
      <w:r>
        <w:rPr>
          <w:szCs w:val="22"/>
        </w:rPr>
        <w:t>Footnote</w:t>
      </w:r>
      <w:r w:rsidR="00067F0C">
        <w:rPr>
          <w:szCs w:val="22"/>
        </w:rPr>
        <w:t>s</w:t>
      </w:r>
      <w:r>
        <w:rPr>
          <w:szCs w:val="22"/>
        </w:rPr>
        <w:t xml:space="preserve"> 19 </w:t>
      </w:r>
      <w:r w:rsidR="00067F0C">
        <w:rPr>
          <w:szCs w:val="22"/>
        </w:rPr>
        <w:t>and 20 are</w:t>
      </w:r>
      <w:r>
        <w:rPr>
          <w:szCs w:val="22"/>
        </w:rPr>
        <w:t xml:space="preserve"> corrected to read as follows:</w:t>
      </w:r>
    </w:p>
    <w:p w:rsidR="0069181E" w:rsidRDefault="00067F0C" w:rsidP="008777A1">
      <w:pPr>
        <w:pStyle w:val="ParaNum"/>
        <w:numPr>
          <w:ilvl w:val="0"/>
          <w:numId w:val="0"/>
        </w:numPr>
        <w:ind w:left="720" w:hanging="90"/>
        <w:rPr>
          <w:szCs w:val="22"/>
        </w:rPr>
      </w:pPr>
      <w:r>
        <w:rPr>
          <w:szCs w:val="22"/>
        </w:rPr>
        <w:t>“</w:t>
      </w:r>
      <w:r w:rsidR="0069181E">
        <w:rPr>
          <w:szCs w:val="22"/>
        </w:rPr>
        <w:t>13 C.F.R. § 121.201, NAICS code 334220.</w:t>
      </w:r>
      <w:r>
        <w:rPr>
          <w:szCs w:val="22"/>
        </w:rPr>
        <w:t>”</w:t>
      </w:r>
    </w:p>
    <w:p w:rsidR="0069181E" w:rsidRDefault="0069181E" w:rsidP="00067F0C">
      <w:pPr>
        <w:pStyle w:val="ParaNum"/>
        <w:numPr>
          <w:ilvl w:val="0"/>
          <w:numId w:val="0"/>
        </w:numPr>
        <w:ind w:left="720"/>
        <w:rPr>
          <w:szCs w:val="22"/>
        </w:rPr>
      </w:pPr>
      <w:r w:rsidRPr="00544B06">
        <w:t>U.S. Census Bureau,</w:t>
      </w:r>
      <w:r w:rsidRPr="00544B06">
        <w:rPr>
          <w:i/>
        </w:rPr>
        <w:t xml:space="preserve"> </w:t>
      </w:r>
      <w:r w:rsidRPr="0069181E">
        <w:t xml:space="preserve">2012 NAICS Definitions: </w:t>
      </w:r>
      <w:r w:rsidRPr="0069181E">
        <w:rPr>
          <w:bCs/>
        </w:rPr>
        <w:t>517210 Wireless Telecommunications Carriers (except Satellite),</w:t>
      </w:r>
      <w:r w:rsidRPr="00544B06">
        <w:t xml:space="preserve"> </w:t>
      </w:r>
      <w:hyperlink r:id="rId14" w:history="1">
        <w:r w:rsidRPr="00544B06">
          <w:rPr>
            <w:rStyle w:val="Hyperlink"/>
          </w:rPr>
          <w:t>http://www.census.gov/cgi-bin/sssd/naics/naicsrch?code=517210&amp;search=2012</w:t>
        </w:r>
      </w:hyperlink>
      <w:r w:rsidRPr="00544B06">
        <w:t>.</w:t>
      </w:r>
      <w:r w:rsidR="00067F0C">
        <w:t>”</w:t>
      </w:r>
    </w:p>
    <w:p w:rsidR="00DB6A2E" w:rsidRDefault="00DB6A2E" w:rsidP="00A64C85">
      <w:pPr>
        <w:pStyle w:val="ParaNum"/>
        <w:numPr>
          <w:ilvl w:val="0"/>
          <w:numId w:val="4"/>
        </w:numPr>
        <w:ind w:left="0" w:firstLine="720"/>
        <w:rPr>
          <w:szCs w:val="22"/>
        </w:rPr>
      </w:pPr>
      <w:r>
        <w:rPr>
          <w:szCs w:val="22"/>
        </w:rPr>
        <w:t>Footnote 21 is corrected to read as follows:</w:t>
      </w:r>
    </w:p>
    <w:p w:rsidR="00DB6A2E" w:rsidRDefault="000846D1" w:rsidP="000F34C9">
      <w:pPr>
        <w:pStyle w:val="ParaNum"/>
        <w:numPr>
          <w:ilvl w:val="0"/>
          <w:numId w:val="0"/>
        </w:numPr>
        <w:ind w:firstLine="720"/>
        <w:rPr>
          <w:szCs w:val="22"/>
        </w:rPr>
      </w:pPr>
      <w:r>
        <w:rPr>
          <w:szCs w:val="22"/>
        </w:rPr>
        <w:t>“</w:t>
      </w:r>
      <w:r w:rsidR="00DB6A2E">
        <w:rPr>
          <w:szCs w:val="22"/>
        </w:rPr>
        <w:t>13 C.F.R. § 121.20, NAICS code 517210.</w:t>
      </w:r>
      <w:r>
        <w:rPr>
          <w:szCs w:val="22"/>
        </w:rPr>
        <w:t>”</w:t>
      </w:r>
    </w:p>
    <w:p w:rsidR="000A4936" w:rsidRPr="00DD7A90" w:rsidRDefault="000A4936" w:rsidP="00A64C85">
      <w:pPr>
        <w:pStyle w:val="ParaNum"/>
        <w:numPr>
          <w:ilvl w:val="0"/>
          <w:numId w:val="4"/>
        </w:numPr>
        <w:ind w:left="0" w:firstLine="720"/>
        <w:rPr>
          <w:szCs w:val="22"/>
        </w:rPr>
      </w:pPr>
      <w:r w:rsidRPr="00DD7A90">
        <w:rPr>
          <w:szCs w:val="22"/>
        </w:rPr>
        <w:t>Paragraph 9 is corrected to read as follows:</w:t>
      </w:r>
    </w:p>
    <w:p w:rsidR="0045763B" w:rsidRDefault="000A4936" w:rsidP="000F34C9">
      <w:pPr>
        <w:pStyle w:val="ParaNum"/>
        <w:numPr>
          <w:ilvl w:val="0"/>
          <w:numId w:val="0"/>
        </w:numPr>
        <w:ind w:firstLine="720"/>
        <w:rPr>
          <w:szCs w:val="22"/>
        </w:rPr>
      </w:pPr>
      <w:r w:rsidRPr="00DD7A90">
        <w:rPr>
          <w:i/>
          <w:szCs w:val="22"/>
        </w:rPr>
        <w:t>Internet Service Providers</w:t>
      </w:r>
      <w:r w:rsidRPr="00DD7A90">
        <w:rPr>
          <w:szCs w:val="22"/>
        </w:rPr>
        <w:t>.  The 2007 Economic Census places these firms, wh</w:t>
      </w:r>
      <w:r w:rsidR="00AA2D6B" w:rsidRPr="00DD7A90">
        <w:rPr>
          <w:szCs w:val="22"/>
        </w:rPr>
        <w:t>ose services might include V</w:t>
      </w:r>
      <w:r w:rsidRPr="00DD7A90">
        <w:rPr>
          <w:szCs w:val="22"/>
        </w:rPr>
        <w:t xml:space="preserve">oice over Internet Protocol (VoIP), in one of three categories. </w:t>
      </w:r>
      <w:r w:rsidR="00AA2D6B" w:rsidRPr="00DD7A90">
        <w:rPr>
          <w:szCs w:val="22"/>
        </w:rPr>
        <w:t xml:space="preserve"> </w:t>
      </w:r>
      <w:r w:rsidRPr="00DD7A90">
        <w:rPr>
          <w:szCs w:val="22"/>
        </w:rPr>
        <w:t>The first refers to whether the service is provided over the provider’s own telecommunications facilities (</w:t>
      </w:r>
      <w:r w:rsidRPr="00DD7A90">
        <w:rPr>
          <w:i/>
          <w:szCs w:val="22"/>
        </w:rPr>
        <w:t>e.g.</w:t>
      </w:r>
      <w:r w:rsidRPr="00DD7A90">
        <w:rPr>
          <w:szCs w:val="22"/>
        </w:rPr>
        <w:t>, cable and DSL ISPs), or over client-supplied telecommunications connections (</w:t>
      </w:r>
      <w:r w:rsidRPr="00DD7A90">
        <w:rPr>
          <w:i/>
          <w:szCs w:val="22"/>
        </w:rPr>
        <w:t>e.g.</w:t>
      </w:r>
      <w:r w:rsidRPr="00DD7A90">
        <w:rPr>
          <w:szCs w:val="22"/>
        </w:rPr>
        <w:t xml:space="preserve">, dial-up ISPs).  This type of ISP is classified by the Commission in the category of Wired Telecommunications Carriers. </w:t>
      </w:r>
      <w:r w:rsidR="00AA2D6B" w:rsidRPr="00DD7A90">
        <w:rPr>
          <w:szCs w:val="22"/>
        </w:rPr>
        <w:t xml:space="preserve"> </w:t>
      </w:r>
      <w:r w:rsidRPr="00DD7A90">
        <w:rPr>
          <w:szCs w:val="22"/>
        </w:rPr>
        <w:t xml:space="preserve">Wired Telecommunications Carriers comprise establishments primarily engaged in operating or providing access to transmission facilities or infrastructure that they own and/or lease for the transmission of voice, data, sound, and video using wired telecommunications networks.  Transmission facilities may be based on a single technology or on a combination of technologies.  Establishments in this industry use the wired telecommunications network facilities to provide a variety of services, such as wired telephony services, including VoIP services, wired cable audio and video programming distribution, and wired broadband Internet services.  By exception, establishments providing satellite distribution services using facilities and infrastructure that they operate are included in this industry.  Wired Telecommunications Carriers have an SBA small business size standard under which an establishment having 1,500 or fewer employees is small.  The second type of ISP is classified in the category of Wireless Telecommunications Carriers (except satellite).  This industry comprises establishments engaged in operating and maintaining switching and transmission facilities to provide communications via the airwaves. </w:t>
      </w:r>
      <w:r w:rsidR="00147EE4" w:rsidRPr="00DD7A90">
        <w:rPr>
          <w:szCs w:val="22"/>
        </w:rPr>
        <w:t xml:space="preserve"> </w:t>
      </w:r>
      <w:r w:rsidRPr="00DD7A90">
        <w:rPr>
          <w:szCs w:val="22"/>
        </w:rPr>
        <w:t xml:space="preserve">Establishments in this service have spectrum licenses and provide services using that spectrum, such as cellular phone services, wireless </w:t>
      </w:r>
      <w:r w:rsidR="00147EE4" w:rsidRPr="00DD7A90">
        <w:rPr>
          <w:szCs w:val="22"/>
        </w:rPr>
        <w:t>I</w:t>
      </w:r>
      <w:r w:rsidRPr="00DD7A90">
        <w:rPr>
          <w:szCs w:val="22"/>
        </w:rPr>
        <w:t xml:space="preserve">nternet access, and wireless video services.  The size standard for Wireless Telecommunications Carriers (except satellite) is the same as for Wired Telecommunications Carriers.  The third type of ISP is classified under All Other Telecommunications.  This industry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w:t>
      </w:r>
      <w:r w:rsidR="00AA2D6B" w:rsidRPr="00DD7A90">
        <w:rPr>
          <w:szCs w:val="22"/>
        </w:rPr>
        <w:t xml:space="preserve">providing Internet services or </w:t>
      </w:r>
      <w:r w:rsidRPr="00DD7A90">
        <w:rPr>
          <w:szCs w:val="22"/>
        </w:rPr>
        <w:t>VoIP services via client-supplied telecommunications connections are also included in this industry.  The SBA size standard for this industry states that all establishments in this category whose annual receipts are $32.5 million or less are small.</w:t>
      </w:r>
    </w:p>
    <w:p w:rsidR="000846D1" w:rsidRDefault="000846D1" w:rsidP="00A64C85">
      <w:pPr>
        <w:pStyle w:val="ParaNum"/>
        <w:numPr>
          <w:ilvl w:val="0"/>
          <w:numId w:val="4"/>
        </w:numPr>
        <w:ind w:left="0" w:firstLine="720"/>
        <w:rPr>
          <w:szCs w:val="22"/>
        </w:rPr>
      </w:pPr>
      <w:r>
        <w:rPr>
          <w:szCs w:val="22"/>
        </w:rPr>
        <w:t xml:space="preserve">Footnotes </w:t>
      </w:r>
      <w:r w:rsidR="008777A1">
        <w:rPr>
          <w:szCs w:val="22"/>
        </w:rPr>
        <w:t>26 to 30 are corrected to read as follows:</w:t>
      </w:r>
    </w:p>
    <w:p w:rsidR="008777A1" w:rsidRPr="008777A1" w:rsidRDefault="008777A1" w:rsidP="008777A1">
      <w:pPr>
        <w:pStyle w:val="ParaNum"/>
        <w:numPr>
          <w:ilvl w:val="0"/>
          <w:numId w:val="0"/>
        </w:numPr>
        <w:ind w:left="720" w:hanging="90"/>
        <w:rPr>
          <w:szCs w:val="22"/>
        </w:rPr>
      </w:pPr>
      <w:r w:rsidRPr="008777A1">
        <w:rPr>
          <w:szCs w:val="22"/>
        </w:rPr>
        <w:t>“</w:t>
      </w:r>
      <w:r w:rsidRPr="008777A1">
        <w:rPr>
          <w:szCs w:val="22"/>
          <w:vertAlign w:val="superscript"/>
        </w:rPr>
        <w:t>26</w:t>
      </w:r>
      <w:r w:rsidRPr="008777A1">
        <w:rPr>
          <w:szCs w:val="22"/>
        </w:rPr>
        <w:t xml:space="preserve"> U.S. Census Bureau, 2007 NAICS Definitions: 517110 Wired Telecommunications Carriers, https://www.census.gov/cgi-bin/sssd/naics/naicsrch. </w:t>
      </w:r>
    </w:p>
    <w:p w:rsidR="008777A1" w:rsidRPr="008777A1" w:rsidRDefault="008777A1" w:rsidP="008777A1">
      <w:pPr>
        <w:pStyle w:val="ParaNum"/>
        <w:numPr>
          <w:ilvl w:val="0"/>
          <w:numId w:val="0"/>
        </w:numPr>
        <w:ind w:left="720"/>
        <w:rPr>
          <w:szCs w:val="22"/>
        </w:rPr>
      </w:pPr>
      <w:r w:rsidRPr="008777A1">
        <w:rPr>
          <w:szCs w:val="22"/>
          <w:vertAlign w:val="superscript"/>
        </w:rPr>
        <w:t>27</w:t>
      </w:r>
      <w:r w:rsidRPr="008777A1">
        <w:rPr>
          <w:szCs w:val="22"/>
        </w:rPr>
        <w:t xml:space="preserve"> 13 C.F.R. § 121.201, NAICS code 517110. </w:t>
      </w:r>
    </w:p>
    <w:p w:rsidR="008777A1" w:rsidRPr="008777A1" w:rsidRDefault="008777A1" w:rsidP="008777A1">
      <w:pPr>
        <w:pStyle w:val="ParaNum"/>
        <w:numPr>
          <w:ilvl w:val="0"/>
          <w:numId w:val="0"/>
        </w:numPr>
        <w:ind w:left="720"/>
        <w:rPr>
          <w:szCs w:val="22"/>
        </w:rPr>
      </w:pPr>
      <w:r w:rsidRPr="008777A1">
        <w:rPr>
          <w:szCs w:val="22"/>
          <w:vertAlign w:val="superscript"/>
        </w:rPr>
        <w:t>28</w:t>
      </w:r>
      <w:r w:rsidRPr="008777A1">
        <w:rPr>
          <w:szCs w:val="22"/>
        </w:rPr>
        <w:t xml:space="preserve"> See https://www.census.gov/cgi-bin/sssd/naics/naicsrch?code-517210&amp;search=2007 NAICS Search.</w:t>
      </w:r>
    </w:p>
    <w:p w:rsidR="008777A1" w:rsidRPr="008777A1" w:rsidRDefault="008777A1" w:rsidP="008777A1">
      <w:pPr>
        <w:pStyle w:val="ParaNum"/>
        <w:numPr>
          <w:ilvl w:val="0"/>
          <w:numId w:val="0"/>
        </w:numPr>
        <w:ind w:left="720"/>
        <w:rPr>
          <w:szCs w:val="22"/>
        </w:rPr>
      </w:pPr>
      <w:r w:rsidRPr="008777A1">
        <w:rPr>
          <w:szCs w:val="22"/>
          <w:vertAlign w:val="superscript"/>
        </w:rPr>
        <w:t>29</w:t>
      </w:r>
      <w:r w:rsidRPr="008777A1">
        <w:rPr>
          <w:szCs w:val="22"/>
        </w:rPr>
        <w:t xml:space="preserve"> See https://www.census.gov/cgi-bin/sssd/naics/naicsrch. </w:t>
      </w:r>
    </w:p>
    <w:p w:rsidR="008777A1" w:rsidRPr="008777A1" w:rsidRDefault="008777A1" w:rsidP="008777A1">
      <w:pPr>
        <w:pStyle w:val="ParaNum"/>
        <w:numPr>
          <w:ilvl w:val="0"/>
          <w:numId w:val="0"/>
        </w:numPr>
        <w:ind w:left="720"/>
        <w:rPr>
          <w:szCs w:val="22"/>
        </w:rPr>
      </w:pPr>
      <w:r w:rsidRPr="008777A1">
        <w:rPr>
          <w:szCs w:val="22"/>
          <w:vertAlign w:val="superscript"/>
        </w:rPr>
        <w:t>30</w:t>
      </w:r>
      <w:r w:rsidRPr="008777A1">
        <w:rPr>
          <w:szCs w:val="22"/>
        </w:rPr>
        <w:t xml:space="preserve"> 13 C.F.R. § 121.201, NAICS code 517919.”</w:t>
      </w:r>
    </w:p>
    <w:p w:rsidR="000463D1" w:rsidRPr="00DD7A90" w:rsidRDefault="000463D1" w:rsidP="00A64C85">
      <w:pPr>
        <w:pStyle w:val="ParaNum"/>
        <w:numPr>
          <w:ilvl w:val="0"/>
          <w:numId w:val="4"/>
        </w:numPr>
        <w:ind w:left="0" w:firstLine="720"/>
        <w:rPr>
          <w:szCs w:val="22"/>
        </w:rPr>
      </w:pPr>
      <w:r w:rsidRPr="00DD7A90">
        <w:rPr>
          <w:szCs w:val="22"/>
        </w:rPr>
        <w:t>In paragraph 10, replace “ISPS” with “ISPs</w:t>
      </w:r>
      <w:r w:rsidR="000808DD" w:rsidRPr="00DD7A90">
        <w:rPr>
          <w:szCs w:val="22"/>
        </w:rPr>
        <w:t>,</w:t>
      </w:r>
      <w:r w:rsidRPr="00DD7A90">
        <w:rPr>
          <w:szCs w:val="22"/>
        </w:rPr>
        <w:t>”</w:t>
      </w:r>
      <w:r w:rsidR="000808DD" w:rsidRPr="00DD7A90">
        <w:rPr>
          <w:szCs w:val="22"/>
        </w:rPr>
        <w:t xml:space="preserve"> and add a space after </w:t>
      </w:r>
      <w:r w:rsidR="008E1DD4" w:rsidRPr="00DD7A90">
        <w:rPr>
          <w:szCs w:val="22"/>
        </w:rPr>
        <w:t>the first and second sentence</w:t>
      </w:r>
      <w:r w:rsidR="00DD7A90">
        <w:rPr>
          <w:szCs w:val="22"/>
        </w:rPr>
        <w:t>.</w:t>
      </w:r>
    </w:p>
    <w:p w:rsidR="000808DD" w:rsidRPr="00DD7A90" w:rsidRDefault="000808DD" w:rsidP="00A64C85">
      <w:pPr>
        <w:pStyle w:val="ParaNum"/>
        <w:numPr>
          <w:ilvl w:val="0"/>
          <w:numId w:val="4"/>
        </w:numPr>
        <w:ind w:left="0" w:firstLine="720"/>
        <w:rPr>
          <w:szCs w:val="22"/>
        </w:rPr>
      </w:pPr>
      <w:r w:rsidRPr="00DD7A90">
        <w:rPr>
          <w:szCs w:val="22"/>
        </w:rPr>
        <w:t xml:space="preserve">In paragraph 11, </w:t>
      </w:r>
      <w:r w:rsidR="00DB1245" w:rsidRPr="00DD7A90">
        <w:rPr>
          <w:szCs w:val="22"/>
        </w:rPr>
        <w:t>delete a</w:t>
      </w:r>
      <w:r w:rsidR="008E1DD4" w:rsidRPr="00DD7A90">
        <w:rPr>
          <w:szCs w:val="22"/>
        </w:rPr>
        <w:t xml:space="preserve"> space after the first sentence</w:t>
      </w:r>
      <w:r w:rsidR="00DD7A90">
        <w:rPr>
          <w:szCs w:val="22"/>
        </w:rPr>
        <w:t>.</w:t>
      </w:r>
    </w:p>
    <w:p w:rsidR="000463D1" w:rsidRPr="00DD7A90" w:rsidRDefault="000463D1" w:rsidP="00A64C85">
      <w:pPr>
        <w:pStyle w:val="ParaNum"/>
        <w:numPr>
          <w:ilvl w:val="0"/>
          <w:numId w:val="4"/>
        </w:numPr>
        <w:ind w:left="0" w:firstLine="720"/>
        <w:rPr>
          <w:szCs w:val="22"/>
        </w:rPr>
      </w:pPr>
      <w:r w:rsidRPr="00DD7A90">
        <w:rPr>
          <w:szCs w:val="22"/>
        </w:rPr>
        <w:t>Footnote 31 is corrected to read as follows:</w:t>
      </w:r>
    </w:p>
    <w:p w:rsidR="00DC6A41" w:rsidRPr="00DD7A90" w:rsidRDefault="000846D1" w:rsidP="000846D1">
      <w:pPr>
        <w:pStyle w:val="ParaNum"/>
        <w:numPr>
          <w:ilvl w:val="0"/>
          <w:numId w:val="0"/>
        </w:numPr>
        <w:ind w:left="720"/>
        <w:rPr>
          <w:szCs w:val="22"/>
        </w:rPr>
      </w:pPr>
      <w:r w:rsidRPr="000846D1">
        <w:rPr>
          <w:szCs w:val="22"/>
        </w:rPr>
        <w:t>“</w:t>
      </w:r>
      <w:r w:rsidR="00DC6A41" w:rsidRPr="00DD7A90">
        <w:rPr>
          <w:i/>
          <w:szCs w:val="22"/>
        </w:rPr>
        <w:t xml:space="preserve">See </w:t>
      </w:r>
      <w:hyperlink r:id="rId15" w:history="1">
        <w:r w:rsidR="00DC6A41" w:rsidRPr="00DD7A90">
          <w:rPr>
            <w:rStyle w:val="Hyperlink"/>
            <w:szCs w:val="22"/>
          </w:rPr>
          <w:t>http://factfinder.census.gov/faces/tableservices/jsf/pages/productview.xhtml?pid=ECN_2007_US_51SSSZ4&amp;prodType=table</w:t>
        </w:r>
      </w:hyperlink>
      <w:r>
        <w:rPr>
          <w:szCs w:val="22"/>
        </w:rPr>
        <w:t>.”</w:t>
      </w:r>
    </w:p>
    <w:p w:rsidR="009B513A" w:rsidRDefault="00D65129" w:rsidP="00A64C85">
      <w:pPr>
        <w:pStyle w:val="ParaNum"/>
        <w:numPr>
          <w:ilvl w:val="0"/>
          <w:numId w:val="4"/>
        </w:numPr>
        <w:ind w:left="0" w:firstLine="720"/>
        <w:rPr>
          <w:szCs w:val="22"/>
        </w:rPr>
      </w:pPr>
      <w:r>
        <w:rPr>
          <w:szCs w:val="22"/>
        </w:rPr>
        <w:t>Footnote 3</w:t>
      </w:r>
      <w:r w:rsidR="009B513A">
        <w:rPr>
          <w:szCs w:val="22"/>
        </w:rPr>
        <w:t>2 is corrected to read as follows:</w:t>
      </w:r>
    </w:p>
    <w:p w:rsidR="009B513A" w:rsidRPr="009B513A" w:rsidRDefault="000846D1" w:rsidP="000846D1">
      <w:pPr>
        <w:pStyle w:val="ParaNum"/>
        <w:numPr>
          <w:ilvl w:val="0"/>
          <w:numId w:val="0"/>
        </w:numPr>
        <w:ind w:left="720"/>
        <w:rPr>
          <w:szCs w:val="22"/>
        </w:rPr>
      </w:pPr>
      <w:r>
        <w:rPr>
          <w:color w:val="000000"/>
        </w:rPr>
        <w:t>“</w:t>
      </w:r>
      <w:r w:rsidR="009B513A">
        <w:rPr>
          <w:color w:val="000000"/>
        </w:rPr>
        <w:t xml:space="preserve">U.S. Census Bureau, 2007 NAICS Definitions: </w:t>
      </w:r>
      <w:r w:rsidR="009B513A" w:rsidRPr="009B513A">
        <w:rPr>
          <w:color w:val="000000"/>
        </w:rPr>
        <w:t>519190 All Other Information Services,</w:t>
      </w:r>
      <w:r w:rsidR="009B513A">
        <w:rPr>
          <w:color w:val="000000"/>
        </w:rPr>
        <w:t xml:space="preserve"> </w:t>
      </w:r>
      <w:hyperlink r:id="rId16" w:history="1">
        <w:r w:rsidR="009B513A" w:rsidRPr="00B55E48">
          <w:rPr>
            <w:rStyle w:val="Hyperlink"/>
          </w:rPr>
          <w:t>http://www.census.gov/cgi-bin/sssd/naics/naicsrch?code=519190&amp;search=2007%20NAICS%20Search</w:t>
        </w:r>
      </w:hyperlink>
      <w:r w:rsidR="009B513A" w:rsidRPr="009B513A">
        <w:rPr>
          <w:rStyle w:val="Hyperlink"/>
          <w:color w:val="auto"/>
          <w:u w:val="none"/>
        </w:rPr>
        <w:t>.</w:t>
      </w:r>
      <w:r>
        <w:rPr>
          <w:rStyle w:val="Hyperlink"/>
          <w:color w:val="auto"/>
          <w:u w:val="none"/>
        </w:rPr>
        <w:t>”</w:t>
      </w:r>
    </w:p>
    <w:p w:rsidR="000463D1" w:rsidRPr="00DD7A90" w:rsidRDefault="000463D1" w:rsidP="00A64C85">
      <w:pPr>
        <w:pStyle w:val="ParaNum"/>
        <w:numPr>
          <w:ilvl w:val="0"/>
          <w:numId w:val="4"/>
        </w:numPr>
        <w:ind w:left="0" w:firstLine="720"/>
        <w:rPr>
          <w:szCs w:val="22"/>
        </w:rPr>
      </w:pPr>
      <w:r w:rsidRPr="00DD7A90">
        <w:rPr>
          <w:szCs w:val="22"/>
        </w:rPr>
        <w:t>Footnote 34 is corrected to read as follows:</w:t>
      </w:r>
    </w:p>
    <w:p w:rsidR="00DC6A41" w:rsidRPr="00DD7A90" w:rsidRDefault="008777A1" w:rsidP="008777A1">
      <w:pPr>
        <w:pStyle w:val="ParaNum"/>
        <w:numPr>
          <w:ilvl w:val="0"/>
          <w:numId w:val="0"/>
        </w:numPr>
        <w:ind w:left="720"/>
        <w:rPr>
          <w:szCs w:val="22"/>
        </w:rPr>
      </w:pPr>
      <w:r>
        <w:rPr>
          <w:szCs w:val="22"/>
        </w:rPr>
        <w:t>“</w:t>
      </w:r>
      <w:r w:rsidR="00DC6A41" w:rsidRPr="00DD7A90">
        <w:rPr>
          <w:szCs w:val="22"/>
        </w:rPr>
        <w:t>U.S. Census Bureau, 2007 Economic Census, Information: Subject Series – Establishment and Firm Size: Table 5, “Employment Size of Firms for the United States: 2007, NAICS Code 519190</w:t>
      </w:r>
      <w:r w:rsidR="00A908F1">
        <w:rPr>
          <w:szCs w:val="22"/>
        </w:rPr>
        <w:t>,</w:t>
      </w:r>
      <w:r w:rsidR="00DC6A41" w:rsidRPr="00DD7A90">
        <w:rPr>
          <w:szCs w:val="22"/>
        </w:rPr>
        <w:t xml:space="preserve">” </w:t>
      </w:r>
      <w:hyperlink r:id="rId17" w:history="1">
        <w:r w:rsidR="00DC6A41" w:rsidRPr="00DD7A90">
          <w:rPr>
            <w:rStyle w:val="Hyperlink"/>
            <w:szCs w:val="22"/>
          </w:rPr>
          <w:t>http://factfinder.census.gov/faces/tableservices/jsf/pages/productview.xhtml?pid=ECN_2007_US_51SSSZ4&amp;prodType=table</w:t>
        </w:r>
      </w:hyperlink>
      <w:r w:rsidR="00DC6A41" w:rsidRPr="00DD7A90">
        <w:rPr>
          <w:szCs w:val="22"/>
        </w:rPr>
        <w:t>.</w:t>
      </w:r>
      <w:r>
        <w:rPr>
          <w:szCs w:val="22"/>
        </w:rPr>
        <w:t>”</w:t>
      </w:r>
    </w:p>
    <w:p w:rsidR="003E0BC9" w:rsidRDefault="008777A1" w:rsidP="00A64C85">
      <w:pPr>
        <w:pStyle w:val="ParaNum"/>
        <w:numPr>
          <w:ilvl w:val="0"/>
          <w:numId w:val="4"/>
        </w:numPr>
        <w:ind w:left="0" w:firstLine="720"/>
        <w:rPr>
          <w:szCs w:val="22"/>
        </w:rPr>
      </w:pPr>
      <w:r>
        <w:rPr>
          <w:szCs w:val="22"/>
        </w:rPr>
        <w:t>Heading</w:t>
      </w:r>
      <w:r w:rsidR="001B70C0">
        <w:rPr>
          <w:szCs w:val="22"/>
        </w:rPr>
        <w:t xml:space="preserve"> </w:t>
      </w:r>
      <w:r>
        <w:rPr>
          <w:szCs w:val="22"/>
        </w:rPr>
        <w:t>“</w:t>
      </w:r>
      <w:r w:rsidR="001B70C0" w:rsidRPr="008777A1">
        <w:rPr>
          <w:b/>
          <w:szCs w:val="22"/>
        </w:rPr>
        <w:t>F</w:t>
      </w:r>
      <w:r>
        <w:rPr>
          <w:szCs w:val="22"/>
        </w:rPr>
        <w:t>”</w:t>
      </w:r>
      <w:r w:rsidR="001B70C0">
        <w:rPr>
          <w:szCs w:val="22"/>
        </w:rPr>
        <w:t xml:space="preserve"> </w:t>
      </w:r>
      <w:r>
        <w:rPr>
          <w:szCs w:val="22"/>
        </w:rPr>
        <w:t>is corrected to read as</w:t>
      </w:r>
      <w:r w:rsidR="001B70C0">
        <w:rPr>
          <w:szCs w:val="22"/>
        </w:rPr>
        <w:t xml:space="preserve"> “</w:t>
      </w:r>
      <w:r w:rsidR="001B70C0" w:rsidRPr="008777A1">
        <w:rPr>
          <w:b/>
          <w:szCs w:val="22"/>
        </w:rPr>
        <w:t>Report to Congress</w:t>
      </w:r>
      <w:r w:rsidR="0057022D">
        <w:rPr>
          <w:szCs w:val="22"/>
        </w:rPr>
        <w:t>.</w:t>
      </w:r>
      <w:r w:rsidR="001B70C0">
        <w:rPr>
          <w:szCs w:val="22"/>
        </w:rPr>
        <w:t>”</w:t>
      </w:r>
    </w:p>
    <w:p w:rsidR="001B70C0" w:rsidRDefault="001B70C0" w:rsidP="00A64C85">
      <w:pPr>
        <w:pStyle w:val="ParaNum"/>
        <w:numPr>
          <w:ilvl w:val="0"/>
          <w:numId w:val="4"/>
        </w:numPr>
        <w:ind w:left="0" w:firstLine="720"/>
        <w:rPr>
          <w:szCs w:val="22"/>
        </w:rPr>
      </w:pPr>
      <w:r>
        <w:rPr>
          <w:szCs w:val="22"/>
        </w:rPr>
        <w:t>Paragraph 19 is corrected to read as follows:</w:t>
      </w:r>
    </w:p>
    <w:p w:rsidR="001305E3" w:rsidRDefault="008777A1" w:rsidP="008777A1">
      <w:pPr>
        <w:pStyle w:val="ParaNum"/>
        <w:numPr>
          <w:ilvl w:val="0"/>
          <w:numId w:val="0"/>
        </w:numPr>
        <w:tabs>
          <w:tab w:val="left" w:pos="1440"/>
        </w:tabs>
        <w:ind w:left="720" w:firstLine="720"/>
      </w:pPr>
      <w:r>
        <w:rPr>
          <w:szCs w:val="22"/>
        </w:rPr>
        <w:t>“</w:t>
      </w:r>
      <w:r w:rsidR="001305E3">
        <w:rPr>
          <w:szCs w:val="22"/>
        </w:rPr>
        <w:t>The Commission will send a copy of the Fourth Report and Order, including this FRFA, in a report to be sent to Congress pursuant to the Congressional Review Act.  In addition, the Commission will send a copy of the Fourth Report and Order, including this FRFA, to the Chief Counsel for Advocacy of the SBA.  The Fourth Report and Order and FRFA (or summaries thereof) will also be published in the Federal Register.</w:t>
      </w:r>
      <w:r>
        <w:rPr>
          <w:szCs w:val="22"/>
        </w:rPr>
        <w:t>”</w:t>
      </w:r>
    </w:p>
    <w:p w:rsidR="005E29B1" w:rsidRPr="005E29B1" w:rsidRDefault="005E29B1" w:rsidP="0072575B">
      <w:pPr>
        <w:pStyle w:val="ParaNum"/>
        <w:numPr>
          <w:ilvl w:val="0"/>
          <w:numId w:val="0"/>
        </w:numPr>
        <w:rPr>
          <w:szCs w:val="22"/>
        </w:rPr>
      </w:pPr>
    </w:p>
    <w:p w:rsidR="00B07300" w:rsidRPr="00DD7A90" w:rsidRDefault="00B07300" w:rsidP="005A09E4">
      <w:pPr>
        <w:pStyle w:val="Heading1"/>
        <w:numPr>
          <w:ilvl w:val="0"/>
          <w:numId w:val="0"/>
        </w:numPr>
        <w:spacing w:before="220" w:after="0"/>
        <w:rPr>
          <w:rFonts w:ascii="Times New Roman" w:hAnsi="Times New Roman"/>
          <w:b w:val="0"/>
          <w:caps w:val="0"/>
          <w:spacing w:val="-2"/>
          <w:szCs w:val="22"/>
        </w:rPr>
      </w:pPr>
      <w:r w:rsidRPr="00DD7A90">
        <w:rPr>
          <w:b w:val="0"/>
          <w:caps w:val="0"/>
          <w:spacing w:val="-2"/>
          <w:szCs w:val="22"/>
        </w:rPr>
        <w:tab/>
      </w:r>
      <w:r w:rsidRPr="00DD7A90">
        <w:rPr>
          <w:b w:val="0"/>
          <w:caps w:val="0"/>
          <w:spacing w:val="-2"/>
          <w:szCs w:val="22"/>
        </w:rPr>
        <w:tab/>
      </w:r>
      <w:r w:rsidRPr="00DD7A90">
        <w:rPr>
          <w:b w:val="0"/>
          <w:caps w:val="0"/>
          <w:spacing w:val="-2"/>
          <w:szCs w:val="22"/>
        </w:rPr>
        <w:tab/>
      </w:r>
      <w:r w:rsidRPr="00DD7A90">
        <w:rPr>
          <w:b w:val="0"/>
          <w:caps w:val="0"/>
          <w:spacing w:val="-2"/>
          <w:szCs w:val="22"/>
        </w:rPr>
        <w:tab/>
      </w:r>
      <w:r w:rsidRPr="00DD7A90">
        <w:rPr>
          <w:b w:val="0"/>
          <w:caps w:val="0"/>
          <w:spacing w:val="-2"/>
          <w:szCs w:val="22"/>
        </w:rPr>
        <w:tab/>
      </w:r>
      <w:r w:rsidRPr="00DD7A90">
        <w:rPr>
          <w:b w:val="0"/>
          <w:caps w:val="0"/>
          <w:spacing w:val="-2"/>
          <w:szCs w:val="22"/>
        </w:rPr>
        <w:tab/>
      </w:r>
      <w:r w:rsidRPr="00DD7A90">
        <w:rPr>
          <w:rFonts w:ascii="Times New Roman" w:hAnsi="Times New Roman"/>
          <w:b w:val="0"/>
          <w:caps w:val="0"/>
          <w:spacing w:val="-2"/>
          <w:szCs w:val="22"/>
        </w:rPr>
        <w:t>FEDERAL COMMUNICATIONS COMMISSION</w:t>
      </w:r>
    </w:p>
    <w:p w:rsidR="00B07300" w:rsidRPr="00DD7A90" w:rsidRDefault="00B07300" w:rsidP="002A29D2">
      <w:pPr>
        <w:pStyle w:val="Heading1"/>
        <w:numPr>
          <w:ilvl w:val="0"/>
          <w:numId w:val="0"/>
        </w:numPr>
        <w:spacing w:after="0"/>
        <w:rPr>
          <w:rFonts w:ascii="Times New Roman" w:hAnsi="Times New Roman"/>
          <w:b w:val="0"/>
          <w:caps w:val="0"/>
          <w:spacing w:val="-2"/>
          <w:szCs w:val="22"/>
        </w:rPr>
      </w:pPr>
    </w:p>
    <w:p w:rsidR="002A29D2" w:rsidRPr="00DD7A90" w:rsidRDefault="002A29D2" w:rsidP="002A29D2">
      <w:pPr>
        <w:pStyle w:val="ParaNum"/>
        <w:numPr>
          <w:ilvl w:val="0"/>
          <w:numId w:val="0"/>
        </w:numPr>
        <w:spacing w:after="0"/>
        <w:rPr>
          <w:szCs w:val="22"/>
        </w:rPr>
      </w:pPr>
    </w:p>
    <w:p w:rsidR="00153184" w:rsidRDefault="00153184" w:rsidP="002A29D2">
      <w:pPr>
        <w:pStyle w:val="ParaNum"/>
        <w:numPr>
          <w:ilvl w:val="0"/>
          <w:numId w:val="0"/>
        </w:numPr>
        <w:spacing w:after="0"/>
        <w:rPr>
          <w:szCs w:val="22"/>
        </w:rPr>
      </w:pPr>
    </w:p>
    <w:p w:rsidR="0072575B" w:rsidRPr="00DD7A90" w:rsidRDefault="0072575B" w:rsidP="002A29D2">
      <w:pPr>
        <w:pStyle w:val="ParaNum"/>
        <w:numPr>
          <w:ilvl w:val="0"/>
          <w:numId w:val="0"/>
        </w:numPr>
        <w:spacing w:after="0"/>
        <w:rPr>
          <w:szCs w:val="22"/>
        </w:rPr>
      </w:pPr>
    </w:p>
    <w:p w:rsidR="00153184" w:rsidRPr="00DD7A90" w:rsidRDefault="00744226" w:rsidP="00153184">
      <w:pPr>
        <w:ind w:left="3600" w:firstLine="720"/>
        <w:rPr>
          <w:szCs w:val="22"/>
        </w:rPr>
      </w:pPr>
      <w:r>
        <w:rPr>
          <w:szCs w:val="22"/>
        </w:rPr>
        <w:t>Chad Breckinridge</w:t>
      </w:r>
    </w:p>
    <w:p w:rsidR="00492342" w:rsidRPr="00DD7A90" w:rsidRDefault="00744226" w:rsidP="00153184">
      <w:pPr>
        <w:pStyle w:val="ParaNum"/>
        <w:numPr>
          <w:ilvl w:val="0"/>
          <w:numId w:val="0"/>
        </w:numPr>
        <w:spacing w:after="0"/>
        <w:ind w:left="3600" w:firstLine="720"/>
        <w:rPr>
          <w:szCs w:val="22"/>
        </w:rPr>
      </w:pPr>
      <w:r>
        <w:rPr>
          <w:szCs w:val="22"/>
        </w:rPr>
        <w:t xml:space="preserve">Associate </w:t>
      </w:r>
      <w:r w:rsidR="00153184" w:rsidRPr="00DD7A90">
        <w:rPr>
          <w:szCs w:val="22"/>
        </w:rPr>
        <w:t>Chief</w:t>
      </w:r>
    </w:p>
    <w:p w:rsidR="002E484C" w:rsidRPr="00DD7A90" w:rsidRDefault="00153184" w:rsidP="00153184">
      <w:pPr>
        <w:pStyle w:val="ParaNum"/>
        <w:numPr>
          <w:ilvl w:val="0"/>
          <w:numId w:val="0"/>
        </w:numPr>
        <w:spacing w:after="0"/>
        <w:ind w:left="3600" w:firstLine="720"/>
        <w:rPr>
          <w:szCs w:val="22"/>
        </w:rPr>
      </w:pPr>
      <w:r w:rsidRPr="00DD7A90">
        <w:rPr>
          <w:szCs w:val="22"/>
        </w:rPr>
        <w:t>Wireless Telecommunications Bureau</w:t>
      </w:r>
    </w:p>
    <w:sectPr w:rsidR="002E484C" w:rsidRPr="00DD7A90" w:rsidSect="0057022D">
      <w:footnotePr>
        <w:numStart w:val="255"/>
      </w:footnotePr>
      <w:type w:val="continuous"/>
      <w:pgSz w:w="12240" w:h="15840"/>
      <w:pgMar w:top="1440" w:right="1440" w:bottom="720" w:left="1440" w:header="720" w:footer="720" w:gutter="0"/>
      <w:pgNumType w:start="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C76" w:rsidRDefault="005E2C76">
      <w:r>
        <w:separator/>
      </w:r>
    </w:p>
  </w:endnote>
  <w:endnote w:type="continuationSeparator" w:id="0">
    <w:p w:rsidR="005E2C76" w:rsidRDefault="005E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6C3" w:rsidRDefault="001916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8B" w:rsidRDefault="0060228B">
    <w:pPr>
      <w:pStyle w:val="Footer"/>
      <w:jc w:val="center"/>
    </w:pPr>
    <w:r>
      <w:rPr>
        <w:rStyle w:val="PageNumber"/>
      </w:rPr>
      <w:fldChar w:fldCharType="begin"/>
    </w:r>
    <w:r>
      <w:rPr>
        <w:rStyle w:val="PageNumber"/>
      </w:rPr>
      <w:instrText xml:space="preserve"> PAGE </w:instrText>
    </w:r>
    <w:r>
      <w:rPr>
        <w:rStyle w:val="PageNumber"/>
      </w:rPr>
      <w:fldChar w:fldCharType="separate"/>
    </w:r>
    <w:r w:rsidR="00B616F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6C3" w:rsidRDefault="00191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C76" w:rsidRDefault="005E2C76">
      <w:pPr>
        <w:rPr>
          <w:sz w:val="20"/>
        </w:rPr>
      </w:pPr>
      <w:r>
        <w:rPr>
          <w:sz w:val="20"/>
        </w:rPr>
        <w:separator/>
      </w:r>
    </w:p>
  </w:footnote>
  <w:footnote w:type="continuationSeparator" w:id="0">
    <w:p w:rsidR="005E2C76" w:rsidRDefault="005E2C76">
      <w:pPr>
        <w:rPr>
          <w:sz w:val="20"/>
        </w:rPr>
      </w:pPr>
      <w:r>
        <w:rPr>
          <w:sz w:val="20"/>
        </w:rPr>
        <w:separator/>
      </w:r>
    </w:p>
    <w:p w:rsidR="005E2C76" w:rsidRDefault="005E2C76">
      <w:pPr>
        <w:rPr>
          <w:sz w:val="20"/>
        </w:rPr>
      </w:pPr>
      <w:r>
        <w:rPr>
          <w:sz w:val="20"/>
        </w:rPr>
        <w:t>(...continued from previous page)</w:t>
      </w:r>
    </w:p>
  </w:footnote>
  <w:footnote w:type="continuationNotice" w:id="1">
    <w:p w:rsidR="005E2C76" w:rsidRDefault="005E2C76">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6C3" w:rsidRDefault="001916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8B" w:rsidRDefault="0060228B" w:rsidP="002A29D2">
    <w:pPr>
      <w:pStyle w:val="Header"/>
    </w:pPr>
    <w:r>
      <w:tab/>
      <w:t>Feder</w:t>
    </w:r>
    <w:r w:rsidR="00B6517D">
      <w:t>al Communications Commission</w:t>
    </w:r>
    <w:r w:rsidR="00B6517D">
      <w:tab/>
    </w:r>
    <w:r>
      <w:t xml:space="preserve"> </w:t>
    </w:r>
  </w:p>
  <w:p w:rsidR="0060228B" w:rsidRDefault="002A29D2" w:rsidP="002A29D2">
    <w:pPr>
      <w:pStyle w:val="Header"/>
    </w:pPr>
    <w:r>
      <w:rPr>
        <w:noProof/>
        <w:snapToGrid/>
      </w:rPr>
      <mc:AlternateContent>
        <mc:Choice Requires="wps">
          <w:drawing>
            <wp:anchor distT="0" distB="0" distL="114300" distR="114300" simplePos="0" relativeHeight="251658240" behindDoc="0" locked="0" layoutInCell="0" allowOverlap="1" wp14:anchorId="5C1B072A" wp14:editId="13EEBE30">
              <wp:simplePos x="0" y="0"/>
              <wp:positionH relativeFrom="column">
                <wp:posOffset>0</wp:posOffset>
              </wp:positionH>
              <wp:positionV relativeFrom="paragraph">
                <wp:posOffset>22225</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22ACC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kREA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" o:allowincell="f"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8B" w:rsidRPr="002A29D2" w:rsidRDefault="0060228B" w:rsidP="002A29D2">
    <w:pPr>
      <w:pStyle w:val="Header"/>
    </w:pPr>
    <w:r>
      <w:tab/>
    </w:r>
    <w:r w:rsidRPr="002A29D2">
      <w:t>Federal Communications Commission</w:t>
    </w:r>
    <w:r w:rsidRPr="002A29D2">
      <w:tab/>
      <w:t xml:space="preserve"> </w:t>
    </w:r>
  </w:p>
  <w:p w:rsidR="0060228B" w:rsidRDefault="002A29D2" w:rsidP="002A29D2">
    <w:pPr>
      <w:pStyle w:val="Header"/>
    </w:pPr>
    <w:r>
      <w:rPr>
        <w:noProof/>
        <w:snapToGrid/>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8DC8E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i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39530E2"/>
    <w:multiLevelType w:val="hybridMultilevel"/>
    <w:tmpl w:val="869473B4"/>
    <w:lvl w:ilvl="0" w:tplc="28C80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7"/>
  </w:num>
  <w:num w:numId="3">
    <w:abstractNumId w:val="3"/>
  </w:num>
  <w:num w:numId="4">
    <w:abstractNumId w:val="6"/>
  </w:num>
  <w:num w:numId="5">
    <w:abstractNumId w:val="1"/>
  </w:num>
  <w:num w:numId="6">
    <w:abstractNumId w:val="4"/>
  </w:num>
  <w:num w:numId="7">
    <w:abstractNumId w:val="2"/>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numStart w:val="25"/>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4C"/>
    <w:rsid w:val="00010C8C"/>
    <w:rsid w:val="00020D97"/>
    <w:rsid w:val="00042D73"/>
    <w:rsid w:val="000463D1"/>
    <w:rsid w:val="00051538"/>
    <w:rsid w:val="00067F0C"/>
    <w:rsid w:val="000808DD"/>
    <w:rsid w:val="000846D1"/>
    <w:rsid w:val="00085026"/>
    <w:rsid w:val="00097941"/>
    <w:rsid w:val="000A4936"/>
    <w:rsid w:val="000A5702"/>
    <w:rsid w:val="000F34C9"/>
    <w:rsid w:val="0010534A"/>
    <w:rsid w:val="00117B74"/>
    <w:rsid w:val="001305E3"/>
    <w:rsid w:val="00147EE4"/>
    <w:rsid w:val="00153184"/>
    <w:rsid w:val="0016448A"/>
    <w:rsid w:val="001654D4"/>
    <w:rsid w:val="00181FED"/>
    <w:rsid w:val="00183939"/>
    <w:rsid w:val="0019114F"/>
    <w:rsid w:val="001916C3"/>
    <w:rsid w:val="001A368B"/>
    <w:rsid w:val="001B3D75"/>
    <w:rsid w:val="001B4934"/>
    <w:rsid w:val="001B70C0"/>
    <w:rsid w:val="00214C43"/>
    <w:rsid w:val="002A29D2"/>
    <w:rsid w:val="002A4E36"/>
    <w:rsid w:val="002B59BD"/>
    <w:rsid w:val="002B660E"/>
    <w:rsid w:val="002C3C19"/>
    <w:rsid w:val="002D0B4C"/>
    <w:rsid w:val="002D2C2B"/>
    <w:rsid w:val="002E0DDD"/>
    <w:rsid w:val="002E33FB"/>
    <w:rsid w:val="002E484C"/>
    <w:rsid w:val="00352583"/>
    <w:rsid w:val="00355D7B"/>
    <w:rsid w:val="00367162"/>
    <w:rsid w:val="003A11B5"/>
    <w:rsid w:val="003C7F5A"/>
    <w:rsid w:val="003E0BC9"/>
    <w:rsid w:val="00432EEC"/>
    <w:rsid w:val="00456E40"/>
    <w:rsid w:val="0045763B"/>
    <w:rsid w:val="004602B4"/>
    <w:rsid w:val="00467C4B"/>
    <w:rsid w:val="00492342"/>
    <w:rsid w:val="0049461D"/>
    <w:rsid w:val="004A0CBB"/>
    <w:rsid w:val="00540430"/>
    <w:rsid w:val="0055407D"/>
    <w:rsid w:val="0056645B"/>
    <w:rsid w:val="0057022D"/>
    <w:rsid w:val="00586C02"/>
    <w:rsid w:val="005946F5"/>
    <w:rsid w:val="005A09E4"/>
    <w:rsid w:val="005C4054"/>
    <w:rsid w:val="005E29B1"/>
    <w:rsid w:val="005E2C76"/>
    <w:rsid w:val="0060228B"/>
    <w:rsid w:val="00664505"/>
    <w:rsid w:val="00672346"/>
    <w:rsid w:val="0069181E"/>
    <w:rsid w:val="006B076F"/>
    <w:rsid w:val="006B38D7"/>
    <w:rsid w:val="006B68D5"/>
    <w:rsid w:val="006E5F3F"/>
    <w:rsid w:val="007103FC"/>
    <w:rsid w:val="0072575B"/>
    <w:rsid w:val="00744226"/>
    <w:rsid w:val="00752430"/>
    <w:rsid w:val="00782862"/>
    <w:rsid w:val="007D2B3E"/>
    <w:rsid w:val="007E43CD"/>
    <w:rsid w:val="00806FBD"/>
    <w:rsid w:val="008571CD"/>
    <w:rsid w:val="00865B46"/>
    <w:rsid w:val="008777A1"/>
    <w:rsid w:val="00880AC7"/>
    <w:rsid w:val="00891AB5"/>
    <w:rsid w:val="00891ADC"/>
    <w:rsid w:val="008B7989"/>
    <w:rsid w:val="008E1DD4"/>
    <w:rsid w:val="008F0264"/>
    <w:rsid w:val="008F0C0F"/>
    <w:rsid w:val="00917CD5"/>
    <w:rsid w:val="0097751C"/>
    <w:rsid w:val="009A2707"/>
    <w:rsid w:val="009B513A"/>
    <w:rsid w:val="009B7986"/>
    <w:rsid w:val="009C4ACA"/>
    <w:rsid w:val="009C72E6"/>
    <w:rsid w:val="009E34BB"/>
    <w:rsid w:val="00A07697"/>
    <w:rsid w:val="00A57F62"/>
    <w:rsid w:val="00A64C85"/>
    <w:rsid w:val="00A908F1"/>
    <w:rsid w:val="00A958E4"/>
    <w:rsid w:val="00AA2D6B"/>
    <w:rsid w:val="00AD09E3"/>
    <w:rsid w:val="00B07300"/>
    <w:rsid w:val="00B222A4"/>
    <w:rsid w:val="00B37BB3"/>
    <w:rsid w:val="00B46E11"/>
    <w:rsid w:val="00B616F4"/>
    <w:rsid w:val="00B6517D"/>
    <w:rsid w:val="00BB2D1B"/>
    <w:rsid w:val="00BC4020"/>
    <w:rsid w:val="00BE6A1C"/>
    <w:rsid w:val="00C063B1"/>
    <w:rsid w:val="00C2070B"/>
    <w:rsid w:val="00C44771"/>
    <w:rsid w:val="00C46669"/>
    <w:rsid w:val="00C7654D"/>
    <w:rsid w:val="00C77D56"/>
    <w:rsid w:val="00CD4452"/>
    <w:rsid w:val="00D62A07"/>
    <w:rsid w:val="00D65129"/>
    <w:rsid w:val="00D713D3"/>
    <w:rsid w:val="00DA1D01"/>
    <w:rsid w:val="00DB1245"/>
    <w:rsid w:val="00DB6A2E"/>
    <w:rsid w:val="00DC1241"/>
    <w:rsid w:val="00DC24C1"/>
    <w:rsid w:val="00DC42C6"/>
    <w:rsid w:val="00DC6A41"/>
    <w:rsid w:val="00DD7A90"/>
    <w:rsid w:val="00DE3CB1"/>
    <w:rsid w:val="00E00C13"/>
    <w:rsid w:val="00E00E22"/>
    <w:rsid w:val="00E34B8F"/>
    <w:rsid w:val="00E51024"/>
    <w:rsid w:val="00E54F94"/>
    <w:rsid w:val="00EB082B"/>
    <w:rsid w:val="00EB1A95"/>
    <w:rsid w:val="00ED139F"/>
    <w:rsid w:val="00ED2B76"/>
    <w:rsid w:val="00ED2EA8"/>
    <w:rsid w:val="00EF5278"/>
    <w:rsid w:val="00F25801"/>
    <w:rsid w:val="00F50030"/>
    <w:rsid w:val="00F60D6A"/>
    <w:rsid w:val="00F67BFC"/>
    <w:rsid w:val="00F75BB8"/>
    <w:rsid w:val="00F97813"/>
    <w:rsid w:val="00FB087F"/>
    <w:rsid w:val="00FB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F4"/>
    <w:pPr>
      <w:widowControl w:val="0"/>
    </w:pPr>
    <w:rPr>
      <w:snapToGrid w:val="0"/>
      <w:kern w:val="28"/>
      <w:sz w:val="22"/>
    </w:rPr>
  </w:style>
  <w:style w:type="paragraph" w:styleId="Heading1">
    <w:name w:val="heading 1"/>
    <w:basedOn w:val="Normal"/>
    <w:next w:val="ParaNum"/>
    <w:qFormat/>
    <w:rsid w:val="00B616F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616F4"/>
    <w:pPr>
      <w:keepNext/>
      <w:numPr>
        <w:ilvl w:val="1"/>
        <w:numId w:val="3"/>
      </w:numPr>
      <w:spacing w:after="120"/>
      <w:outlineLvl w:val="1"/>
    </w:pPr>
    <w:rPr>
      <w:b/>
    </w:rPr>
  </w:style>
  <w:style w:type="paragraph" w:styleId="Heading3">
    <w:name w:val="heading 3"/>
    <w:basedOn w:val="Normal"/>
    <w:next w:val="ParaNum"/>
    <w:qFormat/>
    <w:rsid w:val="00B616F4"/>
    <w:pPr>
      <w:keepNext/>
      <w:numPr>
        <w:ilvl w:val="2"/>
        <w:numId w:val="3"/>
      </w:numPr>
      <w:tabs>
        <w:tab w:val="left" w:pos="2160"/>
      </w:tabs>
      <w:spacing w:after="120"/>
      <w:outlineLvl w:val="2"/>
    </w:pPr>
    <w:rPr>
      <w:b/>
    </w:rPr>
  </w:style>
  <w:style w:type="paragraph" w:styleId="Heading4">
    <w:name w:val="heading 4"/>
    <w:basedOn w:val="Normal"/>
    <w:next w:val="ParaNum"/>
    <w:qFormat/>
    <w:rsid w:val="00B616F4"/>
    <w:pPr>
      <w:keepNext/>
      <w:numPr>
        <w:ilvl w:val="3"/>
        <w:numId w:val="3"/>
      </w:numPr>
      <w:tabs>
        <w:tab w:val="left" w:pos="2880"/>
      </w:tabs>
      <w:spacing w:after="120"/>
      <w:outlineLvl w:val="3"/>
    </w:pPr>
    <w:rPr>
      <w:b/>
    </w:rPr>
  </w:style>
  <w:style w:type="paragraph" w:styleId="Heading5">
    <w:name w:val="heading 5"/>
    <w:basedOn w:val="Normal"/>
    <w:next w:val="ParaNum"/>
    <w:qFormat/>
    <w:rsid w:val="00B616F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616F4"/>
    <w:pPr>
      <w:numPr>
        <w:ilvl w:val="5"/>
        <w:numId w:val="3"/>
      </w:numPr>
      <w:tabs>
        <w:tab w:val="left" w:pos="4320"/>
      </w:tabs>
      <w:spacing w:after="120"/>
      <w:outlineLvl w:val="5"/>
    </w:pPr>
    <w:rPr>
      <w:b/>
    </w:rPr>
  </w:style>
  <w:style w:type="paragraph" w:styleId="Heading7">
    <w:name w:val="heading 7"/>
    <w:basedOn w:val="Normal"/>
    <w:next w:val="ParaNum"/>
    <w:qFormat/>
    <w:rsid w:val="00B616F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616F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616F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616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16F4"/>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B616F4"/>
    <w:pPr>
      <w:numPr>
        <w:numId w:val="2"/>
      </w:numPr>
      <w:tabs>
        <w:tab w:val="clear" w:pos="1080"/>
        <w:tab w:val="num" w:pos="1440"/>
      </w:tabs>
      <w:spacing w:after="120"/>
    </w:pPr>
  </w:style>
  <w:style w:type="paragraph" w:styleId="FootnoteText">
    <w:name w:val="footnote text"/>
    <w:aliases w:val="Footnote Text Char1,Footnote Text Char3 Char1,Footnote Text Char Char Char,Footnote Text Char1 Char Char Char1,Footnote Text Char Char Char Char Char2,Footnote Text Char2 Char Char Char Char Char,Footnote Text Char3,Footnote Text Char Char"/>
    <w:link w:val="FootnoteTextChar"/>
    <w:rsid w:val="00B616F4"/>
    <w:pPr>
      <w:spacing w:after="120"/>
    </w:pPr>
  </w:style>
  <w:style w:type="paragraph" w:customStyle="1" w:styleId="Bullet">
    <w:name w:val="Bullet"/>
    <w:basedOn w:val="Normal"/>
    <w:rsid w:val="00B616F4"/>
    <w:pPr>
      <w:tabs>
        <w:tab w:val="left" w:pos="2160"/>
      </w:tabs>
      <w:spacing w:after="220"/>
      <w:ind w:left="2160" w:hanging="720"/>
    </w:pPr>
  </w:style>
  <w:style w:type="paragraph" w:styleId="BlockText">
    <w:name w:val="Block Text"/>
    <w:basedOn w:val="Normal"/>
    <w:rsid w:val="00B616F4"/>
    <w:pPr>
      <w:spacing w:after="240"/>
      <w:ind w:left="1440" w:right="1440"/>
    </w:pPr>
  </w:style>
  <w:style w:type="paragraph" w:customStyle="1" w:styleId="TableFormat">
    <w:name w:val="TableFormat"/>
    <w:basedOn w:val="Bullet"/>
    <w:rsid w:val="00B616F4"/>
    <w:pPr>
      <w:tabs>
        <w:tab w:val="clear" w:pos="2160"/>
        <w:tab w:val="left" w:pos="5040"/>
      </w:tabs>
      <w:ind w:left="5040" w:hanging="3600"/>
    </w:pPr>
  </w:style>
  <w:style w:type="character" w:styleId="FootnoteReference">
    <w:name w:val="footnote reference"/>
    <w:aliases w:val="Appel note de bas de p,Style 12,(NECG) Footnote Reference,Style 124,o,fr,Style 3,Style 13,FR,Style 17,Style 6,Footnote Reference/,Style 4,Style 7,Footnote Reference1,Style 34,Style 9,A"/>
    <w:rsid w:val="00B616F4"/>
    <w:rPr>
      <w:rFonts w:ascii="Times New Roman" w:hAnsi="Times New Roman"/>
      <w:dstrike w:val="0"/>
      <w:color w:val="auto"/>
      <w:sz w:val="20"/>
      <w:vertAlign w:val="superscript"/>
    </w:rPr>
  </w:style>
  <w:style w:type="paragraph" w:styleId="Header">
    <w:name w:val="header"/>
    <w:basedOn w:val="Normal"/>
    <w:autoRedefine/>
    <w:rsid w:val="00B616F4"/>
    <w:pPr>
      <w:tabs>
        <w:tab w:val="center" w:pos="4680"/>
        <w:tab w:val="right" w:pos="9360"/>
      </w:tabs>
    </w:pPr>
    <w:rPr>
      <w:b/>
    </w:rPr>
  </w:style>
  <w:style w:type="paragraph" w:styleId="Footer">
    <w:name w:val="footer"/>
    <w:basedOn w:val="Normal"/>
    <w:rsid w:val="00B616F4"/>
    <w:pPr>
      <w:tabs>
        <w:tab w:val="center" w:pos="4320"/>
        <w:tab w:val="right" w:pos="8640"/>
      </w:tabs>
    </w:pPr>
  </w:style>
  <w:style w:type="paragraph" w:styleId="TOC2">
    <w:name w:val="toc 2"/>
    <w:basedOn w:val="Normal"/>
    <w:next w:val="Normal"/>
    <w:semiHidden/>
    <w:rsid w:val="00B616F4"/>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1"/>
      </w:numPr>
      <w:tabs>
        <w:tab w:val="clear" w:pos="1080"/>
      </w:tabs>
      <w:spacing w:after="220"/>
      <w:ind w:firstLine="0"/>
    </w:pPr>
  </w:style>
  <w:style w:type="paragraph" w:styleId="TOC1">
    <w:name w:val="toc 1"/>
    <w:basedOn w:val="Normal"/>
    <w:next w:val="Normal"/>
    <w:semiHidden/>
    <w:rsid w:val="00B616F4"/>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B616F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616F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616F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616F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616F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616F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616F4"/>
    <w:pPr>
      <w:tabs>
        <w:tab w:val="left" w:pos="3240"/>
        <w:tab w:val="right" w:leader="dot" w:pos="9360"/>
      </w:tabs>
      <w:suppressAutoHyphens/>
      <w:ind w:left="3240" w:hanging="360"/>
    </w:pPr>
    <w:rPr>
      <w:noProof/>
    </w:rPr>
  </w:style>
  <w:style w:type="character" w:styleId="PageNumber">
    <w:name w:val="page number"/>
    <w:basedOn w:val="DefaultParagraphFont"/>
    <w:rsid w:val="00B616F4"/>
  </w:style>
  <w:style w:type="paragraph" w:styleId="Title">
    <w:name w:val="Title"/>
    <w:basedOn w:val="Normal"/>
    <w:qFormat/>
    <w:pPr>
      <w:jc w:val="center"/>
    </w:pPr>
    <w:rPr>
      <w:b/>
    </w:rPr>
  </w:style>
  <w:style w:type="paragraph" w:styleId="EndnoteText">
    <w:name w:val="endnote text"/>
    <w:basedOn w:val="Normal"/>
    <w:link w:val="EndnoteTextChar"/>
    <w:rsid w:val="00B616F4"/>
    <w:rPr>
      <w:sz w:val="20"/>
    </w:rPr>
  </w:style>
  <w:style w:type="character" w:customStyle="1" w:styleId="EndnoteTextChar">
    <w:name w:val="Endnote Text Char"/>
    <w:basedOn w:val="DefaultParagraphFont"/>
    <w:link w:val="EndnoteText"/>
    <w:rsid w:val="002A29D2"/>
    <w:rPr>
      <w:snapToGrid w:val="0"/>
      <w:kern w:val="28"/>
    </w:rPr>
  </w:style>
  <w:style w:type="character" w:styleId="EndnoteReference">
    <w:name w:val="endnote reference"/>
    <w:rsid w:val="00B616F4"/>
    <w:rPr>
      <w:vertAlign w:val="superscript"/>
    </w:rPr>
  </w:style>
  <w:style w:type="paragraph" w:styleId="TOAHeading">
    <w:name w:val="toa heading"/>
    <w:basedOn w:val="Normal"/>
    <w:next w:val="Normal"/>
    <w:rsid w:val="00B616F4"/>
    <w:pPr>
      <w:tabs>
        <w:tab w:val="right" w:pos="9360"/>
      </w:tabs>
      <w:suppressAutoHyphens/>
    </w:pPr>
  </w:style>
  <w:style w:type="character" w:customStyle="1" w:styleId="EquationCaption">
    <w:name w:val="_Equation Caption"/>
    <w:rsid w:val="00B616F4"/>
  </w:style>
  <w:style w:type="paragraph" w:customStyle="1" w:styleId="Paratitle">
    <w:name w:val="Para title"/>
    <w:basedOn w:val="Normal"/>
    <w:rsid w:val="00B616F4"/>
    <w:pPr>
      <w:tabs>
        <w:tab w:val="center" w:pos="9270"/>
      </w:tabs>
      <w:spacing w:after="240"/>
    </w:pPr>
    <w:rPr>
      <w:spacing w:val="-2"/>
    </w:rPr>
  </w:style>
  <w:style w:type="paragraph" w:customStyle="1" w:styleId="TOCTitle">
    <w:name w:val="TOC Title"/>
    <w:basedOn w:val="Normal"/>
    <w:rsid w:val="00B616F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616F4"/>
    <w:pPr>
      <w:jc w:val="center"/>
    </w:pPr>
    <w:rPr>
      <w:rFonts w:ascii="Times New Roman Bold" w:hAnsi="Times New Roman Bold"/>
      <w:b/>
      <w:bCs/>
      <w:caps/>
      <w:szCs w:val="22"/>
    </w:rPr>
  </w:style>
  <w:style w:type="character" w:styleId="Hyperlink">
    <w:name w:val="Hyperlink"/>
    <w:rsid w:val="00B616F4"/>
    <w:rPr>
      <w:color w:val="0000FF"/>
      <w:u w:val="single"/>
    </w:rPr>
  </w:style>
  <w:style w:type="character" w:customStyle="1" w:styleId="ParaNumChar">
    <w:name w:val="ParaNum Char"/>
    <w:link w:val="ParaNum"/>
    <w:rsid w:val="003E0BC9"/>
    <w:rPr>
      <w:snapToGrid w:val="0"/>
      <w:kern w:val="28"/>
      <w:sz w:val="22"/>
    </w:rPr>
  </w:style>
  <w:style w:type="character" w:customStyle="1" w:styleId="FootnoteTextChar">
    <w:name w:val="Footnote Text Char"/>
    <w:aliases w:val="Footnote Text Char1 Char,Footnote Text Char3 Char1 Char,Footnote Text Char Char Char Char,Footnote Text Char1 Char Char Char1 Char,Footnote Text Char Char Char Char Char2 Char,Footnote Text Char2 Char Char Char Char Char Char"/>
    <w:basedOn w:val="DefaultParagraphFont"/>
    <w:link w:val="FootnoteText"/>
    <w:rsid w:val="00B46E11"/>
  </w:style>
  <w:style w:type="character" w:styleId="FollowedHyperlink">
    <w:name w:val="FollowedHyperlink"/>
    <w:basedOn w:val="DefaultParagraphFont"/>
    <w:semiHidden/>
    <w:unhideWhenUsed/>
    <w:rsid w:val="002B660E"/>
    <w:rPr>
      <w:color w:val="800080" w:themeColor="followedHyperlink"/>
      <w:u w:val="single"/>
    </w:rPr>
  </w:style>
  <w:style w:type="character" w:customStyle="1" w:styleId="documentbody1">
    <w:name w:val="documentbody1"/>
    <w:basedOn w:val="DefaultParagraphFont"/>
    <w:rsid w:val="002D0B4C"/>
    <w:rPr>
      <w:rFonts w:ascii="Verdana" w:hAnsi="Verdana" w:hint="default"/>
      <w:sz w:val="19"/>
      <w:szCs w:val="19"/>
    </w:rPr>
  </w:style>
  <w:style w:type="paragraph" w:customStyle="1" w:styleId="Default">
    <w:name w:val="Default"/>
    <w:rsid w:val="0016448A"/>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F67BFC"/>
    <w:rPr>
      <w:rFonts w:ascii="Segoe UI" w:hAnsi="Segoe UI" w:cs="Segoe UI"/>
      <w:sz w:val="18"/>
      <w:szCs w:val="18"/>
    </w:rPr>
  </w:style>
  <w:style w:type="character" w:customStyle="1" w:styleId="BalloonTextChar">
    <w:name w:val="Balloon Text Char"/>
    <w:basedOn w:val="DefaultParagraphFont"/>
    <w:link w:val="BalloonText"/>
    <w:semiHidden/>
    <w:rsid w:val="00F67BFC"/>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F4"/>
    <w:pPr>
      <w:widowControl w:val="0"/>
    </w:pPr>
    <w:rPr>
      <w:snapToGrid w:val="0"/>
      <w:kern w:val="28"/>
      <w:sz w:val="22"/>
    </w:rPr>
  </w:style>
  <w:style w:type="paragraph" w:styleId="Heading1">
    <w:name w:val="heading 1"/>
    <w:basedOn w:val="Normal"/>
    <w:next w:val="ParaNum"/>
    <w:qFormat/>
    <w:rsid w:val="00B616F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616F4"/>
    <w:pPr>
      <w:keepNext/>
      <w:numPr>
        <w:ilvl w:val="1"/>
        <w:numId w:val="3"/>
      </w:numPr>
      <w:spacing w:after="120"/>
      <w:outlineLvl w:val="1"/>
    </w:pPr>
    <w:rPr>
      <w:b/>
    </w:rPr>
  </w:style>
  <w:style w:type="paragraph" w:styleId="Heading3">
    <w:name w:val="heading 3"/>
    <w:basedOn w:val="Normal"/>
    <w:next w:val="ParaNum"/>
    <w:qFormat/>
    <w:rsid w:val="00B616F4"/>
    <w:pPr>
      <w:keepNext/>
      <w:numPr>
        <w:ilvl w:val="2"/>
        <w:numId w:val="3"/>
      </w:numPr>
      <w:tabs>
        <w:tab w:val="left" w:pos="2160"/>
      </w:tabs>
      <w:spacing w:after="120"/>
      <w:outlineLvl w:val="2"/>
    </w:pPr>
    <w:rPr>
      <w:b/>
    </w:rPr>
  </w:style>
  <w:style w:type="paragraph" w:styleId="Heading4">
    <w:name w:val="heading 4"/>
    <w:basedOn w:val="Normal"/>
    <w:next w:val="ParaNum"/>
    <w:qFormat/>
    <w:rsid w:val="00B616F4"/>
    <w:pPr>
      <w:keepNext/>
      <w:numPr>
        <w:ilvl w:val="3"/>
        <w:numId w:val="3"/>
      </w:numPr>
      <w:tabs>
        <w:tab w:val="left" w:pos="2880"/>
      </w:tabs>
      <w:spacing w:after="120"/>
      <w:outlineLvl w:val="3"/>
    </w:pPr>
    <w:rPr>
      <w:b/>
    </w:rPr>
  </w:style>
  <w:style w:type="paragraph" w:styleId="Heading5">
    <w:name w:val="heading 5"/>
    <w:basedOn w:val="Normal"/>
    <w:next w:val="ParaNum"/>
    <w:qFormat/>
    <w:rsid w:val="00B616F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616F4"/>
    <w:pPr>
      <w:numPr>
        <w:ilvl w:val="5"/>
        <w:numId w:val="3"/>
      </w:numPr>
      <w:tabs>
        <w:tab w:val="left" w:pos="4320"/>
      </w:tabs>
      <w:spacing w:after="120"/>
      <w:outlineLvl w:val="5"/>
    </w:pPr>
    <w:rPr>
      <w:b/>
    </w:rPr>
  </w:style>
  <w:style w:type="paragraph" w:styleId="Heading7">
    <w:name w:val="heading 7"/>
    <w:basedOn w:val="Normal"/>
    <w:next w:val="ParaNum"/>
    <w:qFormat/>
    <w:rsid w:val="00B616F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616F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616F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616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16F4"/>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B616F4"/>
    <w:pPr>
      <w:numPr>
        <w:numId w:val="2"/>
      </w:numPr>
      <w:tabs>
        <w:tab w:val="clear" w:pos="1080"/>
        <w:tab w:val="num" w:pos="1440"/>
      </w:tabs>
      <w:spacing w:after="120"/>
    </w:pPr>
  </w:style>
  <w:style w:type="paragraph" w:styleId="FootnoteText">
    <w:name w:val="footnote text"/>
    <w:aliases w:val="Footnote Text Char1,Footnote Text Char3 Char1,Footnote Text Char Char Char,Footnote Text Char1 Char Char Char1,Footnote Text Char Char Char Char Char2,Footnote Text Char2 Char Char Char Char Char,Footnote Text Char3,Footnote Text Char Char"/>
    <w:link w:val="FootnoteTextChar"/>
    <w:rsid w:val="00B616F4"/>
    <w:pPr>
      <w:spacing w:after="120"/>
    </w:pPr>
  </w:style>
  <w:style w:type="paragraph" w:customStyle="1" w:styleId="Bullet">
    <w:name w:val="Bullet"/>
    <w:basedOn w:val="Normal"/>
    <w:rsid w:val="00B616F4"/>
    <w:pPr>
      <w:tabs>
        <w:tab w:val="left" w:pos="2160"/>
      </w:tabs>
      <w:spacing w:after="220"/>
      <w:ind w:left="2160" w:hanging="720"/>
    </w:pPr>
  </w:style>
  <w:style w:type="paragraph" w:styleId="BlockText">
    <w:name w:val="Block Text"/>
    <w:basedOn w:val="Normal"/>
    <w:rsid w:val="00B616F4"/>
    <w:pPr>
      <w:spacing w:after="240"/>
      <w:ind w:left="1440" w:right="1440"/>
    </w:pPr>
  </w:style>
  <w:style w:type="paragraph" w:customStyle="1" w:styleId="TableFormat">
    <w:name w:val="TableFormat"/>
    <w:basedOn w:val="Bullet"/>
    <w:rsid w:val="00B616F4"/>
    <w:pPr>
      <w:tabs>
        <w:tab w:val="clear" w:pos="2160"/>
        <w:tab w:val="left" w:pos="5040"/>
      </w:tabs>
      <w:ind w:left="5040" w:hanging="3600"/>
    </w:pPr>
  </w:style>
  <w:style w:type="character" w:styleId="FootnoteReference">
    <w:name w:val="footnote reference"/>
    <w:aliases w:val="Appel note de bas de p,Style 12,(NECG) Footnote Reference,Style 124,o,fr,Style 3,Style 13,FR,Style 17,Style 6,Footnote Reference/,Style 4,Style 7,Footnote Reference1,Style 34,Style 9,A"/>
    <w:rsid w:val="00B616F4"/>
    <w:rPr>
      <w:rFonts w:ascii="Times New Roman" w:hAnsi="Times New Roman"/>
      <w:dstrike w:val="0"/>
      <w:color w:val="auto"/>
      <w:sz w:val="20"/>
      <w:vertAlign w:val="superscript"/>
    </w:rPr>
  </w:style>
  <w:style w:type="paragraph" w:styleId="Header">
    <w:name w:val="header"/>
    <w:basedOn w:val="Normal"/>
    <w:autoRedefine/>
    <w:rsid w:val="00B616F4"/>
    <w:pPr>
      <w:tabs>
        <w:tab w:val="center" w:pos="4680"/>
        <w:tab w:val="right" w:pos="9360"/>
      </w:tabs>
    </w:pPr>
    <w:rPr>
      <w:b/>
    </w:rPr>
  </w:style>
  <w:style w:type="paragraph" w:styleId="Footer">
    <w:name w:val="footer"/>
    <w:basedOn w:val="Normal"/>
    <w:rsid w:val="00B616F4"/>
    <w:pPr>
      <w:tabs>
        <w:tab w:val="center" w:pos="4320"/>
        <w:tab w:val="right" w:pos="8640"/>
      </w:tabs>
    </w:pPr>
  </w:style>
  <w:style w:type="paragraph" w:styleId="TOC2">
    <w:name w:val="toc 2"/>
    <w:basedOn w:val="Normal"/>
    <w:next w:val="Normal"/>
    <w:semiHidden/>
    <w:rsid w:val="00B616F4"/>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1"/>
      </w:numPr>
      <w:tabs>
        <w:tab w:val="clear" w:pos="1080"/>
      </w:tabs>
      <w:spacing w:after="220"/>
      <w:ind w:firstLine="0"/>
    </w:pPr>
  </w:style>
  <w:style w:type="paragraph" w:styleId="TOC1">
    <w:name w:val="toc 1"/>
    <w:basedOn w:val="Normal"/>
    <w:next w:val="Normal"/>
    <w:semiHidden/>
    <w:rsid w:val="00B616F4"/>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B616F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616F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616F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616F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616F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616F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616F4"/>
    <w:pPr>
      <w:tabs>
        <w:tab w:val="left" w:pos="3240"/>
        <w:tab w:val="right" w:leader="dot" w:pos="9360"/>
      </w:tabs>
      <w:suppressAutoHyphens/>
      <w:ind w:left="3240" w:hanging="360"/>
    </w:pPr>
    <w:rPr>
      <w:noProof/>
    </w:rPr>
  </w:style>
  <w:style w:type="character" w:styleId="PageNumber">
    <w:name w:val="page number"/>
    <w:basedOn w:val="DefaultParagraphFont"/>
    <w:rsid w:val="00B616F4"/>
  </w:style>
  <w:style w:type="paragraph" w:styleId="Title">
    <w:name w:val="Title"/>
    <w:basedOn w:val="Normal"/>
    <w:qFormat/>
    <w:pPr>
      <w:jc w:val="center"/>
    </w:pPr>
    <w:rPr>
      <w:b/>
    </w:rPr>
  </w:style>
  <w:style w:type="paragraph" w:styleId="EndnoteText">
    <w:name w:val="endnote text"/>
    <w:basedOn w:val="Normal"/>
    <w:link w:val="EndnoteTextChar"/>
    <w:rsid w:val="00B616F4"/>
    <w:rPr>
      <w:sz w:val="20"/>
    </w:rPr>
  </w:style>
  <w:style w:type="character" w:customStyle="1" w:styleId="EndnoteTextChar">
    <w:name w:val="Endnote Text Char"/>
    <w:basedOn w:val="DefaultParagraphFont"/>
    <w:link w:val="EndnoteText"/>
    <w:rsid w:val="002A29D2"/>
    <w:rPr>
      <w:snapToGrid w:val="0"/>
      <w:kern w:val="28"/>
    </w:rPr>
  </w:style>
  <w:style w:type="character" w:styleId="EndnoteReference">
    <w:name w:val="endnote reference"/>
    <w:rsid w:val="00B616F4"/>
    <w:rPr>
      <w:vertAlign w:val="superscript"/>
    </w:rPr>
  </w:style>
  <w:style w:type="paragraph" w:styleId="TOAHeading">
    <w:name w:val="toa heading"/>
    <w:basedOn w:val="Normal"/>
    <w:next w:val="Normal"/>
    <w:rsid w:val="00B616F4"/>
    <w:pPr>
      <w:tabs>
        <w:tab w:val="right" w:pos="9360"/>
      </w:tabs>
      <w:suppressAutoHyphens/>
    </w:pPr>
  </w:style>
  <w:style w:type="character" w:customStyle="1" w:styleId="EquationCaption">
    <w:name w:val="_Equation Caption"/>
    <w:rsid w:val="00B616F4"/>
  </w:style>
  <w:style w:type="paragraph" w:customStyle="1" w:styleId="Paratitle">
    <w:name w:val="Para title"/>
    <w:basedOn w:val="Normal"/>
    <w:rsid w:val="00B616F4"/>
    <w:pPr>
      <w:tabs>
        <w:tab w:val="center" w:pos="9270"/>
      </w:tabs>
      <w:spacing w:after="240"/>
    </w:pPr>
    <w:rPr>
      <w:spacing w:val="-2"/>
    </w:rPr>
  </w:style>
  <w:style w:type="paragraph" w:customStyle="1" w:styleId="TOCTitle">
    <w:name w:val="TOC Title"/>
    <w:basedOn w:val="Normal"/>
    <w:rsid w:val="00B616F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616F4"/>
    <w:pPr>
      <w:jc w:val="center"/>
    </w:pPr>
    <w:rPr>
      <w:rFonts w:ascii="Times New Roman Bold" w:hAnsi="Times New Roman Bold"/>
      <w:b/>
      <w:bCs/>
      <w:caps/>
      <w:szCs w:val="22"/>
    </w:rPr>
  </w:style>
  <w:style w:type="character" w:styleId="Hyperlink">
    <w:name w:val="Hyperlink"/>
    <w:rsid w:val="00B616F4"/>
    <w:rPr>
      <w:color w:val="0000FF"/>
      <w:u w:val="single"/>
    </w:rPr>
  </w:style>
  <w:style w:type="character" w:customStyle="1" w:styleId="ParaNumChar">
    <w:name w:val="ParaNum Char"/>
    <w:link w:val="ParaNum"/>
    <w:rsid w:val="003E0BC9"/>
    <w:rPr>
      <w:snapToGrid w:val="0"/>
      <w:kern w:val="28"/>
      <w:sz w:val="22"/>
    </w:rPr>
  </w:style>
  <w:style w:type="character" w:customStyle="1" w:styleId="FootnoteTextChar">
    <w:name w:val="Footnote Text Char"/>
    <w:aliases w:val="Footnote Text Char1 Char,Footnote Text Char3 Char1 Char,Footnote Text Char Char Char Char,Footnote Text Char1 Char Char Char1 Char,Footnote Text Char Char Char Char Char2 Char,Footnote Text Char2 Char Char Char Char Char Char"/>
    <w:basedOn w:val="DefaultParagraphFont"/>
    <w:link w:val="FootnoteText"/>
    <w:rsid w:val="00B46E11"/>
  </w:style>
  <w:style w:type="character" w:styleId="FollowedHyperlink">
    <w:name w:val="FollowedHyperlink"/>
    <w:basedOn w:val="DefaultParagraphFont"/>
    <w:semiHidden/>
    <w:unhideWhenUsed/>
    <w:rsid w:val="002B660E"/>
    <w:rPr>
      <w:color w:val="800080" w:themeColor="followedHyperlink"/>
      <w:u w:val="single"/>
    </w:rPr>
  </w:style>
  <w:style w:type="character" w:customStyle="1" w:styleId="documentbody1">
    <w:name w:val="documentbody1"/>
    <w:basedOn w:val="DefaultParagraphFont"/>
    <w:rsid w:val="002D0B4C"/>
    <w:rPr>
      <w:rFonts w:ascii="Verdana" w:hAnsi="Verdana" w:hint="default"/>
      <w:sz w:val="19"/>
      <w:szCs w:val="19"/>
    </w:rPr>
  </w:style>
  <w:style w:type="paragraph" w:customStyle="1" w:styleId="Default">
    <w:name w:val="Default"/>
    <w:rsid w:val="0016448A"/>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F67BFC"/>
    <w:rPr>
      <w:rFonts w:ascii="Segoe UI" w:hAnsi="Segoe UI" w:cs="Segoe UI"/>
      <w:sz w:val="18"/>
      <w:szCs w:val="18"/>
    </w:rPr>
  </w:style>
  <w:style w:type="character" w:customStyle="1" w:styleId="BalloonTextChar">
    <w:name w:val="Balloon Text Char"/>
    <w:basedOn w:val="DefaultParagraphFont"/>
    <w:link w:val="BalloonText"/>
    <w:semiHidden/>
    <w:rsid w:val="00F67BF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3386">
      <w:bodyDiv w:val="1"/>
      <w:marLeft w:val="0"/>
      <w:marRight w:val="0"/>
      <w:marTop w:val="0"/>
      <w:marBottom w:val="0"/>
      <w:divBdr>
        <w:top w:val="none" w:sz="0" w:space="0" w:color="auto"/>
        <w:left w:val="none" w:sz="0" w:space="0" w:color="auto"/>
        <w:bottom w:val="none" w:sz="0" w:space="0" w:color="auto"/>
        <w:right w:val="none" w:sz="0" w:space="0" w:color="auto"/>
      </w:divBdr>
    </w:div>
    <w:div w:id="155858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factfinder.census.gov/faces/tableservices/jsf/pages/productview.xhtml?pid=ECN_2007_US_51SSSZ4&amp;prodType=table" TargetMode="External"/><Relationship Id="rId2" Type="http://schemas.openxmlformats.org/officeDocument/2006/relationships/styles" Target="styles.xml"/><Relationship Id="rId16" Type="http://schemas.openxmlformats.org/officeDocument/2006/relationships/hyperlink" Target="http://www.census.gov/cgi-bin/sssd/naics/naicsrch?code=519190&amp;search=2007%20NAICS%20Sear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factfinder.census.gov/faces/tableservices/jsf/pages/productview.xhtml?pid=ECN_2007_US_51SSSZ4&amp;prodType=tabl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ensus.gov/cgi-bin/sssd/naics/naicsrch?code=517210&amp;search=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1849</Words>
  <Characters>10662</Characters>
  <Application>Microsoft Office Word</Application>
  <DocSecurity>0</DocSecurity>
  <Lines>218</Lines>
  <Paragraphs>106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12441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2015-11-23T22:10:00Z</cp:lastPrinted>
  <dcterms:created xsi:type="dcterms:W3CDTF">2015-12-03T22:12:00Z</dcterms:created>
  <dcterms:modified xsi:type="dcterms:W3CDTF">2015-12-03T22:12:00Z</dcterms:modified>
  <cp:category> </cp:category>
  <cp:contentStatus> </cp:contentStatus>
</cp:coreProperties>
</file>