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7FBE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D01CB7F" wp14:editId="28E8B23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A81741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Charlie Meisch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411ED4">
              <w:rPr>
                <w:bCs/>
                <w:sz w:val="22"/>
                <w:szCs w:val="22"/>
              </w:rPr>
              <w:t>2943</w:t>
            </w:r>
          </w:p>
          <w:p w:rsidR="00FF232D" w:rsidRPr="008A3940" w:rsidRDefault="00411ED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A81741">
              <w:rPr>
                <w:bCs/>
                <w:sz w:val="22"/>
                <w:szCs w:val="22"/>
              </w:rPr>
              <w:t>harl</w:t>
            </w:r>
            <w:r>
              <w:rPr>
                <w:bCs/>
                <w:sz w:val="22"/>
                <w:szCs w:val="22"/>
              </w:rPr>
              <w:t>es</w:t>
            </w:r>
            <w:r w:rsidR="00A81741">
              <w:rPr>
                <w:bCs/>
                <w:sz w:val="22"/>
                <w:szCs w:val="22"/>
              </w:rPr>
              <w:t>.meisch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81741" w:rsidRDefault="00A81741" w:rsidP="00A81741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1741">
              <w:rPr>
                <w:b/>
                <w:bCs/>
                <w:sz w:val="22"/>
                <w:szCs w:val="22"/>
              </w:rPr>
              <w:t xml:space="preserve">FCC ADOPTS RULES </w:t>
            </w:r>
            <w:r w:rsidR="002954D3">
              <w:rPr>
                <w:b/>
                <w:bCs/>
                <w:sz w:val="22"/>
                <w:szCs w:val="22"/>
              </w:rPr>
              <w:t xml:space="preserve">TO </w:t>
            </w:r>
            <w:r w:rsidR="00607D65">
              <w:rPr>
                <w:b/>
                <w:bCs/>
                <w:sz w:val="22"/>
                <w:szCs w:val="22"/>
              </w:rPr>
              <w:t>ENABLE</w:t>
            </w:r>
            <w:r w:rsidRPr="00A81741">
              <w:rPr>
                <w:b/>
                <w:bCs/>
                <w:sz w:val="22"/>
                <w:szCs w:val="22"/>
              </w:rPr>
              <w:t xml:space="preserve"> </w:t>
            </w:r>
            <w:r w:rsidR="00607D65">
              <w:rPr>
                <w:b/>
                <w:bCs/>
                <w:sz w:val="22"/>
                <w:szCs w:val="22"/>
              </w:rPr>
              <w:t>WIRELESS MICR</w:t>
            </w:r>
            <w:r w:rsidR="00747EBF">
              <w:rPr>
                <w:b/>
                <w:bCs/>
                <w:sz w:val="22"/>
                <w:szCs w:val="22"/>
              </w:rPr>
              <w:t>O</w:t>
            </w:r>
            <w:r w:rsidR="00607D65">
              <w:rPr>
                <w:b/>
                <w:bCs/>
                <w:sz w:val="22"/>
                <w:szCs w:val="22"/>
              </w:rPr>
              <w:t>PHONE USE IN NEW SPECTRUM BANDS, ALLOW FOR SHARING IN TV BANDS</w:t>
            </w:r>
          </w:p>
          <w:p w:rsidR="00A81741" w:rsidRPr="00A42BBD" w:rsidRDefault="00A81741" w:rsidP="00A42BBD">
            <w:pPr>
              <w:tabs>
                <w:tab w:val="left" w:pos="8625"/>
              </w:tabs>
              <w:rPr>
                <w:b/>
                <w:bCs/>
                <w:i/>
                <w:sz w:val="22"/>
                <w:szCs w:val="22"/>
              </w:rPr>
            </w:pPr>
          </w:p>
          <w:p w:rsidR="00BC2C19" w:rsidRDefault="00FF1C0B" w:rsidP="00FF6C3C">
            <w:pPr>
              <w:rPr>
                <w:sz w:val="22"/>
                <w:szCs w:val="22"/>
              </w:rPr>
            </w:pPr>
            <w:r w:rsidRPr="00BC2C19">
              <w:rPr>
                <w:sz w:val="22"/>
                <w:szCs w:val="22"/>
              </w:rPr>
              <w:t xml:space="preserve">WASHINGTON, </w:t>
            </w:r>
            <w:r w:rsidR="00A81741" w:rsidRPr="00BC2C19">
              <w:rPr>
                <w:sz w:val="22"/>
                <w:szCs w:val="22"/>
              </w:rPr>
              <w:t>August 6</w:t>
            </w:r>
            <w:r w:rsidR="00D34C29" w:rsidRPr="00BC2C19">
              <w:rPr>
                <w:sz w:val="22"/>
                <w:szCs w:val="22"/>
              </w:rPr>
              <w:t>,</w:t>
            </w:r>
            <w:r w:rsidR="00CC5E08" w:rsidRPr="00BC2C19">
              <w:rPr>
                <w:sz w:val="22"/>
                <w:szCs w:val="22"/>
              </w:rPr>
              <w:t xml:space="preserve"> 2015</w:t>
            </w:r>
            <w:r w:rsidR="002B1013" w:rsidRPr="00BC2C19">
              <w:rPr>
                <w:sz w:val="22"/>
                <w:szCs w:val="22"/>
              </w:rPr>
              <w:t xml:space="preserve"> –</w:t>
            </w:r>
            <w:r w:rsidR="00933E99" w:rsidRPr="00BC2C19">
              <w:rPr>
                <w:color w:val="000000"/>
                <w:sz w:val="22"/>
                <w:szCs w:val="22"/>
              </w:rPr>
              <w:t xml:space="preserve"> </w:t>
            </w:r>
            <w:r w:rsidR="00A42BBD" w:rsidRPr="00BC2C19">
              <w:rPr>
                <w:sz w:val="22"/>
                <w:szCs w:val="22"/>
              </w:rPr>
              <w:t xml:space="preserve">The Federal Communications Commission </w:t>
            </w:r>
            <w:r w:rsidR="00F438B2">
              <w:rPr>
                <w:sz w:val="22"/>
                <w:szCs w:val="22"/>
              </w:rPr>
              <w:t>yesterday</w:t>
            </w:r>
            <w:r w:rsidR="00411ED4">
              <w:rPr>
                <w:sz w:val="22"/>
                <w:szCs w:val="22"/>
              </w:rPr>
              <w:t xml:space="preserve"> </w:t>
            </w:r>
            <w:r w:rsidR="0094533D" w:rsidRPr="00BC2C19">
              <w:rPr>
                <w:sz w:val="22"/>
                <w:szCs w:val="22"/>
              </w:rPr>
              <w:t xml:space="preserve">adopted </w:t>
            </w:r>
            <w:r w:rsidR="00BC2C19">
              <w:rPr>
                <w:sz w:val="22"/>
                <w:szCs w:val="22"/>
              </w:rPr>
              <w:t>new rules</w:t>
            </w:r>
            <w:r w:rsidR="00BC2C19" w:rsidRPr="00BC2C19">
              <w:rPr>
                <w:sz w:val="22"/>
                <w:szCs w:val="22"/>
              </w:rPr>
              <w:t xml:space="preserve"> to address the long-term needs of wireless microphone users</w:t>
            </w:r>
            <w:r w:rsidR="00411ED4">
              <w:rPr>
                <w:sz w:val="22"/>
                <w:szCs w:val="22"/>
              </w:rPr>
              <w:t xml:space="preserve"> by</w:t>
            </w:r>
            <w:r w:rsidR="002954D3">
              <w:rPr>
                <w:sz w:val="22"/>
                <w:szCs w:val="22"/>
              </w:rPr>
              <w:t xml:space="preserve"> </w:t>
            </w:r>
            <w:r w:rsidR="007118F7">
              <w:rPr>
                <w:sz w:val="22"/>
                <w:szCs w:val="22"/>
              </w:rPr>
              <w:t xml:space="preserve">providing </w:t>
            </w:r>
            <w:r w:rsidR="00BC7E7A">
              <w:rPr>
                <w:sz w:val="22"/>
                <w:szCs w:val="22"/>
              </w:rPr>
              <w:t>for continued access to the 600 MHz band</w:t>
            </w:r>
            <w:r w:rsidR="007118F7" w:rsidRPr="002954D3">
              <w:rPr>
                <w:sz w:val="22"/>
                <w:szCs w:val="22"/>
              </w:rPr>
              <w:t xml:space="preserve"> </w:t>
            </w:r>
            <w:r w:rsidR="007118F7">
              <w:rPr>
                <w:sz w:val="22"/>
                <w:szCs w:val="22"/>
              </w:rPr>
              <w:t xml:space="preserve">and </w:t>
            </w:r>
            <w:r w:rsidR="002954D3" w:rsidRPr="002954D3">
              <w:rPr>
                <w:sz w:val="22"/>
                <w:szCs w:val="22"/>
              </w:rPr>
              <w:t>expand</w:t>
            </w:r>
            <w:r w:rsidR="00411ED4">
              <w:rPr>
                <w:sz w:val="22"/>
                <w:szCs w:val="22"/>
              </w:rPr>
              <w:t>ing</w:t>
            </w:r>
            <w:r w:rsidR="002954D3" w:rsidRPr="002954D3">
              <w:rPr>
                <w:sz w:val="22"/>
                <w:szCs w:val="22"/>
              </w:rPr>
              <w:t xml:space="preserve"> access to other bands</w:t>
            </w:r>
            <w:r w:rsidR="009729E7">
              <w:rPr>
                <w:sz w:val="22"/>
                <w:szCs w:val="22"/>
              </w:rPr>
              <w:t xml:space="preserve">. </w:t>
            </w:r>
          </w:p>
          <w:p w:rsidR="009729E7" w:rsidRDefault="009729E7" w:rsidP="00FF6C3C">
            <w:pPr>
              <w:rPr>
                <w:sz w:val="22"/>
                <w:szCs w:val="22"/>
              </w:rPr>
            </w:pPr>
          </w:p>
          <w:p w:rsidR="00BC2C19" w:rsidRDefault="00BC2C19" w:rsidP="00FF6C3C">
            <w:pPr>
              <w:rPr>
                <w:sz w:val="22"/>
                <w:szCs w:val="22"/>
              </w:rPr>
            </w:pPr>
            <w:r w:rsidRPr="00BC2C19">
              <w:rPr>
                <w:sz w:val="22"/>
                <w:szCs w:val="22"/>
              </w:rPr>
              <w:t xml:space="preserve">Wireless microphones play an important role in enabling broadcasters and other video programming networks to cover breaking news and live sports events. Wireless microphones </w:t>
            </w:r>
            <w:r w:rsidR="00C54BB8">
              <w:rPr>
                <w:sz w:val="22"/>
                <w:szCs w:val="22"/>
              </w:rPr>
              <w:t xml:space="preserve">also </w:t>
            </w:r>
            <w:r w:rsidRPr="00BC2C19">
              <w:rPr>
                <w:sz w:val="22"/>
                <w:szCs w:val="22"/>
              </w:rPr>
              <w:t xml:space="preserve">enhance event productions in a variety of settings – including theaters and music venues, film studios, conventions, corporate events, houses of worship, and Internet webcasts. </w:t>
            </w:r>
          </w:p>
          <w:p w:rsidR="00BC2C19" w:rsidRDefault="00BC2C19" w:rsidP="00FF6C3C">
            <w:pPr>
              <w:rPr>
                <w:sz w:val="22"/>
                <w:szCs w:val="22"/>
              </w:rPr>
            </w:pPr>
          </w:p>
          <w:p w:rsidR="00FF6C3C" w:rsidRDefault="00BC2C19" w:rsidP="00FF6C3C">
            <w:pPr>
              <w:rPr>
                <w:sz w:val="22"/>
                <w:szCs w:val="22"/>
              </w:rPr>
            </w:pPr>
            <w:r w:rsidRPr="00BC2C19">
              <w:rPr>
                <w:sz w:val="22"/>
                <w:szCs w:val="22"/>
              </w:rPr>
              <w:t xml:space="preserve">Most wireless microphones today operate on unused spectrum in the frequencies currently allocated for TV broadcasting. Wireless microphones also operate in other bands, both on a licensed and unlicensed basis, depending on the particular band. Following the incentive auction – with the repacking of the television band and the repurposing of current television spectrum for wireless services – there </w:t>
            </w:r>
            <w:r w:rsidR="00EB1A85">
              <w:rPr>
                <w:sz w:val="22"/>
                <w:szCs w:val="22"/>
              </w:rPr>
              <w:t>may</w:t>
            </w:r>
            <w:r w:rsidRPr="00BC2C19">
              <w:rPr>
                <w:sz w:val="22"/>
                <w:szCs w:val="22"/>
              </w:rPr>
              <w:t xml:space="preserve"> be fewer frequencies in the </w:t>
            </w:r>
            <w:r>
              <w:rPr>
                <w:sz w:val="22"/>
                <w:szCs w:val="22"/>
              </w:rPr>
              <w:t>television</w:t>
            </w:r>
            <w:r w:rsidRPr="00BC2C19">
              <w:rPr>
                <w:sz w:val="22"/>
                <w:szCs w:val="22"/>
              </w:rPr>
              <w:t xml:space="preserve"> band</w:t>
            </w:r>
            <w:r w:rsidR="00C54BB8">
              <w:rPr>
                <w:sz w:val="22"/>
                <w:szCs w:val="22"/>
              </w:rPr>
              <w:t>s</w:t>
            </w:r>
            <w:r w:rsidRPr="00BC2C19">
              <w:rPr>
                <w:sz w:val="22"/>
                <w:szCs w:val="22"/>
              </w:rPr>
              <w:t xml:space="preserve"> available for use by wireless microphone operations. </w:t>
            </w:r>
          </w:p>
          <w:p w:rsidR="00BC2C19" w:rsidRPr="00BC2C19" w:rsidRDefault="00BC2C19" w:rsidP="00FF6C3C">
            <w:pPr>
              <w:rPr>
                <w:sz w:val="22"/>
                <w:szCs w:val="22"/>
              </w:rPr>
            </w:pPr>
          </w:p>
          <w:p w:rsidR="00FF6C3C" w:rsidRPr="00BC2C19" w:rsidRDefault="004D0FBE" w:rsidP="00FF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Specifically, the new rules:</w:t>
            </w:r>
          </w:p>
          <w:p w:rsidR="00FF6C3C" w:rsidRPr="00BC2C19" w:rsidRDefault="00FF6C3C" w:rsidP="00FF6C3C">
            <w:pPr>
              <w:rPr>
                <w:sz w:val="22"/>
                <w:szCs w:val="22"/>
              </w:rPr>
            </w:pPr>
          </w:p>
          <w:p w:rsidR="0068452A" w:rsidRPr="0068452A" w:rsidRDefault="002954D3" w:rsidP="003C5662">
            <w:pPr>
              <w:pStyle w:val="ListParagraph"/>
              <w:widowControl w:val="0"/>
              <w:numPr>
                <w:ilvl w:val="0"/>
                <w:numId w:val="4"/>
              </w:numPr>
              <w:spacing w:after="240"/>
              <w:contextualSpacing w:val="0"/>
              <w:rPr>
                <w:rFonts w:eastAsia="Calibri"/>
                <w:sz w:val="22"/>
                <w:szCs w:val="22"/>
              </w:rPr>
            </w:pPr>
            <w:r w:rsidRPr="0068452A">
              <w:rPr>
                <w:sz w:val="22"/>
                <w:szCs w:val="22"/>
              </w:rPr>
              <w:t>P</w:t>
            </w:r>
            <w:r w:rsidR="004D0FBE" w:rsidRPr="0068452A">
              <w:rPr>
                <w:sz w:val="22"/>
                <w:szCs w:val="22"/>
              </w:rPr>
              <w:t>rovide</w:t>
            </w:r>
            <w:r w:rsidRPr="0068452A">
              <w:rPr>
                <w:sz w:val="22"/>
                <w:szCs w:val="22"/>
              </w:rPr>
              <w:t xml:space="preserve"> more opportunities for licensed use in the remaining TV bands</w:t>
            </w:r>
            <w:r w:rsidR="00411ED4" w:rsidRPr="0068452A">
              <w:rPr>
                <w:sz w:val="22"/>
                <w:szCs w:val="22"/>
              </w:rPr>
              <w:t xml:space="preserve"> by</w:t>
            </w:r>
            <w:r w:rsidR="0068452A" w:rsidRPr="0068452A">
              <w:rPr>
                <w:sz w:val="22"/>
                <w:szCs w:val="22"/>
              </w:rPr>
              <w:t xml:space="preserve"> </w:t>
            </w:r>
            <w:r w:rsidR="0068452A">
              <w:rPr>
                <w:sz w:val="22"/>
                <w:szCs w:val="22"/>
              </w:rPr>
              <w:t>a</w:t>
            </w:r>
            <w:r w:rsidRPr="0068452A">
              <w:rPr>
                <w:sz w:val="22"/>
                <w:szCs w:val="22"/>
              </w:rPr>
              <w:t>llowing greater use of the VHF channels</w:t>
            </w:r>
            <w:r w:rsidR="0068452A">
              <w:rPr>
                <w:sz w:val="22"/>
                <w:szCs w:val="22"/>
              </w:rPr>
              <w:t xml:space="preserve"> and</w:t>
            </w:r>
            <w:r w:rsidRPr="0068452A">
              <w:rPr>
                <w:sz w:val="22"/>
                <w:szCs w:val="22"/>
              </w:rPr>
              <w:t xml:space="preserve"> permitting</w:t>
            </w:r>
            <w:r w:rsidRPr="0068452A">
              <w:rPr>
                <w:rFonts w:eastAsia="Calibri"/>
                <w:sz w:val="22"/>
                <w:szCs w:val="22"/>
              </w:rPr>
              <w:t xml:space="preserve"> co-channel operations inside DTV contour</w:t>
            </w:r>
            <w:r w:rsidR="00C54BB8">
              <w:rPr>
                <w:rFonts w:eastAsia="Calibri"/>
                <w:sz w:val="22"/>
                <w:szCs w:val="22"/>
              </w:rPr>
              <w:t>s</w:t>
            </w:r>
            <w:r w:rsidRPr="0068452A">
              <w:rPr>
                <w:rFonts w:eastAsia="Calibri"/>
                <w:sz w:val="22"/>
                <w:szCs w:val="22"/>
              </w:rPr>
              <w:t xml:space="preserve"> without coordination if TV signals fall below specified threshold</w:t>
            </w:r>
            <w:r w:rsidR="0068452A" w:rsidRPr="0068452A">
              <w:rPr>
                <w:rFonts w:eastAsia="Calibri"/>
                <w:sz w:val="22"/>
                <w:szCs w:val="22"/>
              </w:rPr>
              <w:t>;</w:t>
            </w:r>
          </w:p>
          <w:p w:rsidR="002954D3" w:rsidRPr="002954D3" w:rsidRDefault="0068452A" w:rsidP="003C5662">
            <w:pPr>
              <w:pStyle w:val="ListParagraph"/>
              <w:widowControl w:val="0"/>
              <w:numPr>
                <w:ilvl w:val="0"/>
                <w:numId w:val="4"/>
              </w:numPr>
              <w:spacing w:after="240"/>
              <w:contextualSpacing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</w:t>
            </w:r>
            <w:r w:rsidR="002954D3" w:rsidRPr="002954D3">
              <w:rPr>
                <w:rFonts w:eastAsia="Calibri"/>
                <w:sz w:val="22"/>
                <w:szCs w:val="22"/>
              </w:rPr>
              <w:t>xpand eligibility</w:t>
            </w:r>
            <w:r w:rsidR="00B068EE">
              <w:rPr>
                <w:rFonts w:eastAsia="Calibri"/>
                <w:sz w:val="22"/>
                <w:szCs w:val="22"/>
              </w:rPr>
              <w:t xml:space="preserve"> for licensed use of the 4-megahertz portion of the 600 MHz duplex gap</w:t>
            </w:r>
            <w:r w:rsidR="002954D3" w:rsidRPr="002954D3">
              <w:rPr>
                <w:rFonts w:eastAsia="Calibri"/>
                <w:sz w:val="22"/>
                <w:szCs w:val="22"/>
              </w:rPr>
              <w:t xml:space="preserve"> to </w:t>
            </w:r>
            <w:r w:rsidR="00B068EE">
              <w:rPr>
                <w:rFonts w:eastAsia="Calibri"/>
                <w:sz w:val="22"/>
                <w:szCs w:val="22"/>
              </w:rPr>
              <w:t xml:space="preserve">include </w:t>
            </w:r>
            <w:r w:rsidR="002954D3" w:rsidRPr="002954D3">
              <w:rPr>
                <w:rFonts w:eastAsia="Calibri"/>
                <w:sz w:val="22"/>
                <w:szCs w:val="22"/>
              </w:rPr>
              <w:t>all licensed users in the TV bands (</w:t>
            </w:r>
            <w:r w:rsidR="002954D3" w:rsidRPr="002954D3">
              <w:rPr>
                <w:sz w:val="22"/>
                <w:szCs w:val="22"/>
              </w:rPr>
              <w:t>broadcasters, cable programming networks, movie studios, and operators at major sporting/concerts/theater venues)</w:t>
            </w:r>
            <w:r w:rsidR="002954D3">
              <w:rPr>
                <w:sz w:val="22"/>
                <w:szCs w:val="22"/>
              </w:rPr>
              <w:t>;</w:t>
            </w:r>
            <w:r w:rsidR="007118F7">
              <w:rPr>
                <w:sz w:val="22"/>
                <w:szCs w:val="22"/>
              </w:rPr>
              <w:t xml:space="preserve"> and</w:t>
            </w:r>
          </w:p>
          <w:p w:rsidR="002954D3" w:rsidRPr="002954D3" w:rsidRDefault="004D0FBE" w:rsidP="002954D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="002954D3" w:rsidRPr="002954D3">
              <w:rPr>
                <w:sz w:val="22"/>
                <w:szCs w:val="22"/>
              </w:rPr>
              <w:t xml:space="preserve"> new opportunities </w:t>
            </w:r>
            <w:r w:rsidR="002954D3">
              <w:rPr>
                <w:sz w:val="22"/>
                <w:szCs w:val="22"/>
              </w:rPr>
              <w:t xml:space="preserve">for </w:t>
            </w:r>
            <w:r w:rsidR="008F2B5B">
              <w:rPr>
                <w:sz w:val="22"/>
                <w:szCs w:val="22"/>
              </w:rPr>
              <w:t xml:space="preserve">these </w:t>
            </w:r>
            <w:r w:rsidR="002954D3">
              <w:rPr>
                <w:sz w:val="22"/>
                <w:szCs w:val="22"/>
              </w:rPr>
              <w:t xml:space="preserve">licensed wireless microphones to operate </w:t>
            </w:r>
            <w:r w:rsidR="00B068EE">
              <w:rPr>
                <w:sz w:val="22"/>
                <w:szCs w:val="22"/>
              </w:rPr>
              <w:t xml:space="preserve">on a secondary basis </w:t>
            </w:r>
            <w:r w:rsidR="002954D3" w:rsidRPr="002954D3">
              <w:rPr>
                <w:sz w:val="22"/>
                <w:szCs w:val="22"/>
              </w:rPr>
              <w:t xml:space="preserve">in three </w:t>
            </w:r>
            <w:r w:rsidR="002954D3">
              <w:rPr>
                <w:sz w:val="22"/>
                <w:szCs w:val="22"/>
              </w:rPr>
              <w:t>additional spectrum bands, consistent with the Commission’s spectrum management goals</w:t>
            </w:r>
            <w:r w:rsidR="00C116F9">
              <w:rPr>
                <w:sz w:val="22"/>
                <w:szCs w:val="22"/>
              </w:rPr>
              <w:t xml:space="preserve"> </w:t>
            </w:r>
            <w:r w:rsidR="002954D3" w:rsidRPr="002954D3">
              <w:rPr>
                <w:sz w:val="22"/>
                <w:szCs w:val="22"/>
              </w:rPr>
              <w:t xml:space="preserve">– (1) access to </w:t>
            </w:r>
            <w:r w:rsidR="00B068EE">
              <w:rPr>
                <w:sz w:val="22"/>
                <w:szCs w:val="22"/>
              </w:rPr>
              <w:t>significantly mo</w:t>
            </w:r>
            <w:r w:rsidR="00B6594E">
              <w:rPr>
                <w:sz w:val="22"/>
                <w:szCs w:val="22"/>
              </w:rPr>
              <w:t>re spectrum in the 900 MHz band</w:t>
            </w:r>
            <w:r w:rsidR="002954D3" w:rsidRPr="002954D3">
              <w:rPr>
                <w:sz w:val="22"/>
                <w:szCs w:val="22"/>
              </w:rPr>
              <w:t>; (2) access to a portion of the 1435-1525 MHz band</w:t>
            </w:r>
            <w:r w:rsidR="00B068EE">
              <w:rPr>
                <w:sz w:val="22"/>
                <w:szCs w:val="22"/>
              </w:rPr>
              <w:t xml:space="preserve"> at specified times and places</w:t>
            </w:r>
            <w:r w:rsidR="002954D3" w:rsidRPr="002954D3">
              <w:rPr>
                <w:sz w:val="22"/>
                <w:szCs w:val="22"/>
              </w:rPr>
              <w:t>, subject to coordination requirements</w:t>
            </w:r>
            <w:r w:rsidR="00B068EE">
              <w:rPr>
                <w:sz w:val="22"/>
                <w:szCs w:val="22"/>
              </w:rPr>
              <w:t xml:space="preserve"> that protect critical aeronautical mobile telemetry</w:t>
            </w:r>
            <w:r w:rsidR="002954D3" w:rsidRPr="002954D3">
              <w:rPr>
                <w:sz w:val="22"/>
                <w:szCs w:val="22"/>
              </w:rPr>
              <w:t>; and (3) access to por</w:t>
            </w:r>
            <w:r w:rsidR="0046777B">
              <w:rPr>
                <w:sz w:val="22"/>
                <w:szCs w:val="22"/>
              </w:rPr>
              <w:t>tions of the 68</w:t>
            </w:r>
            <w:r w:rsidR="002954D3">
              <w:rPr>
                <w:sz w:val="22"/>
                <w:szCs w:val="22"/>
              </w:rPr>
              <w:t xml:space="preserve">75-7125 MHz band. </w:t>
            </w:r>
          </w:p>
          <w:p w:rsidR="009A1CA2" w:rsidRDefault="009A1CA2" w:rsidP="00FF6C3C">
            <w:pPr>
              <w:rPr>
                <w:sz w:val="22"/>
                <w:szCs w:val="22"/>
              </w:rPr>
            </w:pPr>
          </w:p>
          <w:p w:rsidR="009729E7" w:rsidRDefault="009729E7" w:rsidP="00FF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Together with the</w:t>
            </w:r>
            <w:r w:rsidR="00BC7E7A">
              <w:rPr>
                <w:sz w:val="22"/>
                <w:szCs w:val="22"/>
              </w:rPr>
              <w:t xml:space="preserve"> rules adopted by the</w:t>
            </w:r>
            <w:r>
              <w:rPr>
                <w:sz w:val="22"/>
                <w:szCs w:val="22"/>
              </w:rPr>
              <w:t xml:space="preserve"> Commission</w:t>
            </w:r>
            <w:r w:rsidR="00747EBF">
              <w:rPr>
                <w:sz w:val="22"/>
                <w:szCs w:val="22"/>
              </w:rPr>
              <w:t xml:space="preserve"> </w:t>
            </w:r>
            <w:r w:rsidR="00BC7E7A">
              <w:rPr>
                <w:sz w:val="22"/>
                <w:szCs w:val="22"/>
              </w:rPr>
              <w:t xml:space="preserve">today regarding unlicensed use of the 600 MHz band </w:t>
            </w:r>
            <w:r>
              <w:rPr>
                <w:sz w:val="22"/>
                <w:szCs w:val="22"/>
              </w:rPr>
              <w:t xml:space="preserve">these new rules </w:t>
            </w:r>
            <w:r w:rsidR="00BC7E7A">
              <w:rPr>
                <w:sz w:val="22"/>
                <w:szCs w:val="22"/>
              </w:rPr>
              <w:t xml:space="preserve">provide for efficient sharing of these </w:t>
            </w:r>
            <w:r w:rsidR="00747EBF">
              <w:rPr>
                <w:sz w:val="22"/>
                <w:szCs w:val="22"/>
              </w:rPr>
              <w:t>bands to</w:t>
            </w:r>
            <w:r w:rsidR="00BC7E7A">
              <w:rPr>
                <w:sz w:val="22"/>
                <w:szCs w:val="22"/>
              </w:rPr>
              <w:t xml:space="preserve"> accommodate various</w:t>
            </w:r>
            <w:r>
              <w:rPr>
                <w:sz w:val="22"/>
                <w:szCs w:val="22"/>
              </w:rPr>
              <w:t xml:space="preserve"> wireless microphone</w:t>
            </w:r>
            <w:r w:rsidR="00BC7E7A">
              <w:rPr>
                <w:sz w:val="22"/>
                <w:szCs w:val="22"/>
              </w:rPr>
              <w:t xml:space="preserve"> users, while continuing to protect the licensed users of each of the bands.    </w:t>
            </w:r>
            <w:r>
              <w:rPr>
                <w:sz w:val="22"/>
                <w:szCs w:val="22"/>
              </w:rPr>
              <w:t xml:space="preserve"> </w:t>
            </w:r>
          </w:p>
          <w:p w:rsidR="009729E7" w:rsidRPr="00BC2C19" w:rsidRDefault="009729E7" w:rsidP="00FF6C3C">
            <w:pPr>
              <w:rPr>
                <w:sz w:val="22"/>
                <w:szCs w:val="22"/>
              </w:rPr>
            </w:pPr>
          </w:p>
          <w:p w:rsidR="00933E99" w:rsidRDefault="00FB6EF2" w:rsidP="00933E99">
            <w:pPr>
              <w:rPr>
                <w:sz w:val="22"/>
                <w:szCs w:val="22"/>
              </w:rPr>
            </w:pPr>
            <w:r w:rsidRPr="000E644D">
              <w:rPr>
                <w:sz w:val="22"/>
                <w:szCs w:val="22"/>
              </w:rPr>
              <w:t>Action by the Commission August 5, 2015 by</w:t>
            </w:r>
            <w:r>
              <w:rPr>
                <w:sz w:val="22"/>
                <w:szCs w:val="22"/>
              </w:rPr>
              <w:t xml:space="preserve"> Report &amp;</w:t>
            </w:r>
            <w:r w:rsidRPr="000E644D">
              <w:rPr>
                <w:sz w:val="22"/>
                <w:szCs w:val="22"/>
              </w:rPr>
              <w:t xml:space="preserve"> Order (FCC </w:t>
            </w:r>
            <w:r>
              <w:rPr>
                <w:sz w:val="22"/>
                <w:szCs w:val="22"/>
              </w:rPr>
              <w:t>15-100</w:t>
            </w:r>
            <w:r w:rsidRPr="000E644D">
              <w:rPr>
                <w:sz w:val="22"/>
                <w:szCs w:val="22"/>
              </w:rPr>
              <w:t xml:space="preserve">). Chairman Wheeler, Commissioners </w:t>
            </w:r>
            <w:r>
              <w:rPr>
                <w:sz w:val="22"/>
                <w:szCs w:val="22"/>
              </w:rPr>
              <w:t xml:space="preserve">Clyburn, </w:t>
            </w:r>
            <w:r w:rsidRPr="000E644D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>, and Pai; Commissioner O’Rielly dissenting in part.</w:t>
            </w:r>
            <w:r w:rsidRPr="000E644D">
              <w:rPr>
                <w:sz w:val="22"/>
                <w:szCs w:val="22"/>
              </w:rPr>
              <w:t xml:space="preserve"> </w:t>
            </w:r>
          </w:p>
          <w:p w:rsidR="00BD19E8" w:rsidRPr="00C72279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C72279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52452E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473233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97" w:rsidRDefault="00D31E97" w:rsidP="00D31E97">
      <w:r>
        <w:separator/>
      </w:r>
    </w:p>
  </w:endnote>
  <w:endnote w:type="continuationSeparator" w:id="0">
    <w:p w:rsidR="00D31E97" w:rsidRDefault="00D31E97" w:rsidP="00D3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97" w:rsidRDefault="00D31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97" w:rsidRDefault="00D31E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97" w:rsidRDefault="00D31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97" w:rsidRDefault="00D31E97" w:rsidP="00D31E97">
      <w:r>
        <w:separator/>
      </w:r>
    </w:p>
  </w:footnote>
  <w:footnote w:type="continuationSeparator" w:id="0">
    <w:p w:rsidR="00D31E97" w:rsidRDefault="00D31E97" w:rsidP="00D3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97" w:rsidRDefault="00D31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97" w:rsidRDefault="00D31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97" w:rsidRDefault="00D31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5DF"/>
    <w:multiLevelType w:val="hybridMultilevel"/>
    <w:tmpl w:val="72B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7BB45CC"/>
    <w:multiLevelType w:val="hybridMultilevel"/>
    <w:tmpl w:val="5F70BA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58A4"/>
    <w:multiLevelType w:val="hybridMultilevel"/>
    <w:tmpl w:val="C55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2925"/>
    <w:multiLevelType w:val="singleLevel"/>
    <w:tmpl w:val="77CC563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2769F"/>
    <w:rsid w:val="000311FC"/>
    <w:rsid w:val="00040127"/>
    <w:rsid w:val="000462F2"/>
    <w:rsid w:val="00061789"/>
    <w:rsid w:val="00064D11"/>
    <w:rsid w:val="00073C01"/>
    <w:rsid w:val="00081232"/>
    <w:rsid w:val="00091E65"/>
    <w:rsid w:val="00096D4A"/>
    <w:rsid w:val="000A38EA"/>
    <w:rsid w:val="000A463C"/>
    <w:rsid w:val="000A5CF6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5D8C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954D3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C5662"/>
    <w:rsid w:val="003E42FC"/>
    <w:rsid w:val="003E5991"/>
    <w:rsid w:val="003F344A"/>
    <w:rsid w:val="00403FF0"/>
    <w:rsid w:val="00411ED4"/>
    <w:rsid w:val="0042046D"/>
    <w:rsid w:val="00420D6D"/>
    <w:rsid w:val="00425AEF"/>
    <w:rsid w:val="00426518"/>
    <w:rsid w:val="00427B06"/>
    <w:rsid w:val="00441F59"/>
    <w:rsid w:val="00444E07"/>
    <w:rsid w:val="00444FA9"/>
    <w:rsid w:val="00453026"/>
    <w:rsid w:val="0046777B"/>
    <w:rsid w:val="00473233"/>
    <w:rsid w:val="00473E9C"/>
    <w:rsid w:val="00480099"/>
    <w:rsid w:val="00497858"/>
    <w:rsid w:val="004B4FEA"/>
    <w:rsid w:val="004C0ADA"/>
    <w:rsid w:val="004C433E"/>
    <w:rsid w:val="004C4512"/>
    <w:rsid w:val="004C4F36"/>
    <w:rsid w:val="004D0FBE"/>
    <w:rsid w:val="004D3D85"/>
    <w:rsid w:val="004E2BD8"/>
    <w:rsid w:val="004E7458"/>
    <w:rsid w:val="004F0F1F"/>
    <w:rsid w:val="005022AA"/>
    <w:rsid w:val="00504845"/>
    <w:rsid w:val="0050757F"/>
    <w:rsid w:val="00516AD2"/>
    <w:rsid w:val="0052452E"/>
    <w:rsid w:val="00545DAE"/>
    <w:rsid w:val="00571B83"/>
    <w:rsid w:val="00575A00"/>
    <w:rsid w:val="005812EB"/>
    <w:rsid w:val="005832AB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07D65"/>
    <w:rsid w:val="00613498"/>
    <w:rsid w:val="00617B94"/>
    <w:rsid w:val="00620BED"/>
    <w:rsid w:val="00627FBE"/>
    <w:rsid w:val="006415B4"/>
    <w:rsid w:val="00644E3D"/>
    <w:rsid w:val="00651B9E"/>
    <w:rsid w:val="00652019"/>
    <w:rsid w:val="00657EC9"/>
    <w:rsid w:val="00665633"/>
    <w:rsid w:val="00674C86"/>
    <w:rsid w:val="0068015E"/>
    <w:rsid w:val="0068452A"/>
    <w:rsid w:val="006861AB"/>
    <w:rsid w:val="00686B89"/>
    <w:rsid w:val="006A1FF5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C3F"/>
    <w:rsid w:val="007118F7"/>
    <w:rsid w:val="007167DD"/>
    <w:rsid w:val="0072478B"/>
    <w:rsid w:val="0073414D"/>
    <w:rsid w:val="00747EBF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35356"/>
    <w:rsid w:val="00856F82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6BF5"/>
    <w:rsid w:val="008F1609"/>
    <w:rsid w:val="008F2B5B"/>
    <w:rsid w:val="008F78D8"/>
    <w:rsid w:val="009003C6"/>
    <w:rsid w:val="00933E99"/>
    <w:rsid w:val="0094533D"/>
    <w:rsid w:val="00961620"/>
    <w:rsid w:val="009729E7"/>
    <w:rsid w:val="009734B6"/>
    <w:rsid w:val="009773F5"/>
    <w:rsid w:val="00977CFB"/>
    <w:rsid w:val="0098096F"/>
    <w:rsid w:val="0098437A"/>
    <w:rsid w:val="00986C92"/>
    <w:rsid w:val="00993C47"/>
    <w:rsid w:val="009A1CA2"/>
    <w:rsid w:val="009B4B16"/>
    <w:rsid w:val="009E54A1"/>
    <w:rsid w:val="009F4E25"/>
    <w:rsid w:val="009F5B1F"/>
    <w:rsid w:val="00A26C2B"/>
    <w:rsid w:val="00A35DFD"/>
    <w:rsid w:val="00A42BBD"/>
    <w:rsid w:val="00A702DF"/>
    <w:rsid w:val="00A775A3"/>
    <w:rsid w:val="00A81741"/>
    <w:rsid w:val="00A81B5B"/>
    <w:rsid w:val="00A82FAD"/>
    <w:rsid w:val="00A95690"/>
    <w:rsid w:val="00A9673A"/>
    <w:rsid w:val="00A96EF2"/>
    <w:rsid w:val="00AA5C35"/>
    <w:rsid w:val="00AA5ED9"/>
    <w:rsid w:val="00AC0A38"/>
    <w:rsid w:val="00AC4E0E"/>
    <w:rsid w:val="00AC517B"/>
    <w:rsid w:val="00AD0D19"/>
    <w:rsid w:val="00AE1412"/>
    <w:rsid w:val="00AF051B"/>
    <w:rsid w:val="00B037A2"/>
    <w:rsid w:val="00B068EE"/>
    <w:rsid w:val="00B31870"/>
    <w:rsid w:val="00B320B8"/>
    <w:rsid w:val="00B35EE2"/>
    <w:rsid w:val="00B36DEF"/>
    <w:rsid w:val="00B57131"/>
    <w:rsid w:val="00B62F2C"/>
    <w:rsid w:val="00B6594E"/>
    <w:rsid w:val="00B727C9"/>
    <w:rsid w:val="00B735C8"/>
    <w:rsid w:val="00B76A63"/>
    <w:rsid w:val="00B775A0"/>
    <w:rsid w:val="00B817FA"/>
    <w:rsid w:val="00BA6350"/>
    <w:rsid w:val="00BB4E29"/>
    <w:rsid w:val="00BB74C9"/>
    <w:rsid w:val="00BC2C19"/>
    <w:rsid w:val="00BC3AB6"/>
    <w:rsid w:val="00BC7E7A"/>
    <w:rsid w:val="00BD19E8"/>
    <w:rsid w:val="00BD4273"/>
    <w:rsid w:val="00C0736D"/>
    <w:rsid w:val="00C116F9"/>
    <w:rsid w:val="00C432E4"/>
    <w:rsid w:val="00C54BB8"/>
    <w:rsid w:val="00C70C26"/>
    <w:rsid w:val="00C72001"/>
    <w:rsid w:val="00C72279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E97"/>
    <w:rsid w:val="00D34C29"/>
    <w:rsid w:val="00D46CB1"/>
    <w:rsid w:val="00D723F0"/>
    <w:rsid w:val="00D8133F"/>
    <w:rsid w:val="00D95B05"/>
    <w:rsid w:val="00D97E2D"/>
    <w:rsid w:val="00DA103D"/>
    <w:rsid w:val="00DA45D3"/>
    <w:rsid w:val="00DA4772"/>
    <w:rsid w:val="00DB024C"/>
    <w:rsid w:val="00DB2667"/>
    <w:rsid w:val="00DB67B7"/>
    <w:rsid w:val="00DC15A9"/>
    <w:rsid w:val="00DC40AA"/>
    <w:rsid w:val="00DD1750"/>
    <w:rsid w:val="00DF6CB6"/>
    <w:rsid w:val="00E349AA"/>
    <w:rsid w:val="00E41390"/>
    <w:rsid w:val="00E41CA0"/>
    <w:rsid w:val="00E4366B"/>
    <w:rsid w:val="00E50A4A"/>
    <w:rsid w:val="00E52EC8"/>
    <w:rsid w:val="00E606DE"/>
    <w:rsid w:val="00E620BC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1A85"/>
    <w:rsid w:val="00EE0E90"/>
    <w:rsid w:val="00EF3BCA"/>
    <w:rsid w:val="00F01B0D"/>
    <w:rsid w:val="00F068D1"/>
    <w:rsid w:val="00F1238F"/>
    <w:rsid w:val="00F16485"/>
    <w:rsid w:val="00F228ED"/>
    <w:rsid w:val="00F26E31"/>
    <w:rsid w:val="00F27C6C"/>
    <w:rsid w:val="00F34A8D"/>
    <w:rsid w:val="00F438B2"/>
    <w:rsid w:val="00F50D25"/>
    <w:rsid w:val="00F535D8"/>
    <w:rsid w:val="00F61155"/>
    <w:rsid w:val="00F708E3"/>
    <w:rsid w:val="00F76561"/>
    <w:rsid w:val="00F84736"/>
    <w:rsid w:val="00FB6EF2"/>
    <w:rsid w:val="00FC2A45"/>
    <w:rsid w:val="00FC6C29"/>
    <w:rsid w:val="00FD1BBB"/>
    <w:rsid w:val="00FD5111"/>
    <w:rsid w:val="00FD58E0"/>
    <w:rsid w:val="00FE0198"/>
    <w:rsid w:val="00FE3A7C"/>
    <w:rsid w:val="00FF1C0B"/>
    <w:rsid w:val="00FF232D"/>
    <w:rsid w:val="00FF6C3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933E99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933E99"/>
    <w:rPr>
      <w:sz w:val="22"/>
      <w:szCs w:val="22"/>
    </w:rPr>
  </w:style>
  <w:style w:type="paragraph" w:styleId="BodyText">
    <w:name w:val="Body Text"/>
    <w:basedOn w:val="Normal"/>
    <w:link w:val="BodyTextChar"/>
    <w:rsid w:val="00A42BBD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42BBD"/>
    <w:rPr>
      <w:sz w:val="22"/>
    </w:rPr>
  </w:style>
  <w:style w:type="paragraph" w:customStyle="1" w:styleId="ParaNum">
    <w:name w:val="ParaNum"/>
    <w:basedOn w:val="Normal"/>
    <w:link w:val="ParaNumChar1"/>
    <w:rsid w:val="00A42BBD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A42BBD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B775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22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14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1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4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412"/>
    <w:rPr>
      <w:b/>
      <w:bCs/>
    </w:rPr>
  </w:style>
  <w:style w:type="paragraph" w:styleId="Header">
    <w:name w:val="header"/>
    <w:basedOn w:val="Normal"/>
    <w:link w:val="HeaderChar"/>
    <w:unhideWhenUsed/>
    <w:rsid w:val="00D31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E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1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E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933E99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933E99"/>
    <w:rPr>
      <w:sz w:val="22"/>
      <w:szCs w:val="22"/>
    </w:rPr>
  </w:style>
  <w:style w:type="paragraph" w:styleId="BodyText">
    <w:name w:val="Body Text"/>
    <w:basedOn w:val="Normal"/>
    <w:link w:val="BodyTextChar"/>
    <w:rsid w:val="00A42BBD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42BBD"/>
    <w:rPr>
      <w:sz w:val="22"/>
    </w:rPr>
  </w:style>
  <w:style w:type="paragraph" w:customStyle="1" w:styleId="ParaNum">
    <w:name w:val="ParaNum"/>
    <w:basedOn w:val="Normal"/>
    <w:link w:val="ParaNumChar1"/>
    <w:rsid w:val="00A42BBD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A42BBD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B775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22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14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1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4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412"/>
    <w:rPr>
      <w:b/>
      <w:bCs/>
    </w:rPr>
  </w:style>
  <w:style w:type="paragraph" w:styleId="Header">
    <w:name w:val="header"/>
    <w:basedOn w:val="Normal"/>
    <w:link w:val="HeaderChar"/>
    <w:unhideWhenUsed/>
    <w:rsid w:val="00D31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E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1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2608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2015-08-06T15:03:00Z</cp:lastPrinted>
  <dcterms:created xsi:type="dcterms:W3CDTF">2015-08-06T15:13:00Z</dcterms:created>
  <dcterms:modified xsi:type="dcterms:W3CDTF">2015-08-06T15:13:00Z</dcterms:modified>
  <cp:category> </cp:category>
  <cp:contentStatus> </cp:contentStatus>
</cp:coreProperties>
</file>