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093CFB" w:rsidP="006A7D75">
            <w:pPr>
              <w:jc w:val="center"/>
              <w:rPr>
                <w:b/>
              </w:rPr>
            </w:pPr>
            <w:bookmarkStart w:id="0" w:name="_GoBack"/>
            <w:bookmarkEnd w:id="0"/>
            <w:r>
              <w:rPr>
                <w:b/>
                <w:i/>
                <w:noProof/>
                <w:sz w:val="28"/>
                <w:szCs w:val="28"/>
              </w:rPr>
              <w:drawing>
                <wp:inline distT="0" distB="0" distL="0" distR="0" wp14:anchorId="595CD3AB" wp14:editId="59311C7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FC679D" w:rsidRDefault="007A44F8" w:rsidP="00BB4E29">
            <w:pPr>
              <w:rPr>
                <w:b/>
                <w:bCs/>
                <w:sz w:val="22"/>
                <w:szCs w:val="22"/>
              </w:rPr>
            </w:pPr>
            <w:r w:rsidRPr="00FC679D">
              <w:rPr>
                <w:b/>
                <w:bCs/>
                <w:sz w:val="22"/>
                <w:szCs w:val="22"/>
              </w:rPr>
              <w:t xml:space="preserve">Media Contact: </w:t>
            </w:r>
          </w:p>
          <w:p w:rsidR="007A44F8" w:rsidRPr="00FC679D" w:rsidRDefault="001B476C" w:rsidP="00BB4E29">
            <w:pPr>
              <w:rPr>
                <w:bCs/>
                <w:sz w:val="22"/>
                <w:szCs w:val="22"/>
              </w:rPr>
            </w:pPr>
            <w:r w:rsidRPr="00FC679D">
              <w:rPr>
                <w:bCs/>
                <w:sz w:val="22"/>
                <w:szCs w:val="22"/>
              </w:rPr>
              <w:t>Kim Hart</w:t>
            </w:r>
            <w:r w:rsidR="007A44F8" w:rsidRPr="00FC679D">
              <w:rPr>
                <w:bCs/>
                <w:sz w:val="22"/>
                <w:szCs w:val="22"/>
              </w:rPr>
              <w:t xml:space="preserve">, </w:t>
            </w:r>
            <w:r w:rsidR="00AC0A38" w:rsidRPr="00FC679D">
              <w:rPr>
                <w:bCs/>
                <w:sz w:val="22"/>
                <w:szCs w:val="22"/>
              </w:rPr>
              <w:t>(</w:t>
            </w:r>
            <w:r w:rsidR="007A44F8" w:rsidRPr="00FC679D">
              <w:rPr>
                <w:bCs/>
                <w:sz w:val="22"/>
                <w:szCs w:val="22"/>
              </w:rPr>
              <w:t>202</w:t>
            </w:r>
            <w:r w:rsidR="00AC0A38" w:rsidRPr="00FC679D">
              <w:rPr>
                <w:bCs/>
                <w:sz w:val="22"/>
                <w:szCs w:val="22"/>
              </w:rPr>
              <w:t xml:space="preserve">) </w:t>
            </w:r>
            <w:r w:rsidR="007A44F8" w:rsidRPr="00FC679D">
              <w:rPr>
                <w:bCs/>
                <w:sz w:val="22"/>
                <w:szCs w:val="22"/>
              </w:rPr>
              <w:t>418-</w:t>
            </w:r>
            <w:r w:rsidRPr="00FC679D">
              <w:rPr>
                <w:bCs/>
                <w:sz w:val="22"/>
                <w:szCs w:val="22"/>
              </w:rPr>
              <w:t>8191</w:t>
            </w:r>
          </w:p>
          <w:p w:rsidR="00FF232D" w:rsidRPr="00FC679D" w:rsidRDefault="001B476C" w:rsidP="00BB4E29">
            <w:pPr>
              <w:rPr>
                <w:bCs/>
                <w:sz w:val="22"/>
                <w:szCs w:val="22"/>
              </w:rPr>
            </w:pPr>
            <w:r w:rsidRPr="00FC679D">
              <w:rPr>
                <w:bCs/>
                <w:sz w:val="22"/>
                <w:szCs w:val="22"/>
              </w:rPr>
              <w:t>Kim.hart</w:t>
            </w:r>
            <w:r w:rsidR="007A44F8" w:rsidRPr="00FC679D">
              <w:rPr>
                <w:bCs/>
                <w:sz w:val="22"/>
                <w:szCs w:val="22"/>
              </w:rPr>
              <w:t>@fcc.gov</w:t>
            </w:r>
          </w:p>
          <w:p w:rsidR="007A44F8" w:rsidRPr="00FC679D" w:rsidRDefault="007A44F8" w:rsidP="00BB4E29">
            <w:pPr>
              <w:rPr>
                <w:bCs/>
                <w:sz w:val="22"/>
                <w:szCs w:val="22"/>
              </w:rPr>
            </w:pPr>
          </w:p>
          <w:p w:rsidR="007A44F8" w:rsidRPr="00FC679D" w:rsidRDefault="007A44F8" w:rsidP="00BB4E29">
            <w:pPr>
              <w:rPr>
                <w:b/>
                <w:sz w:val="22"/>
                <w:szCs w:val="22"/>
              </w:rPr>
            </w:pPr>
            <w:r w:rsidRPr="00FC679D">
              <w:rPr>
                <w:b/>
                <w:sz w:val="22"/>
                <w:szCs w:val="22"/>
              </w:rPr>
              <w:t>For Immediate Release</w:t>
            </w:r>
          </w:p>
          <w:p w:rsidR="007A44F8" w:rsidRPr="00FC679D" w:rsidRDefault="007A44F8" w:rsidP="00BB4E29">
            <w:pPr>
              <w:jc w:val="center"/>
              <w:rPr>
                <w:b/>
                <w:bCs/>
                <w:sz w:val="22"/>
                <w:szCs w:val="22"/>
              </w:rPr>
            </w:pPr>
          </w:p>
          <w:p w:rsidR="000E049E" w:rsidRPr="00FC679D" w:rsidRDefault="001B476C" w:rsidP="00040127">
            <w:pPr>
              <w:tabs>
                <w:tab w:val="left" w:pos="8625"/>
              </w:tabs>
              <w:jc w:val="center"/>
              <w:rPr>
                <w:b/>
                <w:bCs/>
                <w:sz w:val="22"/>
                <w:szCs w:val="22"/>
              </w:rPr>
            </w:pPr>
            <w:r w:rsidRPr="00FC679D">
              <w:rPr>
                <w:b/>
                <w:bCs/>
                <w:sz w:val="22"/>
                <w:szCs w:val="22"/>
              </w:rPr>
              <w:t>STATEMENT OF F</w:t>
            </w:r>
            <w:r w:rsidR="00093CFB" w:rsidRPr="00FC679D">
              <w:rPr>
                <w:b/>
                <w:bCs/>
                <w:sz w:val="22"/>
                <w:szCs w:val="22"/>
              </w:rPr>
              <w:t>CC</w:t>
            </w:r>
            <w:r w:rsidR="00FC679D" w:rsidRPr="00FC679D">
              <w:rPr>
                <w:b/>
                <w:bCs/>
                <w:sz w:val="22"/>
                <w:szCs w:val="22"/>
              </w:rPr>
              <w:t xml:space="preserve"> CHAIRMAN TOM WHEELER ON </w:t>
            </w:r>
            <w:r w:rsidR="009114AD">
              <w:rPr>
                <w:b/>
                <w:bCs/>
                <w:sz w:val="22"/>
                <w:szCs w:val="22"/>
              </w:rPr>
              <w:t>RECOMMENDATION</w:t>
            </w:r>
            <w:r w:rsidR="00FC679D" w:rsidRPr="00FC679D">
              <w:rPr>
                <w:b/>
                <w:bCs/>
                <w:sz w:val="22"/>
                <w:szCs w:val="22"/>
              </w:rPr>
              <w:t xml:space="preserve"> CONCERNING AT&amp;T/DIRECTV TRANSACTION</w:t>
            </w:r>
          </w:p>
          <w:p w:rsidR="00F61155" w:rsidRPr="00FC679D" w:rsidRDefault="00F61155" w:rsidP="00BB4E29">
            <w:pPr>
              <w:tabs>
                <w:tab w:val="left" w:pos="8625"/>
              </w:tabs>
              <w:jc w:val="center"/>
              <w:rPr>
                <w:color w:val="F2F2F2" w:themeColor="background1" w:themeShade="F2"/>
                <w:sz w:val="22"/>
                <w:szCs w:val="22"/>
              </w:rPr>
            </w:pPr>
          </w:p>
          <w:p w:rsidR="00236FC3" w:rsidRPr="00FC679D" w:rsidRDefault="00FC679D" w:rsidP="00FC679D">
            <w:pPr>
              <w:tabs>
                <w:tab w:val="left" w:pos="8640"/>
              </w:tabs>
              <w:rPr>
                <w:sz w:val="22"/>
                <w:szCs w:val="22"/>
              </w:rPr>
            </w:pPr>
            <w:r w:rsidRPr="008D1650">
              <w:rPr>
                <w:b/>
                <w:sz w:val="22"/>
                <w:szCs w:val="22"/>
              </w:rPr>
              <w:t>Washington, July 21, 2015</w:t>
            </w:r>
            <w:r w:rsidRPr="00FC679D">
              <w:rPr>
                <w:sz w:val="22"/>
                <w:szCs w:val="22"/>
              </w:rPr>
              <w:t xml:space="preserve"> – In light of news reports concerning the AT&amp;T/DirecTV transaction, FCC Chairman Tom Wheeler issued the following statement:  </w:t>
            </w:r>
          </w:p>
          <w:p w:rsidR="00FC679D" w:rsidRPr="00FC679D" w:rsidRDefault="00FC679D" w:rsidP="00FC679D">
            <w:pPr>
              <w:rPr>
                <w:sz w:val="22"/>
                <w:szCs w:val="22"/>
              </w:rPr>
            </w:pPr>
          </w:p>
          <w:p w:rsidR="00FC679D" w:rsidRPr="00FC679D" w:rsidRDefault="00FC679D" w:rsidP="00FC679D">
            <w:pPr>
              <w:rPr>
                <w:sz w:val="22"/>
                <w:szCs w:val="22"/>
              </w:rPr>
            </w:pPr>
            <w:r w:rsidRPr="00FC679D">
              <w:rPr>
                <w:sz w:val="22"/>
                <w:szCs w:val="22"/>
              </w:rPr>
              <w:t>“An order recommending that the AT&amp;T/DirecTV transaction be approved with conditions has circulated to the Commissioners. The proposed order outlines a number of conditions that will directly benefit consumers by bringing more competition to the broadband marketplace. If the conditions are approved by my colleag</w:t>
            </w:r>
            <w:r w:rsidR="009270F7">
              <w:rPr>
                <w:sz w:val="22"/>
                <w:szCs w:val="22"/>
              </w:rPr>
              <w:t>ues, 12.5 million customer locations</w:t>
            </w:r>
            <w:r w:rsidRPr="00FC679D">
              <w:rPr>
                <w:sz w:val="22"/>
                <w:szCs w:val="22"/>
              </w:rPr>
              <w:t xml:space="preserve"> will have access to a competitive high-speed fiber connection. This additional build-out is </w:t>
            </w:r>
            <w:r w:rsidR="008D1650">
              <w:rPr>
                <w:sz w:val="22"/>
                <w:szCs w:val="22"/>
              </w:rPr>
              <w:t xml:space="preserve">about </w:t>
            </w:r>
            <w:r w:rsidRPr="00FC679D">
              <w:rPr>
                <w:sz w:val="22"/>
                <w:szCs w:val="22"/>
              </w:rPr>
              <w:t xml:space="preserve">10 times the size of AT&amp;T’s current fiber-to-the-premise deployment, increases the entire nation’s residential fiber build by more than 40 percent, and more than triples the number of metropolitan areas AT&amp;T has announced plans to serve. </w:t>
            </w:r>
          </w:p>
          <w:p w:rsidR="00FC679D" w:rsidRPr="00FC679D" w:rsidRDefault="00FC679D" w:rsidP="00FC679D">
            <w:pPr>
              <w:rPr>
                <w:sz w:val="22"/>
                <w:szCs w:val="22"/>
              </w:rPr>
            </w:pPr>
            <w:r w:rsidRPr="00FC679D">
              <w:rPr>
                <w:sz w:val="22"/>
                <w:szCs w:val="22"/>
              </w:rPr>
              <w:t> </w:t>
            </w:r>
          </w:p>
          <w:p w:rsidR="00FC679D" w:rsidRPr="00FC679D" w:rsidRDefault="00FC679D" w:rsidP="00FC679D">
            <w:pPr>
              <w:rPr>
                <w:sz w:val="22"/>
                <w:szCs w:val="22"/>
              </w:rPr>
            </w:pPr>
            <w:r w:rsidRPr="00FC679D">
              <w:rPr>
                <w:sz w:val="22"/>
                <w:szCs w:val="22"/>
              </w:rPr>
              <w:t xml:space="preserve">“In addition, the conditions will build on the Open Internet Order already in effect, addressing two merger-specific issues. First, in order to prevent discrimination against online video competition, AT&amp;T will not be permitted to exclude affiliated </w:t>
            </w:r>
            <w:r w:rsidR="008D1650">
              <w:rPr>
                <w:sz w:val="22"/>
                <w:szCs w:val="22"/>
              </w:rPr>
              <w:t xml:space="preserve">video services and </w:t>
            </w:r>
            <w:r w:rsidRPr="00FC679D">
              <w:rPr>
                <w:sz w:val="22"/>
                <w:szCs w:val="22"/>
              </w:rPr>
              <w:t xml:space="preserve">content from data caps on its fixed broadband connections. Second, in order to bring greater transparency to interconnection practices, the company will be required to submit all completed interconnection agreements to the Commission, along with regular reports on </w:t>
            </w:r>
            <w:r w:rsidR="008D1650">
              <w:rPr>
                <w:sz w:val="22"/>
                <w:szCs w:val="22"/>
              </w:rPr>
              <w:t>network performance.</w:t>
            </w:r>
          </w:p>
          <w:p w:rsidR="00FC679D" w:rsidRPr="00FC679D" w:rsidRDefault="00FC679D" w:rsidP="00FC679D">
            <w:pPr>
              <w:rPr>
                <w:sz w:val="22"/>
                <w:szCs w:val="22"/>
              </w:rPr>
            </w:pPr>
            <w:r w:rsidRPr="00FC679D">
              <w:rPr>
                <w:sz w:val="22"/>
                <w:szCs w:val="22"/>
              </w:rPr>
              <w:t> </w:t>
            </w:r>
          </w:p>
          <w:p w:rsidR="00FC679D" w:rsidRPr="00FC679D" w:rsidRDefault="00FC679D" w:rsidP="00FC679D">
            <w:pPr>
              <w:rPr>
                <w:sz w:val="22"/>
                <w:szCs w:val="22"/>
              </w:rPr>
            </w:pPr>
            <w:r w:rsidRPr="00FC679D">
              <w:rPr>
                <w:sz w:val="22"/>
                <w:szCs w:val="22"/>
              </w:rPr>
              <w:t xml:space="preserve">“Importantly, we will require an independent </w:t>
            </w:r>
            <w:r w:rsidR="008D1650">
              <w:rPr>
                <w:sz w:val="22"/>
                <w:szCs w:val="22"/>
              </w:rPr>
              <w:t>officer</w:t>
            </w:r>
            <w:r w:rsidRPr="00FC679D">
              <w:rPr>
                <w:sz w:val="22"/>
                <w:szCs w:val="22"/>
              </w:rPr>
              <w:t xml:space="preserve"> to </w:t>
            </w:r>
            <w:r w:rsidR="008D1650">
              <w:rPr>
                <w:sz w:val="22"/>
                <w:szCs w:val="22"/>
              </w:rPr>
              <w:t xml:space="preserve">help </w:t>
            </w:r>
            <w:r w:rsidRPr="00FC679D">
              <w:rPr>
                <w:sz w:val="22"/>
                <w:szCs w:val="22"/>
              </w:rPr>
              <w:t>ensure compliance with these and other proposed conditions. These strong measures will protect consumers, expand high-speed broadband availability</w:t>
            </w:r>
            <w:r w:rsidR="008D1650">
              <w:rPr>
                <w:sz w:val="22"/>
                <w:szCs w:val="22"/>
              </w:rPr>
              <w:t>,</w:t>
            </w:r>
            <w:r w:rsidRPr="00FC679D">
              <w:rPr>
                <w:sz w:val="22"/>
                <w:szCs w:val="22"/>
              </w:rPr>
              <w:t xml:space="preserve"> and increase competition.”</w:t>
            </w:r>
          </w:p>
          <w:p w:rsidR="0097484D" w:rsidRPr="00302D71" w:rsidRDefault="00FC679D" w:rsidP="00FC679D">
            <w:pPr>
              <w:rPr>
                <w:sz w:val="22"/>
                <w:szCs w:val="22"/>
              </w:rPr>
            </w:pPr>
            <w:r w:rsidRPr="00302D71">
              <w:rPr>
                <w:sz w:val="22"/>
                <w:szCs w:val="22"/>
              </w:rPr>
              <w:t xml:space="preserve"> </w:t>
            </w:r>
          </w:p>
          <w:p w:rsidR="004F0F1F" w:rsidRPr="00302D71" w:rsidRDefault="00F708E3" w:rsidP="00BB4E29">
            <w:pPr>
              <w:ind w:right="240"/>
              <w:jc w:val="center"/>
              <w:rPr>
                <w:sz w:val="22"/>
                <w:szCs w:val="22"/>
              </w:rPr>
            </w:pPr>
            <w:r w:rsidRPr="00302D71">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796F3D"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D24C3D" w:rsidRDefault="00D24C3D" w:rsidP="00FC679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CF" w:rsidRDefault="00173FCF" w:rsidP="00173FCF">
      <w:r>
        <w:separator/>
      </w:r>
    </w:p>
  </w:endnote>
  <w:endnote w:type="continuationSeparator" w:id="0">
    <w:p w:rsidR="00173FCF" w:rsidRDefault="00173FCF" w:rsidP="0017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F" w:rsidRDefault="00173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F" w:rsidRDefault="00173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F" w:rsidRDefault="00173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CF" w:rsidRDefault="00173FCF" w:rsidP="00173FCF">
      <w:r>
        <w:separator/>
      </w:r>
    </w:p>
  </w:footnote>
  <w:footnote w:type="continuationSeparator" w:id="0">
    <w:p w:rsidR="00173FCF" w:rsidRDefault="00173FCF" w:rsidP="0017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F" w:rsidRDefault="00173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F" w:rsidRDefault="00173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F" w:rsidRDefault="00173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3CFB"/>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73FCF"/>
    <w:rsid w:val="001865A9"/>
    <w:rsid w:val="00187DB2"/>
    <w:rsid w:val="001B20BB"/>
    <w:rsid w:val="001B476C"/>
    <w:rsid w:val="001C4370"/>
    <w:rsid w:val="001D3779"/>
    <w:rsid w:val="001F0469"/>
    <w:rsid w:val="00203A98"/>
    <w:rsid w:val="00206EDD"/>
    <w:rsid w:val="0021247E"/>
    <w:rsid w:val="002146F6"/>
    <w:rsid w:val="00231C32"/>
    <w:rsid w:val="00236FC3"/>
    <w:rsid w:val="00240345"/>
    <w:rsid w:val="002421F0"/>
    <w:rsid w:val="00247274"/>
    <w:rsid w:val="00266966"/>
    <w:rsid w:val="00294C0C"/>
    <w:rsid w:val="002A0934"/>
    <w:rsid w:val="002B1013"/>
    <w:rsid w:val="002D03E5"/>
    <w:rsid w:val="002E3F1D"/>
    <w:rsid w:val="002F31D0"/>
    <w:rsid w:val="00300359"/>
    <w:rsid w:val="00302D71"/>
    <w:rsid w:val="0031773E"/>
    <w:rsid w:val="0032306A"/>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7D75"/>
    <w:rsid w:val="006B0A70"/>
    <w:rsid w:val="006B606A"/>
    <w:rsid w:val="006C33AF"/>
    <w:rsid w:val="006D5D22"/>
    <w:rsid w:val="006E0324"/>
    <w:rsid w:val="006E4A76"/>
    <w:rsid w:val="006F1DBD"/>
    <w:rsid w:val="00700556"/>
    <w:rsid w:val="007167DD"/>
    <w:rsid w:val="0072478B"/>
    <w:rsid w:val="0073414D"/>
    <w:rsid w:val="00740B3F"/>
    <w:rsid w:val="0075235E"/>
    <w:rsid w:val="007732CC"/>
    <w:rsid w:val="00774079"/>
    <w:rsid w:val="0077752B"/>
    <w:rsid w:val="00793D6F"/>
    <w:rsid w:val="00794090"/>
    <w:rsid w:val="00796F3D"/>
    <w:rsid w:val="007A44F8"/>
    <w:rsid w:val="007D0417"/>
    <w:rsid w:val="007D21BF"/>
    <w:rsid w:val="007F3C12"/>
    <w:rsid w:val="007F5205"/>
    <w:rsid w:val="007F5E51"/>
    <w:rsid w:val="008215E7"/>
    <w:rsid w:val="00830FC6"/>
    <w:rsid w:val="00865EAA"/>
    <w:rsid w:val="00866F06"/>
    <w:rsid w:val="008728F5"/>
    <w:rsid w:val="008824C2"/>
    <w:rsid w:val="008960E4"/>
    <w:rsid w:val="008A2C92"/>
    <w:rsid w:val="008A3940"/>
    <w:rsid w:val="008B13C9"/>
    <w:rsid w:val="008C248C"/>
    <w:rsid w:val="008C5432"/>
    <w:rsid w:val="008C7BF1"/>
    <w:rsid w:val="008D00D6"/>
    <w:rsid w:val="008D1650"/>
    <w:rsid w:val="008D4D00"/>
    <w:rsid w:val="008D4E5E"/>
    <w:rsid w:val="008D7ABD"/>
    <w:rsid w:val="008E55A2"/>
    <w:rsid w:val="008E56DD"/>
    <w:rsid w:val="008F1609"/>
    <w:rsid w:val="008F78D8"/>
    <w:rsid w:val="009114AD"/>
    <w:rsid w:val="009270F7"/>
    <w:rsid w:val="00961620"/>
    <w:rsid w:val="009734B6"/>
    <w:rsid w:val="0097484D"/>
    <w:rsid w:val="0097564F"/>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24040"/>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53679"/>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36D2"/>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79D"/>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paragraph" w:styleId="ListParagraph">
    <w:name w:val="List Paragraph"/>
    <w:basedOn w:val="Normal"/>
    <w:uiPriority w:val="34"/>
    <w:qFormat/>
    <w:rsid w:val="00FC679D"/>
    <w:pPr>
      <w:ind w:left="720"/>
    </w:pPr>
    <w:rPr>
      <w:rFonts w:ascii="Calibri" w:eastAsiaTheme="minorHAnsi" w:hAnsi="Calibri"/>
      <w:sz w:val="22"/>
      <w:szCs w:val="22"/>
    </w:rPr>
  </w:style>
  <w:style w:type="paragraph" w:styleId="Header">
    <w:name w:val="header"/>
    <w:basedOn w:val="Normal"/>
    <w:link w:val="HeaderChar"/>
    <w:unhideWhenUsed/>
    <w:rsid w:val="00173FCF"/>
    <w:pPr>
      <w:tabs>
        <w:tab w:val="center" w:pos="4680"/>
        <w:tab w:val="right" w:pos="9360"/>
      </w:tabs>
    </w:pPr>
  </w:style>
  <w:style w:type="character" w:customStyle="1" w:styleId="HeaderChar">
    <w:name w:val="Header Char"/>
    <w:basedOn w:val="DefaultParagraphFont"/>
    <w:link w:val="Header"/>
    <w:rsid w:val="00173FCF"/>
    <w:rPr>
      <w:sz w:val="24"/>
      <w:szCs w:val="24"/>
    </w:rPr>
  </w:style>
  <w:style w:type="paragraph" w:styleId="Footer">
    <w:name w:val="footer"/>
    <w:basedOn w:val="Normal"/>
    <w:link w:val="FooterChar"/>
    <w:unhideWhenUsed/>
    <w:rsid w:val="00173FCF"/>
    <w:pPr>
      <w:tabs>
        <w:tab w:val="center" w:pos="4680"/>
        <w:tab w:val="right" w:pos="9360"/>
      </w:tabs>
    </w:pPr>
  </w:style>
  <w:style w:type="character" w:customStyle="1" w:styleId="FooterChar">
    <w:name w:val="Footer Char"/>
    <w:basedOn w:val="DefaultParagraphFont"/>
    <w:link w:val="Footer"/>
    <w:rsid w:val="00173F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paragraph" w:styleId="ListParagraph">
    <w:name w:val="List Paragraph"/>
    <w:basedOn w:val="Normal"/>
    <w:uiPriority w:val="34"/>
    <w:qFormat/>
    <w:rsid w:val="00FC679D"/>
    <w:pPr>
      <w:ind w:left="720"/>
    </w:pPr>
    <w:rPr>
      <w:rFonts w:ascii="Calibri" w:eastAsiaTheme="minorHAnsi" w:hAnsi="Calibri"/>
      <w:sz w:val="22"/>
      <w:szCs w:val="22"/>
    </w:rPr>
  </w:style>
  <w:style w:type="paragraph" w:styleId="Header">
    <w:name w:val="header"/>
    <w:basedOn w:val="Normal"/>
    <w:link w:val="HeaderChar"/>
    <w:unhideWhenUsed/>
    <w:rsid w:val="00173FCF"/>
    <w:pPr>
      <w:tabs>
        <w:tab w:val="center" w:pos="4680"/>
        <w:tab w:val="right" w:pos="9360"/>
      </w:tabs>
    </w:pPr>
  </w:style>
  <w:style w:type="character" w:customStyle="1" w:styleId="HeaderChar">
    <w:name w:val="Header Char"/>
    <w:basedOn w:val="DefaultParagraphFont"/>
    <w:link w:val="Header"/>
    <w:rsid w:val="00173FCF"/>
    <w:rPr>
      <w:sz w:val="24"/>
      <w:szCs w:val="24"/>
    </w:rPr>
  </w:style>
  <w:style w:type="paragraph" w:styleId="Footer">
    <w:name w:val="footer"/>
    <w:basedOn w:val="Normal"/>
    <w:link w:val="FooterChar"/>
    <w:unhideWhenUsed/>
    <w:rsid w:val="00173FCF"/>
    <w:pPr>
      <w:tabs>
        <w:tab w:val="center" w:pos="4680"/>
        <w:tab w:val="right" w:pos="9360"/>
      </w:tabs>
    </w:pPr>
  </w:style>
  <w:style w:type="character" w:customStyle="1" w:styleId="FooterChar">
    <w:name w:val="Footer Char"/>
    <w:basedOn w:val="DefaultParagraphFont"/>
    <w:link w:val="Footer"/>
    <w:rsid w:val="00173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097364713">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410441">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1799</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2015-07-21T22:21:00Z</dcterms:created>
  <dcterms:modified xsi:type="dcterms:W3CDTF">2015-07-21T22:21:00Z</dcterms:modified>
  <cp:category> </cp:category>
  <cp:contentStatus> </cp:contentStatus>
</cp:coreProperties>
</file>