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3833" w14:textId="77777777" w:rsidR="00602871" w:rsidRPr="009E1D19" w:rsidRDefault="00602871" w:rsidP="00602871">
      <w:pPr>
        <w:tabs>
          <w:tab w:val="left" w:pos="6480"/>
        </w:tabs>
        <w:rPr>
          <w:szCs w:val="22"/>
        </w:rPr>
      </w:pPr>
      <w:bookmarkStart w:id="0" w:name="_GoBack"/>
      <w:bookmarkEnd w:id="0"/>
      <w:r w:rsidRPr="009E1D19">
        <w:rPr>
          <w:b/>
          <w:szCs w:val="22"/>
        </w:rPr>
        <w:t>FOR IMMEDIATE RELEASE</w:t>
      </w:r>
      <w:r w:rsidRPr="009E1D19">
        <w:rPr>
          <w:b/>
          <w:szCs w:val="22"/>
        </w:rPr>
        <w:tab/>
        <w:t>CONTACT</w:t>
      </w:r>
      <w:r w:rsidRPr="009E1D19">
        <w:rPr>
          <w:szCs w:val="22"/>
        </w:rPr>
        <w:t>:</w:t>
      </w:r>
    </w:p>
    <w:p w14:paraId="12CCC656" w14:textId="0E6F7D62" w:rsidR="00602871" w:rsidRPr="009E1D19" w:rsidRDefault="00EC0DD0" w:rsidP="00602871">
      <w:pPr>
        <w:tabs>
          <w:tab w:val="left" w:pos="6480"/>
        </w:tabs>
        <w:rPr>
          <w:szCs w:val="22"/>
        </w:rPr>
      </w:pPr>
      <w:r>
        <w:rPr>
          <w:szCs w:val="22"/>
        </w:rPr>
        <w:t>March 12</w:t>
      </w:r>
      <w:r w:rsidR="00602871" w:rsidRPr="009E1D19">
        <w:rPr>
          <w:szCs w:val="22"/>
        </w:rPr>
        <w:t>, 201</w:t>
      </w:r>
      <w:r w:rsidR="00602871">
        <w:rPr>
          <w:szCs w:val="22"/>
        </w:rPr>
        <w:t>5</w:t>
      </w:r>
      <w:r w:rsidR="00602871" w:rsidRPr="009E1D19">
        <w:rPr>
          <w:szCs w:val="22"/>
        </w:rPr>
        <w:tab/>
        <w:t>Matthew Berry (202) 418-2005</w:t>
      </w:r>
    </w:p>
    <w:p w14:paraId="54E1817F" w14:textId="6F2F0421" w:rsidR="00602871" w:rsidRPr="009E1D19" w:rsidRDefault="00602871" w:rsidP="00602871">
      <w:pPr>
        <w:tabs>
          <w:tab w:val="left" w:pos="6480"/>
        </w:tabs>
        <w:rPr>
          <w:szCs w:val="22"/>
        </w:rPr>
      </w:pPr>
      <w:r w:rsidRPr="009E1D19">
        <w:rPr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Cs w:val="22"/>
          </w:rPr>
          <w:t>Matthew.Berry@fcc.gov</w:t>
        </w:r>
      </w:hyperlink>
    </w:p>
    <w:p w14:paraId="6A31BE13" w14:textId="77777777" w:rsidR="00602871" w:rsidRPr="009E1D19" w:rsidRDefault="00602871" w:rsidP="00602871">
      <w:pPr>
        <w:rPr>
          <w:szCs w:val="22"/>
        </w:rPr>
      </w:pPr>
    </w:p>
    <w:p w14:paraId="1155D00C" w14:textId="0DA55BC9" w:rsidR="00602871" w:rsidRDefault="00EC0DD0" w:rsidP="00602871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POLICY </w:t>
      </w:r>
      <w:r w:rsidR="00602871">
        <w:rPr>
          <w:b/>
          <w:szCs w:val="22"/>
        </w:rPr>
        <w:t>SUMMARY OF FCC COMMISSIONER AJIT PAI’S</w:t>
      </w:r>
      <w:r w:rsidR="00602871">
        <w:rPr>
          <w:b/>
          <w:szCs w:val="22"/>
        </w:rPr>
        <w:br/>
        <w:t>STATEMENT DISSENTING FROM THE FCC’S DECISION TO ADOPT</w:t>
      </w:r>
      <w:r w:rsidR="00602871">
        <w:rPr>
          <w:b/>
          <w:szCs w:val="22"/>
        </w:rPr>
        <w:br/>
        <w:t>PRESIDENT OBAMA’S PLAN TO REGULATE THE INTERNET</w:t>
      </w:r>
    </w:p>
    <w:p w14:paraId="241B1A7A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 w:rsidDel="00CA5B50">
        <w:rPr>
          <w:b/>
        </w:rPr>
        <w:t>For twenty years, there’s been a bipartisan consensus in favor of a free and open Internet</w:t>
      </w:r>
      <w:r>
        <w:rPr>
          <w:b/>
        </w:rPr>
        <w:t>—one unfettered by government regulation</w:t>
      </w:r>
      <w:r w:rsidDel="00CA5B50">
        <w:t>.  So w</w:t>
      </w:r>
      <w:r w:rsidRPr="00AB15F1" w:rsidDel="00CA5B50">
        <w:t xml:space="preserve">hy is the FCC turning its back on Internet freedom?  </w:t>
      </w:r>
      <w:r>
        <w:t xml:space="preserve">It </w:t>
      </w:r>
      <w:r w:rsidDel="00CA5B50">
        <w:t xml:space="preserve">is </w:t>
      </w:r>
      <w:r w:rsidRPr="00AB15F1" w:rsidDel="00CA5B50">
        <w:t xml:space="preserve">flip-flopping for one reason and one reason alone.  President Obama </w:t>
      </w:r>
      <w:r w:rsidDel="00CA5B50">
        <w:t>told it to do so.</w:t>
      </w:r>
    </w:p>
    <w:p w14:paraId="3ED3840D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The Commission’s decision to adopt President Obama’s plan marks a monumental shift toward government control of the Internet.</w:t>
      </w:r>
      <w:r w:rsidRPr="00AB15F1">
        <w:t xml:space="preserve">  It gives the FCC the power to micromanage virtually every aspect of how the Internet works.  It’s an overreach that will let a Washington bureaucracy, and not the American people, decide the future of the online world.</w:t>
      </w:r>
    </w:p>
    <w:p w14:paraId="537DB65F" w14:textId="77777777" w:rsidR="00602871" w:rsidRPr="00AB15F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One facet of that control is rate regulation.</w:t>
      </w:r>
      <w:r w:rsidRPr="00AB15F1">
        <w:t xml:space="preserve">  For the first time, the FCC will regulate the rates that Internet service providers may charge and will set a price of zero for certain commercial agreements.</w:t>
      </w:r>
    </w:p>
    <w:p w14:paraId="18CA3793" w14:textId="77777777" w:rsidR="00602871" w:rsidRPr="00AB15F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87555F">
        <w:rPr>
          <w:b/>
        </w:rPr>
        <w:t xml:space="preserve">The Commission </w:t>
      </w:r>
      <w:r>
        <w:rPr>
          <w:b/>
        </w:rPr>
        <w:t>can also outlaw pro-consumer service plans</w:t>
      </w:r>
      <w:r w:rsidRPr="0087555F">
        <w:rPr>
          <w:b/>
        </w:rPr>
        <w:t>.</w:t>
      </w:r>
      <w:r>
        <w:t xml:space="preserve"> </w:t>
      </w:r>
      <w:r w:rsidRPr="00AB15F1">
        <w:t xml:space="preserve"> If you like your current service plan, you should be able to keep your current service plan.  </w:t>
      </w:r>
      <w:r>
        <w:t>The FCC shouldn’t take it away from you.</w:t>
      </w:r>
    </w:p>
    <w:p w14:paraId="20C2CCCF" w14:textId="77777777" w:rsidR="00602871" w:rsidRPr="0038262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Consumers should expect their broadband bills to go up</w:t>
      </w:r>
      <w:r>
        <w:t>.  The plan</w:t>
      </w:r>
      <w:r>
        <w:rPr>
          <w:i/>
        </w:rPr>
        <w:t xml:space="preserve"> </w:t>
      </w:r>
      <w:r w:rsidRPr="00230993">
        <w:t>explicitly opens the door to billions</w:t>
      </w:r>
      <w:r>
        <w:t xml:space="preserve"> </w:t>
      </w:r>
      <w:r w:rsidRPr="00230993">
        <w:t>of dollars in new taxes on broadband.</w:t>
      </w:r>
      <w:r>
        <w:t xml:space="preserve">  </w:t>
      </w:r>
      <w:r w:rsidRPr="00382621">
        <w:t>One estimate puts the total at $11 billion a year</w:t>
      </w:r>
      <w:r>
        <w:t>.</w:t>
      </w:r>
    </w:p>
    <w:p w14:paraId="6C37E2D6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382621">
        <w:rPr>
          <w:b/>
        </w:rPr>
        <w:t>Consumers’ broadband speeds will be slower</w:t>
      </w:r>
      <w:r>
        <w:t xml:space="preserve">.  </w:t>
      </w:r>
      <w:r w:rsidRPr="00382621">
        <w:t xml:space="preserve">Compare the broadband market in the </w:t>
      </w:r>
      <w:r>
        <w:t>U.S.</w:t>
      </w:r>
      <w:r w:rsidRPr="00382621">
        <w:t xml:space="preserve"> to that in Europe, where broadband is generally regulated as a public utility.  Today, 82% of Americans have access to 25 Mbps broadband speeds.  </w:t>
      </w:r>
      <w:r>
        <w:t xml:space="preserve">Only 54% of </w:t>
      </w:r>
      <w:r w:rsidRPr="00382621">
        <w:t>Europe</w:t>
      </w:r>
      <w:r>
        <w:t>ans do</w:t>
      </w:r>
      <w:r w:rsidRPr="00382621">
        <w:t xml:space="preserve">.  Moreover, in the </w:t>
      </w:r>
      <w:r>
        <w:t>U.S.</w:t>
      </w:r>
      <w:r w:rsidRPr="00382621">
        <w:t>, average mobile speeds are 30% faster than they are in Western Europe.</w:t>
      </w:r>
    </w:p>
    <w:p w14:paraId="37060A14" w14:textId="77777777" w:rsidR="00602871" w:rsidRPr="00382621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382621">
        <w:rPr>
          <w:b/>
        </w:rPr>
        <w:t xml:space="preserve">This plan will </w:t>
      </w:r>
      <w:r>
        <w:rPr>
          <w:b/>
        </w:rPr>
        <w:t xml:space="preserve">reduce competition and </w:t>
      </w:r>
      <w:r w:rsidRPr="00382621">
        <w:rPr>
          <w:b/>
        </w:rPr>
        <w:t xml:space="preserve">drive smaller </w:t>
      </w:r>
      <w:r>
        <w:rPr>
          <w:b/>
        </w:rPr>
        <w:t>broadband providers</w:t>
      </w:r>
      <w:r w:rsidRPr="00382621">
        <w:rPr>
          <w:b/>
        </w:rPr>
        <w:t xml:space="preserve"> out of business.</w:t>
      </w:r>
      <w:r w:rsidRPr="00382621">
        <w:t xml:space="preserve">  That’s why the plan is opposed by the country’s smallest </w:t>
      </w:r>
      <w:r>
        <w:t>private competitors and many municipal broadband providers</w:t>
      </w:r>
      <w:r w:rsidRPr="00382621">
        <w:t xml:space="preserve">.  Monopoly rules </w:t>
      </w:r>
      <w:r>
        <w:t>from a</w:t>
      </w:r>
      <w:r w:rsidRPr="00382621">
        <w:t xml:space="preserve"> monopoly era will move us </w:t>
      </w:r>
      <w:r>
        <w:t>toward</w:t>
      </w:r>
      <w:r w:rsidRPr="00382621">
        <w:t xml:space="preserve"> a m</w:t>
      </w:r>
      <w:r>
        <w:t>onopoly.</w:t>
      </w:r>
    </w:p>
    <w:p w14:paraId="7DBD6F1D" w14:textId="77777777" w:rsidR="00602871" w:rsidRPr="00F2740D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382621">
        <w:rPr>
          <w:b/>
        </w:rPr>
        <w:t xml:space="preserve">The Internet is not broken.  </w:t>
      </w:r>
      <w:r>
        <w:rPr>
          <w:b/>
        </w:rPr>
        <w:t>We do not need President Obama’s plan to “fix it.”</w:t>
      </w:r>
    </w:p>
    <w:p w14:paraId="675CA12C" w14:textId="77777777" w:rsidR="00602871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382621">
        <w:rPr>
          <w:b/>
        </w:rPr>
        <w:t>The plan in front of us today was not formulated at the FCC through a transparent notice-and-comment rulemaking process.</w:t>
      </w:r>
      <w:r w:rsidRPr="00382621">
        <w:t xml:space="preserve">  </w:t>
      </w:r>
      <w:r>
        <w:t>As</w:t>
      </w:r>
      <w:r w:rsidRPr="00382621">
        <w:t xml:space="preserve"> </w:t>
      </w:r>
      <w:r w:rsidRPr="00382621">
        <w:rPr>
          <w:i/>
        </w:rPr>
        <w:t>The Wall Street Journal</w:t>
      </w:r>
      <w:r w:rsidRPr="00382621">
        <w:t xml:space="preserve"> reports</w:t>
      </w:r>
      <w:r>
        <w:t>,</w:t>
      </w:r>
      <w:r w:rsidRPr="00382621">
        <w:t xml:space="preserve"> it was developed through “an unusual, secretive effort inside the White House.”  Indeed, White House officials, according to the </w:t>
      </w:r>
      <w:r w:rsidRPr="00382621">
        <w:rPr>
          <w:i/>
        </w:rPr>
        <w:t>Journal</w:t>
      </w:r>
      <w:r w:rsidRPr="00382621">
        <w:t xml:space="preserve">, functioned as a “parallel version of the FCC.”  Their work led to the President’s announcement in November of his plan for Internet regulation, a plan which “blindsided” the FCC and “swept </w:t>
      </w:r>
      <w:r>
        <w:t>aside</w:t>
      </w:r>
      <w:r w:rsidRPr="00382621">
        <w:t xml:space="preserve"> </w:t>
      </w:r>
      <w:r>
        <w:t xml:space="preserve">. . . </w:t>
      </w:r>
      <w:r w:rsidRPr="00382621">
        <w:t xml:space="preserve">months </w:t>
      </w:r>
      <w:r>
        <w:t xml:space="preserve">of </w:t>
      </w:r>
      <w:r w:rsidRPr="00382621">
        <w:t>work by [Chairman] Wheeler toward a compromise.”</w:t>
      </w:r>
    </w:p>
    <w:p w14:paraId="2DB8DD9F" w14:textId="281ADF99" w:rsidR="00FD686F" w:rsidRPr="00F2740D" w:rsidRDefault="00FD686F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602871">
        <w:rPr>
          <w:b/>
        </w:rPr>
        <w:t>The plan has glaring legal flaws that are sure to keep the Commission mired in litigation for a long, long time.</w:t>
      </w:r>
    </w:p>
    <w:sectPr w:rsidR="00FD686F" w:rsidRPr="00F27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1805" w14:textId="77777777" w:rsidR="00772937" w:rsidRDefault="00772937">
      <w:r>
        <w:separator/>
      </w:r>
    </w:p>
  </w:endnote>
  <w:endnote w:type="continuationSeparator" w:id="0">
    <w:p w14:paraId="220F7513" w14:textId="77777777" w:rsidR="00772937" w:rsidRDefault="0077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0A24" w14:textId="77777777" w:rsidR="00B54B51" w:rsidRDefault="00B54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B9BF" w14:textId="77777777" w:rsidR="00B54B51" w:rsidRDefault="00B54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B9AB" w14:textId="77777777" w:rsidR="00B54B51" w:rsidRDefault="00B5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FDED9" w14:textId="77777777" w:rsidR="00772937" w:rsidRDefault="00772937">
      <w:r>
        <w:separator/>
      </w:r>
    </w:p>
  </w:footnote>
  <w:footnote w:type="continuationSeparator" w:id="0">
    <w:p w14:paraId="63A23AE6" w14:textId="77777777" w:rsidR="00772937" w:rsidRDefault="0077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4984" w14:textId="77777777" w:rsidR="00B54B51" w:rsidRDefault="00B54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BB87" w14:textId="77777777" w:rsidR="00B54B51" w:rsidRDefault="00B54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</w:t>
    </w:r>
    <w:r w:rsidR="00F14B36">
      <w:rPr>
        <w:b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75AB6EA3"/>
    <w:multiLevelType w:val="hybridMultilevel"/>
    <w:tmpl w:val="5AFE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B31DA"/>
    <w:rsid w:val="000E45BF"/>
    <w:rsid w:val="00116D2B"/>
    <w:rsid w:val="0019315C"/>
    <w:rsid w:val="001C2764"/>
    <w:rsid w:val="001D2C18"/>
    <w:rsid w:val="002528CD"/>
    <w:rsid w:val="00287C2B"/>
    <w:rsid w:val="002949A6"/>
    <w:rsid w:val="002A6449"/>
    <w:rsid w:val="00345CAD"/>
    <w:rsid w:val="003920E0"/>
    <w:rsid w:val="003C32BE"/>
    <w:rsid w:val="003C457B"/>
    <w:rsid w:val="003E05A8"/>
    <w:rsid w:val="00406372"/>
    <w:rsid w:val="004217FF"/>
    <w:rsid w:val="00453DCB"/>
    <w:rsid w:val="00460016"/>
    <w:rsid w:val="004C3250"/>
    <w:rsid w:val="004D259D"/>
    <w:rsid w:val="00510336"/>
    <w:rsid w:val="0052557B"/>
    <w:rsid w:val="005267A4"/>
    <w:rsid w:val="005545A8"/>
    <w:rsid w:val="00567D63"/>
    <w:rsid w:val="005A135D"/>
    <w:rsid w:val="005C54C3"/>
    <w:rsid w:val="00602871"/>
    <w:rsid w:val="0065435F"/>
    <w:rsid w:val="00673AB3"/>
    <w:rsid w:val="00697B86"/>
    <w:rsid w:val="006C2F6C"/>
    <w:rsid w:val="006D1383"/>
    <w:rsid w:val="006F3DBA"/>
    <w:rsid w:val="006F4ADD"/>
    <w:rsid w:val="007223FA"/>
    <w:rsid w:val="00772937"/>
    <w:rsid w:val="007D39FB"/>
    <w:rsid w:val="007E43D3"/>
    <w:rsid w:val="007F2D1E"/>
    <w:rsid w:val="008105B4"/>
    <w:rsid w:val="0084699F"/>
    <w:rsid w:val="00896394"/>
    <w:rsid w:val="008A587A"/>
    <w:rsid w:val="008C1BB3"/>
    <w:rsid w:val="00985597"/>
    <w:rsid w:val="009A1332"/>
    <w:rsid w:val="00AA0D2C"/>
    <w:rsid w:val="00AB6917"/>
    <w:rsid w:val="00AF38C2"/>
    <w:rsid w:val="00B54B51"/>
    <w:rsid w:val="00BA0CD5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16655"/>
    <w:rsid w:val="00E30485"/>
    <w:rsid w:val="00EC0DD0"/>
    <w:rsid w:val="00EC1966"/>
    <w:rsid w:val="00ED22C7"/>
    <w:rsid w:val="00ED2FD0"/>
    <w:rsid w:val="00EE5CA5"/>
    <w:rsid w:val="00F01519"/>
    <w:rsid w:val="00F14B36"/>
    <w:rsid w:val="00F2740D"/>
    <w:rsid w:val="00FD686F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2376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2015-03-12T14:12:00Z</dcterms:created>
  <dcterms:modified xsi:type="dcterms:W3CDTF">2015-03-12T14:12:00Z</dcterms:modified>
  <cp:category> </cp:category>
  <cp:contentStatus> </cp:contentStatus>
</cp:coreProperties>
</file>