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9C" w:rsidRDefault="00D92C9C" w:rsidP="00003578">
      <w:pPr>
        <w:pStyle w:val="TOAHeading"/>
        <w:tabs>
          <w:tab w:val="clear" w:pos="9360"/>
        </w:tabs>
        <w:spacing w:line="240" w:lineRule="auto"/>
        <w:jc w:val="right"/>
        <w:rPr>
          <w:rFonts w:ascii="Times New Roman" w:hAnsi="Times New Roman"/>
        </w:rPr>
      </w:pPr>
      <w:bookmarkStart w:id="0" w:name="_GoBack"/>
      <w:bookmarkEnd w:id="0"/>
    </w:p>
    <w:p w:rsidR="00CB2E02" w:rsidRDefault="00A64FC9" w:rsidP="00003578">
      <w:pPr>
        <w:pStyle w:val="TOAHeading"/>
        <w:tabs>
          <w:tab w:val="clear" w:pos="9360"/>
        </w:tabs>
        <w:spacing w:line="240" w:lineRule="auto"/>
        <w:jc w:val="right"/>
        <w:rPr>
          <w:rFonts w:ascii="Times New Roman" w:hAnsi="Times New Roman"/>
        </w:rPr>
      </w:pPr>
      <w:r>
        <w:rPr>
          <w:rFonts w:ascii="Times New Roman" w:hAnsi="Times New Roman"/>
        </w:rPr>
        <w:t xml:space="preserve">September </w:t>
      </w:r>
      <w:r w:rsidR="008777BA">
        <w:rPr>
          <w:rFonts w:ascii="Times New Roman" w:hAnsi="Times New Roman"/>
        </w:rPr>
        <w:t>2</w:t>
      </w:r>
      <w:r>
        <w:rPr>
          <w:rFonts w:ascii="Times New Roman" w:hAnsi="Times New Roman"/>
        </w:rPr>
        <w:t>3</w:t>
      </w:r>
      <w:r w:rsidR="006213D9">
        <w:rPr>
          <w:rFonts w:ascii="Times New Roman" w:hAnsi="Times New Roman"/>
        </w:rPr>
        <w:t>, 2014</w:t>
      </w:r>
    </w:p>
    <w:p w:rsidR="00D92C9C" w:rsidRDefault="00D92C9C" w:rsidP="00003578">
      <w:pPr>
        <w:pStyle w:val="NewHeading"/>
        <w:tabs>
          <w:tab w:val="clear" w:pos="4680"/>
        </w:tabs>
        <w:spacing w:line="240" w:lineRule="auto"/>
        <w:jc w:val="left"/>
        <w:rPr>
          <w:rFonts w:ascii="Times New Roman" w:hAnsi="Times New Roman"/>
        </w:rPr>
      </w:pPr>
    </w:p>
    <w:p w:rsidR="00D92C9C" w:rsidRDefault="00D92C9C"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307A50" w:rsidP="00003578">
      <w:pPr>
        <w:pStyle w:val="NewHeading"/>
        <w:tabs>
          <w:tab w:val="clear" w:pos="4680"/>
        </w:tabs>
        <w:spacing w:line="240" w:lineRule="auto"/>
        <w:rPr>
          <w:rFonts w:ascii="Times New Roman" w:hAnsi="Times New Roman"/>
        </w:rPr>
      </w:pPr>
      <w:r>
        <w:rPr>
          <w:rFonts w:ascii="Times New Roman" w:hAnsi="Times New Roman"/>
        </w:rPr>
        <w:t>T</w:t>
      </w:r>
      <w:r w:rsidR="00A64FC9">
        <w:rPr>
          <w:rFonts w:ascii="Times New Roman" w:hAnsi="Times New Roman"/>
        </w:rPr>
        <w:t>UESDAY</w:t>
      </w:r>
      <w:r w:rsidR="00F00D7B">
        <w:rPr>
          <w:rFonts w:ascii="Times New Roman" w:hAnsi="Times New Roman"/>
        </w:rPr>
        <w:t xml:space="preserve">, </w:t>
      </w:r>
      <w:r w:rsidR="00A64FC9">
        <w:rPr>
          <w:rFonts w:ascii="Times New Roman" w:hAnsi="Times New Roman"/>
        </w:rPr>
        <w:t>SEPTEMBER 3</w:t>
      </w:r>
      <w:r w:rsidR="00101375">
        <w:rPr>
          <w:rFonts w:ascii="Times New Roman" w:hAnsi="Times New Roman"/>
        </w:rPr>
        <w:t>0</w:t>
      </w:r>
      <w:r w:rsidR="006213D9">
        <w:rPr>
          <w:rFonts w:ascii="Times New Roman" w:hAnsi="Times New Roman"/>
        </w:rPr>
        <w:t>, 2014</w:t>
      </w:r>
    </w:p>
    <w:p w:rsidR="00D92C9C" w:rsidRDefault="00D92C9C" w:rsidP="00003578">
      <w:pPr>
        <w:pStyle w:val="NewHeading"/>
        <w:tabs>
          <w:tab w:val="clear" w:pos="4680"/>
        </w:tabs>
        <w:spacing w:line="240" w:lineRule="auto"/>
        <w:rPr>
          <w:rFonts w:ascii="Times New Roman" w:hAnsi="Times New Roman"/>
        </w:rPr>
      </w:pPr>
    </w:p>
    <w:p w:rsidR="00D92C9C" w:rsidRDefault="00D92C9C" w:rsidP="00AA2996">
      <w:pPr>
        <w:pStyle w:val="BodyText"/>
        <w:tabs>
          <w:tab w:val="clear" w:pos="-720"/>
        </w:tabs>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A64FC9">
        <w:t>Tuesday</w:t>
      </w:r>
      <w:r w:rsidR="00BD0347">
        <w:t>,</w:t>
      </w:r>
      <w:r w:rsidR="000C478D">
        <w:t xml:space="preserve"> </w:t>
      </w:r>
      <w:r w:rsidR="00A64FC9">
        <w:t xml:space="preserve">September </w:t>
      </w:r>
      <w:r w:rsidR="00476A27">
        <w:t>30</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B02EB1" w:rsidRDefault="00B02EB1" w:rsidP="007B549C">
      <w:pPr>
        <w:pStyle w:val="BodyText"/>
        <w:tabs>
          <w:tab w:val="clear" w:pos="-720"/>
        </w:tabs>
      </w:pPr>
    </w:p>
    <w:p w:rsidR="00D92C9C" w:rsidRDefault="00D92C9C" w:rsidP="007B549C">
      <w:pPr>
        <w:pStyle w:val="BodyText"/>
        <w:tabs>
          <w:tab w:val="clear" w:pos="-720"/>
        </w:tabs>
      </w:pPr>
    </w:p>
    <w:tbl>
      <w:tblPr>
        <w:tblW w:w="9720" w:type="dxa"/>
        <w:tblInd w:w="-60" w:type="dxa"/>
        <w:tblLayout w:type="fixed"/>
        <w:tblCellMar>
          <w:left w:w="120" w:type="dxa"/>
          <w:right w:w="144" w:type="dxa"/>
        </w:tblCellMar>
        <w:tblLook w:val="0000" w:firstRow="0" w:lastRow="0" w:firstColumn="0" w:lastColumn="0" w:noHBand="0" w:noVBand="0"/>
      </w:tblPr>
      <w:tblGrid>
        <w:gridCol w:w="180"/>
        <w:gridCol w:w="1260"/>
        <w:gridCol w:w="360"/>
        <w:gridCol w:w="2520"/>
        <w:gridCol w:w="293"/>
        <w:gridCol w:w="4927"/>
        <w:gridCol w:w="180"/>
      </w:tblGrid>
      <w:tr w:rsidR="00CB2E02" w:rsidTr="008A1327">
        <w:trPr>
          <w:gridBefore w:val="1"/>
          <w:wBefore w:w="180" w:type="dxa"/>
          <w:trHeight w:val="256"/>
        </w:trPr>
        <w:tc>
          <w:tcPr>
            <w:tcW w:w="1620" w:type="dxa"/>
            <w:gridSpan w:val="2"/>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gridSpan w:val="2"/>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gridSpan w:val="2"/>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8A1327">
        <w:trPr>
          <w:gridBefore w:val="1"/>
          <w:wBefore w:w="180" w:type="dxa"/>
          <w:trHeight w:val="1108"/>
        </w:trPr>
        <w:tc>
          <w:tcPr>
            <w:tcW w:w="1620" w:type="dxa"/>
            <w:gridSpan w:val="2"/>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gridSpan w:val="2"/>
          </w:tcPr>
          <w:p w:rsidR="00D15595" w:rsidRDefault="00CD5D0A" w:rsidP="00101375">
            <w:pPr>
              <w:widowControl/>
              <w:suppressAutoHyphens/>
              <w:autoSpaceDE/>
              <w:autoSpaceDN/>
              <w:adjustRightInd/>
              <w:spacing w:before="120"/>
              <w:jc w:val="center"/>
              <w:rPr>
                <w:rFonts w:ascii="Times New Roman" w:hAnsi="Times New Roman"/>
                <w:b/>
              </w:rPr>
            </w:pPr>
            <w:r>
              <w:rPr>
                <w:rFonts w:ascii="Times New Roman" w:hAnsi="Times New Roman"/>
                <w:b/>
              </w:rPr>
              <w:t xml:space="preserve">MEDIA </w:t>
            </w:r>
          </w:p>
        </w:tc>
        <w:tc>
          <w:tcPr>
            <w:tcW w:w="5107" w:type="dxa"/>
            <w:gridSpan w:val="2"/>
          </w:tcPr>
          <w:p w:rsidR="008C62ED" w:rsidRPr="005A5A89" w:rsidRDefault="00D15595" w:rsidP="008A1327">
            <w:pPr>
              <w:widowControl/>
              <w:tabs>
                <w:tab w:val="left" w:pos="-720"/>
              </w:tabs>
              <w:suppressAutoHyphens/>
              <w:autoSpaceDE/>
              <w:adjustRightInd/>
              <w:spacing w:before="90" w:after="54"/>
              <w:rPr>
                <w:rFonts w:ascii="Times New Roman" w:hAnsi="Times New Roman"/>
                <w:b/>
                <w:bCs/>
              </w:rPr>
            </w:pPr>
            <w:r w:rsidRPr="007B549C">
              <w:rPr>
                <w:rFonts w:ascii="Times New Roman" w:hAnsi="Times New Roman"/>
                <w:b/>
              </w:rPr>
              <w:t>TITLE</w:t>
            </w:r>
            <w:r w:rsidRPr="00A625C1">
              <w:rPr>
                <w:rFonts w:ascii="Times New Roman" w:hAnsi="Times New Roman"/>
                <w:b/>
              </w:rPr>
              <w:t>:</w:t>
            </w:r>
            <w:r w:rsidR="00291919">
              <w:rPr>
                <w:rFonts w:ascii="Times New Roman" w:hAnsi="Times New Roman"/>
                <w:b/>
              </w:rPr>
              <w:t xml:space="preserve"> </w:t>
            </w:r>
            <w:r w:rsidR="00101375">
              <w:rPr>
                <w:rFonts w:ascii="Times New Roman" w:hAnsi="Times New Roman"/>
                <w:b/>
              </w:rPr>
              <w:t xml:space="preserve"> </w:t>
            </w:r>
            <w:r w:rsidR="00CD5D0A" w:rsidRPr="005A5A89">
              <w:rPr>
                <w:rStyle w:val="Strong"/>
                <w:rFonts w:ascii="Times New Roman" w:hAnsi="Times New Roman"/>
                <w:b w:val="0"/>
                <w:bCs w:val="0"/>
                <w:lang w:val="en"/>
              </w:rPr>
              <w:t xml:space="preserve">Sports </w:t>
            </w:r>
            <w:r w:rsidR="006442F3">
              <w:rPr>
                <w:rStyle w:val="Strong"/>
                <w:rFonts w:ascii="Times New Roman" w:hAnsi="Times New Roman"/>
                <w:b w:val="0"/>
                <w:bCs w:val="0"/>
                <w:lang w:val="en"/>
              </w:rPr>
              <w:t>B</w:t>
            </w:r>
            <w:r w:rsidR="00CD5D0A" w:rsidRPr="005A5A89">
              <w:rPr>
                <w:rStyle w:val="Strong"/>
                <w:rFonts w:ascii="Times New Roman" w:hAnsi="Times New Roman"/>
                <w:b w:val="0"/>
                <w:bCs w:val="0"/>
                <w:lang w:val="en"/>
              </w:rPr>
              <w:t>lackout Rules, Report and Order (MB Docket No. 12-3)</w:t>
            </w:r>
          </w:p>
          <w:p w:rsidR="00D15595" w:rsidRDefault="00D15595" w:rsidP="00CD5D0A">
            <w:pPr>
              <w:spacing w:before="120"/>
              <w:rPr>
                <w:rFonts w:ascii="Times New Roman" w:hAnsi="Times New Roman"/>
                <w:bCs/>
                <w:lang w:val="en"/>
              </w:rPr>
            </w:pPr>
            <w:r>
              <w:rPr>
                <w:rFonts w:ascii="Times New Roman" w:hAnsi="Times New Roman"/>
                <w:b/>
                <w:bCs/>
              </w:rPr>
              <w:t>SUMMARY:</w:t>
            </w:r>
            <w:r w:rsidR="00291919">
              <w:rPr>
                <w:rFonts w:ascii="Times New Roman" w:hAnsi="Times New Roman"/>
                <w:b/>
                <w:bCs/>
              </w:rPr>
              <w:t xml:space="preserve">  </w:t>
            </w:r>
            <w:r w:rsidR="002A723A" w:rsidRPr="002A723A">
              <w:rPr>
                <w:rFonts w:ascii="Times New Roman" w:hAnsi="Times New Roman"/>
                <w:bCs/>
                <w:lang w:val="en"/>
              </w:rPr>
              <w:t>The Commission will consider a Report and Order that would eliminate the Commission’s sports blackout rules, which can prevent consumers from watching their teams’ games on local television.</w:t>
            </w:r>
          </w:p>
          <w:p w:rsidR="008A1327" w:rsidRPr="002A723A" w:rsidRDefault="008A1327" w:rsidP="00CD5D0A">
            <w:pPr>
              <w:spacing w:before="120"/>
              <w:rPr>
                <w:rFonts w:ascii="Times New Roman" w:hAnsi="Times New Roman"/>
              </w:rPr>
            </w:pPr>
          </w:p>
        </w:tc>
      </w:tr>
      <w:tr w:rsidR="006D734F" w:rsidRPr="008E479B" w:rsidTr="008A1327">
        <w:trPr>
          <w:gridBefore w:val="1"/>
          <w:wBefore w:w="180" w:type="dxa"/>
          <w:trHeight w:val="1108"/>
        </w:trPr>
        <w:tc>
          <w:tcPr>
            <w:tcW w:w="1620" w:type="dxa"/>
            <w:gridSpan w:val="2"/>
          </w:tcPr>
          <w:p w:rsidR="006D734F" w:rsidRDefault="00934E86" w:rsidP="00AA2996">
            <w:pPr>
              <w:suppressAutoHyphens/>
              <w:spacing w:before="120"/>
              <w:jc w:val="center"/>
              <w:rPr>
                <w:rFonts w:ascii="Times New Roman" w:hAnsi="Times New Roman"/>
                <w:b/>
              </w:rPr>
            </w:pPr>
            <w:r>
              <w:rPr>
                <w:rFonts w:ascii="Times New Roman" w:hAnsi="Times New Roman"/>
                <w:b/>
              </w:rPr>
              <w:t>2</w:t>
            </w:r>
          </w:p>
        </w:tc>
        <w:tc>
          <w:tcPr>
            <w:tcW w:w="2813" w:type="dxa"/>
            <w:gridSpan w:val="2"/>
          </w:tcPr>
          <w:p w:rsidR="00BE4742" w:rsidRDefault="005A5A89" w:rsidP="00AA2996">
            <w:pPr>
              <w:widowControl/>
              <w:suppressAutoHyphens/>
              <w:autoSpaceDE/>
              <w:autoSpaceDN/>
              <w:adjustRightInd/>
              <w:spacing w:before="120"/>
              <w:jc w:val="center"/>
              <w:rPr>
                <w:rFonts w:ascii="Times New Roman" w:hAnsi="Times New Roman"/>
                <w:b/>
              </w:rPr>
            </w:pPr>
            <w:r>
              <w:rPr>
                <w:rFonts w:ascii="Times New Roman" w:hAnsi="Times New Roman"/>
                <w:b/>
              </w:rPr>
              <w:t>INTERNATIONAL</w:t>
            </w:r>
            <w:r w:rsidR="00D84583">
              <w:rPr>
                <w:rFonts w:ascii="Times New Roman" w:hAnsi="Times New Roman"/>
                <w:b/>
              </w:rPr>
              <w:t xml:space="preserve">  </w:t>
            </w:r>
          </w:p>
        </w:tc>
        <w:tc>
          <w:tcPr>
            <w:tcW w:w="5107" w:type="dxa"/>
            <w:gridSpan w:val="2"/>
          </w:tcPr>
          <w:p w:rsidR="00101375" w:rsidRPr="00101027" w:rsidRDefault="006D734F" w:rsidP="00AA2996">
            <w:pPr>
              <w:widowControl/>
              <w:tabs>
                <w:tab w:val="left" w:pos="-720"/>
              </w:tabs>
              <w:suppressAutoHyphens/>
              <w:autoSpaceDE/>
              <w:adjustRightInd/>
              <w:spacing w:before="90" w:after="54"/>
              <w:rPr>
                <w:rFonts w:ascii="Times New Roman" w:hAnsi="Times New Roman"/>
                <w:b/>
              </w:rPr>
            </w:pPr>
            <w:r>
              <w:rPr>
                <w:rFonts w:ascii="Times New Roman" w:hAnsi="Times New Roman"/>
                <w:b/>
              </w:rPr>
              <w:t>TITLE</w:t>
            </w:r>
            <w:r w:rsidRPr="00101375">
              <w:rPr>
                <w:rFonts w:ascii="Times New Roman" w:hAnsi="Times New Roman"/>
                <w:b/>
              </w:rPr>
              <w:t>:</w:t>
            </w:r>
            <w:r w:rsidR="00291919">
              <w:rPr>
                <w:rFonts w:ascii="Times New Roman" w:hAnsi="Times New Roman"/>
                <w:b/>
              </w:rPr>
              <w:t xml:space="preserve">  </w:t>
            </w:r>
            <w:r w:rsidR="005A5A89" w:rsidRPr="00101027">
              <w:rPr>
                <w:rFonts w:ascii="Times New Roman" w:hAnsi="Times New Roman"/>
              </w:rPr>
              <w:t>Comprehensive Review of Licensing and Operating Rules for Satellite Services</w:t>
            </w:r>
            <w:r w:rsidR="003C4FA4">
              <w:rPr>
                <w:rFonts w:ascii="Times New Roman" w:hAnsi="Times New Roman"/>
              </w:rPr>
              <w:t xml:space="preserve"> (IB Docket No. 12-267)</w:t>
            </w:r>
            <w:r w:rsidR="00101027" w:rsidRPr="00101027">
              <w:rPr>
                <w:rStyle w:val="Strong"/>
                <w:rFonts w:ascii="Times New Roman" w:hAnsi="Times New Roman"/>
                <w:b w:val="0"/>
                <w:color w:val="333333"/>
                <w:lang w:val="en"/>
              </w:rPr>
              <w:t xml:space="preserve"> </w:t>
            </w:r>
          </w:p>
          <w:p w:rsidR="00101375" w:rsidRDefault="006D734F" w:rsidP="005A5A89">
            <w:pPr>
              <w:widowControl/>
              <w:tabs>
                <w:tab w:val="left" w:pos="-720"/>
              </w:tabs>
              <w:suppressAutoHyphens/>
              <w:autoSpaceDE/>
              <w:adjustRightInd/>
              <w:spacing w:before="90" w:after="54"/>
              <w:rPr>
                <w:rFonts w:ascii="Times New Roman" w:hAnsi="Times New Roman"/>
                <w:lang w:val="en"/>
              </w:rPr>
            </w:pPr>
            <w:r>
              <w:rPr>
                <w:rFonts w:ascii="Times New Roman" w:hAnsi="Times New Roman"/>
                <w:b/>
              </w:rPr>
              <w:t>SUMMARY:</w:t>
            </w:r>
            <w:r w:rsidR="00291919">
              <w:rPr>
                <w:rFonts w:ascii="Times New Roman" w:hAnsi="Times New Roman"/>
                <w:b/>
              </w:rPr>
              <w:t xml:space="preserve">  </w:t>
            </w:r>
            <w:r w:rsidR="005A5A89" w:rsidRPr="005A5A89">
              <w:rPr>
                <w:rFonts w:ascii="Times New Roman" w:hAnsi="Times New Roman"/>
                <w:lang w:val="en"/>
              </w:rPr>
              <w:t xml:space="preserve">The Commission will consider a Further Notice of Proposed Rulemaking to streamline and update Part 25 of the Commission’s rules, which governs licensing and operation of space stations and earth stations for the provision of satellite communication services. These proposals will </w:t>
            </w:r>
            <w:r w:rsidR="004F5123">
              <w:rPr>
                <w:rFonts w:ascii="Times New Roman" w:hAnsi="Times New Roman"/>
                <w:lang w:val="en"/>
              </w:rPr>
              <w:t>streamline</w:t>
            </w:r>
            <w:r w:rsidR="005A5A89" w:rsidRPr="005A5A89">
              <w:rPr>
                <w:rFonts w:ascii="Times New Roman" w:hAnsi="Times New Roman"/>
                <w:lang w:val="en"/>
              </w:rPr>
              <w:t>, clarify or eliminate numerous rule provisions and reduce regulatory burdens.</w:t>
            </w:r>
          </w:p>
          <w:p w:rsidR="008A1327" w:rsidRDefault="008A1327" w:rsidP="005A5A89">
            <w:pPr>
              <w:widowControl/>
              <w:tabs>
                <w:tab w:val="left" w:pos="-720"/>
              </w:tabs>
              <w:suppressAutoHyphens/>
              <w:autoSpaceDE/>
              <w:adjustRightInd/>
              <w:spacing w:before="90" w:after="54"/>
              <w:rPr>
                <w:rFonts w:ascii="Times New Roman" w:hAnsi="Times New Roman"/>
              </w:rPr>
            </w:pPr>
          </w:p>
          <w:p w:rsidR="00D92C9C" w:rsidRPr="008E479B" w:rsidRDefault="00D92C9C" w:rsidP="005A5A89">
            <w:pPr>
              <w:widowControl/>
              <w:tabs>
                <w:tab w:val="left" w:pos="-720"/>
              </w:tabs>
              <w:suppressAutoHyphens/>
              <w:autoSpaceDE/>
              <w:adjustRightInd/>
              <w:spacing w:before="90" w:after="54"/>
              <w:rPr>
                <w:rFonts w:ascii="Times New Roman" w:hAnsi="Times New Roman"/>
              </w:rPr>
            </w:pPr>
          </w:p>
        </w:tc>
      </w:tr>
      <w:bookmarkEnd w:id="1"/>
      <w:bookmarkEnd w:id="2"/>
      <w:tr w:rsidR="00D92C9C" w:rsidTr="00EC0797">
        <w:tblPrEx>
          <w:tblCellMar>
            <w:right w:w="120" w:type="dxa"/>
          </w:tblCellMar>
        </w:tblPrEx>
        <w:trPr>
          <w:gridAfter w:val="1"/>
          <w:wAfter w:w="180" w:type="dxa"/>
        </w:trPr>
        <w:tc>
          <w:tcPr>
            <w:tcW w:w="1440" w:type="dxa"/>
            <w:gridSpan w:val="2"/>
          </w:tcPr>
          <w:p w:rsidR="00D92C9C" w:rsidRDefault="00D92C9C" w:rsidP="00EC0797">
            <w:pPr>
              <w:suppressAutoHyphens/>
              <w:spacing w:before="120"/>
              <w:jc w:val="center"/>
              <w:rPr>
                <w:rFonts w:ascii="Times New Roman" w:hAnsi="Times New Roman"/>
                <w:b/>
              </w:rPr>
            </w:pPr>
            <w:r>
              <w:rPr>
                <w:rFonts w:ascii="Times New Roman" w:hAnsi="Times New Roman"/>
                <w:b/>
              </w:rPr>
              <w:lastRenderedPageBreak/>
              <w:t>3</w:t>
            </w:r>
          </w:p>
        </w:tc>
        <w:tc>
          <w:tcPr>
            <w:tcW w:w="2880" w:type="dxa"/>
            <w:gridSpan w:val="2"/>
          </w:tcPr>
          <w:p w:rsidR="00D92C9C" w:rsidRDefault="00D92C9C" w:rsidP="00EC0797">
            <w:pPr>
              <w:widowControl/>
              <w:suppressAutoHyphens/>
              <w:autoSpaceDE/>
              <w:autoSpaceDN/>
              <w:adjustRightInd/>
              <w:spacing w:before="120"/>
              <w:jc w:val="center"/>
              <w:rPr>
                <w:rFonts w:ascii="Times New Roman" w:hAnsi="Times New Roman"/>
                <w:b/>
              </w:rPr>
            </w:pPr>
            <w:r>
              <w:rPr>
                <w:rFonts w:ascii="Times New Roman" w:hAnsi="Times New Roman"/>
                <w:b/>
              </w:rPr>
              <w:t>OFFICE OF ENGINEERING AND TECHNOLOGY</w:t>
            </w:r>
          </w:p>
        </w:tc>
        <w:tc>
          <w:tcPr>
            <w:tcW w:w="5220" w:type="dxa"/>
            <w:gridSpan w:val="2"/>
          </w:tcPr>
          <w:p w:rsidR="00D92C9C" w:rsidRDefault="00D92C9C" w:rsidP="00101027">
            <w:pPr>
              <w:widowControl/>
              <w:suppressAutoHyphens/>
              <w:autoSpaceDE/>
              <w:adjustRightInd/>
              <w:spacing w:before="240"/>
              <w:rPr>
                <w:rFonts w:ascii="Times New Roman" w:hAnsi="Times New Roman"/>
              </w:rPr>
            </w:pPr>
            <w:r>
              <w:rPr>
                <w:rFonts w:ascii="Times New Roman" w:hAnsi="Times New Roman"/>
                <w:b/>
              </w:rPr>
              <w:t xml:space="preserve">TITLE:  </w:t>
            </w:r>
            <w:r w:rsidRPr="008A1327">
              <w:rPr>
                <w:rFonts w:ascii="Times New Roman" w:hAnsi="Times New Roman"/>
              </w:rPr>
              <w:t>Expanding the Economic and Innovation Opportunities of Spectrum Through Incentive Auctions</w:t>
            </w:r>
            <w:r w:rsidR="00101027">
              <w:rPr>
                <w:rFonts w:ascii="Times New Roman" w:hAnsi="Times New Roman"/>
              </w:rPr>
              <w:t xml:space="preserve"> </w:t>
            </w:r>
            <w:r w:rsidR="00101027" w:rsidRPr="00101027">
              <w:rPr>
                <w:rFonts w:ascii="Times New Roman" w:hAnsi="Times New Roman"/>
              </w:rPr>
              <w:t>(GN Docket No. 12-268)</w:t>
            </w:r>
          </w:p>
          <w:p w:rsidR="00D92C9C" w:rsidRDefault="00D92C9C" w:rsidP="00EC0797">
            <w:pPr>
              <w:widowControl/>
              <w:suppressAutoHyphens/>
              <w:autoSpaceDE/>
              <w:adjustRightInd/>
              <w:spacing w:before="120"/>
              <w:rPr>
                <w:rFonts w:ascii="Times New Roman" w:hAnsi="Times New Roman"/>
              </w:rPr>
            </w:pPr>
          </w:p>
          <w:p w:rsidR="00D92C9C" w:rsidRPr="0017209F" w:rsidRDefault="00D92C9C" w:rsidP="002E7116">
            <w:pPr>
              <w:rPr>
                <w:rFonts w:ascii="Times New Roman" w:hAnsi="Times New Roman"/>
                <w:color w:val="333333"/>
                <w:lang w:val="en"/>
              </w:rPr>
            </w:pPr>
            <w:r>
              <w:rPr>
                <w:rFonts w:ascii="Times New Roman" w:hAnsi="Times New Roman"/>
                <w:b/>
              </w:rPr>
              <w:t xml:space="preserve">SUMMARY:  </w:t>
            </w:r>
            <w:r w:rsidRPr="0017209F">
              <w:rPr>
                <w:rFonts w:ascii="Times New Roman" w:hAnsi="Times New Roman"/>
                <w:color w:val="333333"/>
                <w:lang w:val="en"/>
              </w:rPr>
              <w:t>The Commission will consider a Declaratory Ruling that clarifies that the Commission intends to make all reasonable efforts to preserve both the “coverage area” and “population served” of eligible broadcast television stations in the repacking process associated with the Incentive Auction.</w:t>
            </w:r>
          </w:p>
          <w:p w:rsidR="00D92C9C" w:rsidRDefault="00D92C9C" w:rsidP="002E7116">
            <w:pPr>
              <w:rPr>
                <w:rFonts w:ascii="Times New Roman" w:hAnsi="Times New Roman"/>
                <w:b/>
              </w:rPr>
            </w:pPr>
          </w:p>
        </w:tc>
      </w:tr>
      <w:tr w:rsidR="00AA2996" w:rsidTr="008A1327">
        <w:tblPrEx>
          <w:tblCellMar>
            <w:right w:w="120" w:type="dxa"/>
          </w:tblCellMar>
        </w:tblPrEx>
        <w:trPr>
          <w:gridAfter w:val="1"/>
          <w:wAfter w:w="180" w:type="dxa"/>
        </w:trPr>
        <w:tc>
          <w:tcPr>
            <w:tcW w:w="1440" w:type="dxa"/>
            <w:gridSpan w:val="2"/>
          </w:tcPr>
          <w:p w:rsidR="00AA2996" w:rsidRDefault="00D92C9C" w:rsidP="00AA2996">
            <w:pPr>
              <w:tabs>
                <w:tab w:val="left" w:pos="-720"/>
              </w:tabs>
              <w:suppressAutoHyphens/>
              <w:spacing w:before="120"/>
              <w:jc w:val="center"/>
              <w:rPr>
                <w:rFonts w:ascii="Times New Roman" w:hAnsi="Times New Roman"/>
                <w:b/>
              </w:rPr>
            </w:pPr>
            <w:r>
              <w:rPr>
                <w:rFonts w:ascii="Times New Roman" w:hAnsi="Times New Roman"/>
                <w:b/>
              </w:rPr>
              <w:t>4</w:t>
            </w:r>
          </w:p>
        </w:tc>
        <w:tc>
          <w:tcPr>
            <w:tcW w:w="2880" w:type="dxa"/>
            <w:gridSpan w:val="2"/>
          </w:tcPr>
          <w:p w:rsidR="00AA2996" w:rsidRDefault="005A5A89" w:rsidP="00AA2996">
            <w:pPr>
              <w:widowControl/>
              <w:suppressAutoHyphens/>
              <w:autoSpaceDE/>
              <w:autoSpaceDN/>
              <w:adjustRightInd/>
              <w:spacing w:before="120"/>
              <w:jc w:val="center"/>
              <w:rPr>
                <w:rFonts w:ascii="Times New Roman" w:hAnsi="Times New Roman"/>
                <w:b/>
              </w:rPr>
            </w:pPr>
            <w:r>
              <w:rPr>
                <w:rFonts w:ascii="Times New Roman" w:hAnsi="Times New Roman"/>
                <w:b/>
              </w:rPr>
              <w:t>OFFICE OF ENGINEERING AND TECHNOLOGY</w:t>
            </w:r>
          </w:p>
        </w:tc>
        <w:tc>
          <w:tcPr>
            <w:tcW w:w="5220" w:type="dxa"/>
            <w:gridSpan w:val="2"/>
          </w:tcPr>
          <w:p w:rsidR="00AA2996" w:rsidRPr="008E68D2" w:rsidRDefault="00AA2996" w:rsidP="00AA2996">
            <w:pPr>
              <w:widowControl/>
              <w:suppressAutoHyphens/>
              <w:autoSpaceDE/>
              <w:adjustRightInd/>
              <w:spacing w:before="120"/>
              <w:rPr>
                <w:rFonts w:ascii="Times New Roman" w:hAnsi="Times New Roman"/>
              </w:rPr>
            </w:pPr>
            <w:r w:rsidRPr="008E68D2">
              <w:rPr>
                <w:rFonts w:ascii="Times New Roman" w:hAnsi="Times New Roman"/>
                <w:b/>
              </w:rPr>
              <w:t xml:space="preserve">TITLE:  </w:t>
            </w:r>
            <w:r w:rsidR="005A5A89">
              <w:rPr>
                <w:rFonts w:ascii="Times New Roman" w:hAnsi="Times New Roman"/>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Expanding the Economic and Innovation Opportunities of Spectrum Through Incentive Auctions</w:t>
            </w:r>
            <w:r w:rsidR="00101027">
              <w:rPr>
                <w:rFonts w:ascii="Times New Roman" w:hAnsi="Times New Roman"/>
              </w:rPr>
              <w:t xml:space="preserve"> (GN Docket No. 12-268)</w:t>
            </w:r>
          </w:p>
          <w:p w:rsidR="005A5A89" w:rsidRPr="005A5A89" w:rsidRDefault="00AA2996" w:rsidP="005A5A89">
            <w:pPr>
              <w:widowControl/>
              <w:suppressAutoHyphens/>
              <w:autoSpaceDE/>
              <w:adjustRightInd/>
              <w:spacing w:before="120"/>
              <w:rPr>
                <w:rFonts w:ascii="Times New Roman" w:hAnsi="Times New Roman"/>
                <w:lang w:val="en"/>
              </w:rPr>
            </w:pPr>
            <w:r w:rsidRPr="008E68D2">
              <w:rPr>
                <w:rFonts w:ascii="Times New Roman" w:hAnsi="Times New Roman"/>
                <w:b/>
              </w:rPr>
              <w:t xml:space="preserve">SUMMARY:  </w:t>
            </w:r>
            <w:r w:rsidR="005A5A89" w:rsidRPr="005A5A89">
              <w:rPr>
                <w:rFonts w:ascii="Times New Roman" w:hAnsi="Times New Roman"/>
                <w:lang w:val="en"/>
              </w:rPr>
              <w:t xml:space="preserve">The Commission will consider a Notice of Proposed Rulemaking to revise rules for unlicensed operations in the TV bands and new 600 MHz Band, including fixed and personal/portable white space devices and unlicensed microphones. The proposed changes and new rules are intended to allow more robust and spectrally efficient unlicensed operations without increasing the risk of harmful interference to other users. </w:t>
            </w:r>
          </w:p>
          <w:p w:rsidR="00AA2996" w:rsidRPr="006D15EB" w:rsidRDefault="00AA2996" w:rsidP="005A5A89">
            <w:pPr>
              <w:widowControl/>
              <w:suppressAutoHyphens/>
              <w:autoSpaceDE/>
              <w:adjustRightInd/>
              <w:spacing w:before="120"/>
              <w:rPr>
                <w:rFonts w:ascii="Times New Roman" w:hAnsi="Times New Roman"/>
              </w:rPr>
            </w:pPr>
          </w:p>
        </w:tc>
      </w:tr>
      <w:tr w:rsidR="00AA2996" w:rsidTr="008A1327">
        <w:tblPrEx>
          <w:tblCellMar>
            <w:right w:w="120" w:type="dxa"/>
          </w:tblCellMar>
        </w:tblPrEx>
        <w:trPr>
          <w:gridAfter w:val="1"/>
          <w:wAfter w:w="180" w:type="dxa"/>
        </w:trPr>
        <w:tc>
          <w:tcPr>
            <w:tcW w:w="1440" w:type="dxa"/>
            <w:gridSpan w:val="2"/>
          </w:tcPr>
          <w:p w:rsidR="00AA2996" w:rsidRDefault="00D92C9C" w:rsidP="006D3821">
            <w:pPr>
              <w:suppressAutoHyphens/>
              <w:spacing w:before="120"/>
              <w:jc w:val="center"/>
              <w:rPr>
                <w:rFonts w:ascii="Times New Roman" w:hAnsi="Times New Roman"/>
                <w:b/>
              </w:rPr>
            </w:pPr>
            <w:r>
              <w:rPr>
                <w:rFonts w:ascii="Times New Roman" w:hAnsi="Times New Roman"/>
                <w:b/>
              </w:rPr>
              <w:t>5</w:t>
            </w:r>
          </w:p>
        </w:tc>
        <w:tc>
          <w:tcPr>
            <w:tcW w:w="2880" w:type="dxa"/>
            <w:gridSpan w:val="2"/>
          </w:tcPr>
          <w:p w:rsidR="00AA2996" w:rsidRDefault="00476A27" w:rsidP="00AA2996">
            <w:pPr>
              <w:widowControl/>
              <w:suppressAutoHyphens/>
              <w:autoSpaceDE/>
              <w:autoSpaceDN/>
              <w:adjustRightInd/>
              <w:spacing w:before="120"/>
              <w:jc w:val="center"/>
              <w:rPr>
                <w:rFonts w:ascii="Times New Roman" w:hAnsi="Times New Roman"/>
                <w:b/>
              </w:rPr>
            </w:pPr>
            <w:r>
              <w:rPr>
                <w:rFonts w:ascii="Times New Roman" w:hAnsi="Times New Roman"/>
                <w:b/>
              </w:rPr>
              <w:t>OFFICE OF ENGINEERING AND TECHNOLOGY</w:t>
            </w:r>
          </w:p>
        </w:tc>
        <w:tc>
          <w:tcPr>
            <w:tcW w:w="5220" w:type="dxa"/>
            <w:gridSpan w:val="2"/>
          </w:tcPr>
          <w:p w:rsidR="00AA2996" w:rsidRDefault="00AA2996" w:rsidP="00AA2996">
            <w:pPr>
              <w:widowControl/>
              <w:suppressAutoHyphens/>
              <w:autoSpaceDE/>
              <w:adjustRightInd/>
              <w:spacing w:before="120"/>
              <w:rPr>
                <w:rFonts w:ascii="Times New Roman" w:hAnsi="Times New Roman"/>
              </w:rPr>
            </w:pPr>
            <w:r>
              <w:rPr>
                <w:rFonts w:ascii="Times New Roman" w:hAnsi="Times New Roman"/>
                <w:b/>
              </w:rPr>
              <w:t xml:space="preserve">TITLE:  </w:t>
            </w:r>
            <w:r w:rsidR="00476A27">
              <w:rPr>
                <w:rFonts w:ascii="Times New Roman" w:hAnsi="Times New Roman"/>
                <w:iCs/>
              </w:rPr>
              <w:t>Promoting Spectrum Access for Wireless Microphone Operations; Expanding the Economic and Innovation Opportunities of Spectrum Through Incentive Auctions</w:t>
            </w:r>
            <w:r w:rsidR="0017209F">
              <w:rPr>
                <w:rFonts w:ascii="Times New Roman" w:hAnsi="Times New Roman"/>
                <w:iCs/>
              </w:rPr>
              <w:t xml:space="preserve"> (GN Docket No. 12-268)</w:t>
            </w:r>
          </w:p>
          <w:p w:rsidR="00AA2996" w:rsidRDefault="00AA2996" w:rsidP="002E7116">
            <w:pPr>
              <w:widowControl/>
              <w:suppressAutoHyphens/>
              <w:autoSpaceDE/>
              <w:adjustRightInd/>
              <w:spacing w:before="120"/>
              <w:rPr>
                <w:rFonts w:ascii="Times New Roman" w:hAnsi="Times New Roman"/>
                <w:b/>
              </w:rPr>
            </w:pPr>
            <w:r>
              <w:rPr>
                <w:rFonts w:ascii="Times New Roman" w:hAnsi="Times New Roman"/>
                <w:b/>
              </w:rPr>
              <w:t xml:space="preserve">SUMMARY:  </w:t>
            </w:r>
            <w:r w:rsidR="00476A27" w:rsidRPr="00476A27">
              <w:rPr>
                <w:rFonts w:ascii="Times New Roman" w:hAnsi="Times New Roman"/>
                <w:lang w:val="en"/>
              </w:rPr>
              <w:t xml:space="preserve">The Commission will consider a Notice of Proposed Rulemaking to address the needs of wireless microphone users, while recognizing that they must share spectrum with other wireless uses in an increasingly crowded </w:t>
            </w:r>
            <w:r w:rsidR="00476A27" w:rsidRPr="00476A27">
              <w:rPr>
                <w:rFonts w:ascii="Times New Roman" w:hAnsi="Times New Roman"/>
                <w:lang w:val="en"/>
              </w:rPr>
              <w:lastRenderedPageBreak/>
              <w:t>spectral environment.</w:t>
            </w:r>
          </w:p>
        </w:tc>
      </w:tr>
      <w:tr w:rsidR="008A1327" w:rsidTr="008A1327">
        <w:tblPrEx>
          <w:tblCellMar>
            <w:right w:w="120" w:type="dxa"/>
          </w:tblCellMar>
        </w:tblPrEx>
        <w:trPr>
          <w:gridAfter w:val="1"/>
          <w:wAfter w:w="180" w:type="dxa"/>
        </w:trPr>
        <w:tc>
          <w:tcPr>
            <w:tcW w:w="1440" w:type="dxa"/>
            <w:gridSpan w:val="2"/>
          </w:tcPr>
          <w:p w:rsidR="008A1327" w:rsidRDefault="008A1327" w:rsidP="005C5E96">
            <w:pPr>
              <w:suppressAutoHyphens/>
              <w:spacing w:before="120"/>
              <w:jc w:val="center"/>
              <w:rPr>
                <w:rFonts w:ascii="Times New Roman" w:hAnsi="Times New Roman"/>
                <w:b/>
              </w:rPr>
            </w:pPr>
          </w:p>
        </w:tc>
        <w:tc>
          <w:tcPr>
            <w:tcW w:w="2880" w:type="dxa"/>
            <w:gridSpan w:val="2"/>
          </w:tcPr>
          <w:p w:rsidR="008A1327" w:rsidRDefault="008A1327" w:rsidP="005C5E96">
            <w:pPr>
              <w:widowControl/>
              <w:suppressAutoHyphens/>
              <w:autoSpaceDE/>
              <w:autoSpaceDN/>
              <w:adjustRightInd/>
              <w:spacing w:before="120"/>
              <w:jc w:val="center"/>
              <w:rPr>
                <w:rFonts w:ascii="Times New Roman" w:hAnsi="Times New Roman"/>
                <w:b/>
              </w:rPr>
            </w:pPr>
          </w:p>
        </w:tc>
        <w:tc>
          <w:tcPr>
            <w:tcW w:w="5220" w:type="dxa"/>
            <w:gridSpan w:val="2"/>
          </w:tcPr>
          <w:p w:rsidR="008A1327" w:rsidRDefault="008A1327" w:rsidP="005C5E96">
            <w:pPr>
              <w:widowControl/>
              <w:suppressAutoHyphens/>
              <w:autoSpaceDE/>
              <w:adjustRightInd/>
              <w:spacing w:before="120"/>
              <w:rPr>
                <w:rFonts w:ascii="Times New Roman" w:hAnsi="Times New Roman"/>
                <w:b/>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81" w:rsidRDefault="001C7781">
      <w:r>
        <w:separator/>
      </w:r>
    </w:p>
  </w:endnote>
  <w:endnote w:type="continuationSeparator" w:id="0">
    <w:p w:rsidR="001C7781" w:rsidRDefault="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185">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D35">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81" w:rsidRDefault="001C7781">
      <w:r>
        <w:separator/>
      </w:r>
    </w:p>
  </w:footnote>
  <w:footnote w:type="continuationSeparator" w:id="0">
    <w:p w:rsidR="001C7781" w:rsidRDefault="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85" w:rsidRDefault="00816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85" w:rsidRDefault="00816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D7358"/>
    <w:rsid w:val="000E3458"/>
    <w:rsid w:val="000F182B"/>
    <w:rsid w:val="000F61AF"/>
    <w:rsid w:val="000F7905"/>
    <w:rsid w:val="00101027"/>
    <w:rsid w:val="00101375"/>
    <w:rsid w:val="00101C45"/>
    <w:rsid w:val="0010457A"/>
    <w:rsid w:val="0010544F"/>
    <w:rsid w:val="00115DCC"/>
    <w:rsid w:val="001170E6"/>
    <w:rsid w:val="00121A6F"/>
    <w:rsid w:val="00140014"/>
    <w:rsid w:val="00143345"/>
    <w:rsid w:val="00152186"/>
    <w:rsid w:val="00154B70"/>
    <w:rsid w:val="001557E8"/>
    <w:rsid w:val="001571DD"/>
    <w:rsid w:val="001629AD"/>
    <w:rsid w:val="001710AB"/>
    <w:rsid w:val="0017209F"/>
    <w:rsid w:val="00194AD5"/>
    <w:rsid w:val="001A1829"/>
    <w:rsid w:val="001A6B16"/>
    <w:rsid w:val="001A7DFF"/>
    <w:rsid w:val="001B092B"/>
    <w:rsid w:val="001B2278"/>
    <w:rsid w:val="001B3C5D"/>
    <w:rsid w:val="001B48CB"/>
    <w:rsid w:val="001B5D7D"/>
    <w:rsid w:val="001C106A"/>
    <w:rsid w:val="001C1DE3"/>
    <w:rsid w:val="001C7781"/>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A723A"/>
    <w:rsid w:val="002B1B3D"/>
    <w:rsid w:val="002B20E0"/>
    <w:rsid w:val="002B590D"/>
    <w:rsid w:val="002C3EC8"/>
    <w:rsid w:val="002C50A3"/>
    <w:rsid w:val="002C5813"/>
    <w:rsid w:val="002C5EA2"/>
    <w:rsid w:val="002D02F6"/>
    <w:rsid w:val="002E0BD8"/>
    <w:rsid w:val="002E7116"/>
    <w:rsid w:val="002F0875"/>
    <w:rsid w:val="0030211F"/>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C4FA4"/>
    <w:rsid w:val="003D2E75"/>
    <w:rsid w:val="003D5230"/>
    <w:rsid w:val="003D5F3C"/>
    <w:rsid w:val="003E01D7"/>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1643"/>
    <w:rsid w:val="00473804"/>
    <w:rsid w:val="00476A27"/>
    <w:rsid w:val="004803A0"/>
    <w:rsid w:val="00480762"/>
    <w:rsid w:val="00483AEA"/>
    <w:rsid w:val="0048591C"/>
    <w:rsid w:val="00494E69"/>
    <w:rsid w:val="004971EB"/>
    <w:rsid w:val="004A02CF"/>
    <w:rsid w:val="004B4A77"/>
    <w:rsid w:val="004B4F22"/>
    <w:rsid w:val="004C70C2"/>
    <w:rsid w:val="004D09F5"/>
    <w:rsid w:val="004D0C1B"/>
    <w:rsid w:val="004D73C1"/>
    <w:rsid w:val="004E0A8C"/>
    <w:rsid w:val="004E22AD"/>
    <w:rsid w:val="004F119A"/>
    <w:rsid w:val="004F3543"/>
    <w:rsid w:val="004F4922"/>
    <w:rsid w:val="004F5123"/>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A5A89"/>
    <w:rsid w:val="005A7B36"/>
    <w:rsid w:val="005B14DA"/>
    <w:rsid w:val="005B5D8E"/>
    <w:rsid w:val="005C66F8"/>
    <w:rsid w:val="005D4F68"/>
    <w:rsid w:val="005D6B12"/>
    <w:rsid w:val="005F1F4D"/>
    <w:rsid w:val="00603A21"/>
    <w:rsid w:val="006213D9"/>
    <w:rsid w:val="00633267"/>
    <w:rsid w:val="00643D35"/>
    <w:rsid w:val="006442F3"/>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11A5"/>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16185"/>
    <w:rsid w:val="00821197"/>
    <w:rsid w:val="008330FB"/>
    <w:rsid w:val="00833899"/>
    <w:rsid w:val="008343B7"/>
    <w:rsid w:val="008568CD"/>
    <w:rsid w:val="00856C47"/>
    <w:rsid w:val="00856DB9"/>
    <w:rsid w:val="00861A32"/>
    <w:rsid w:val="00864E2B"/>
    <w:rsid w:val="0087210D"/>
    <w:rsid w:val="0087221E"/>
    <w:rsid w:val="008732F5"/>
    <w:rsid w:val="00874771"/>
    <w:rsid w:val="00877248"/>
    <w:rsid w:val="008777BA"/>
    <w:rsid w:val="00885B7E"/>
    <w:rsid w:val="008A1327"/>
    <w:rsid w:val="008A3FEF"/>
    <w:rsid w:val="008A52D8"/>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68A6"/>
    <w:rsid w:val="00992A9C"/>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64FC9"/>
    <w:rsid w:val="00A779BB"/>
    <w:rsid w:val="00A83473"/>
    <w:rsid w:val="00A916CB"/>
    <w:rsid w:val="00A9284D"/>
    <w:rsid w:val="00A951B7"/>
    <w:rsid w:val="00A96183"/>
    <w:rsid w:val="00AA2270"/>
    <w:rsid w:val="00AA2996"/>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C2921"/>
    <w:rsid w:val="00CD5D0A"/>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7384"/>
    <w:rsid w:val="00D80B06"/>
    <w:rsid w:val="00D84583"/>
    <w:rsid w:val="00D92C9C"/>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0D35"/>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50652936">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3835</Characters>
  <Application>Microsoft Office Word</Application>
  <DocSecurity>0</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4499</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2014-09-23T21:27:00Z</dcterms:created>
  <dcterms:modified xsi:type="dcterms:W3CDTF">2014-09-23T21:27:00Z</dcterms:modified>
  <cp:category> </cp:category>
  <cp:contentStatus> </cp:contentStatus>
</cp:coreProperties>
</file>