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E507EE">
        <w:tc>
          <w:tcPr>
            <w:tcW w:w="4698" w:type="dxa"/>
          </w:tcPr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Connect America Fund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Universal Service Reform – Mobility Fund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ETC Annual Reports and Certifications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Establishing Just and Reasonable Rates for Local Exchange Carriers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Developing an Unified Intercarrier Compensation Regime</w:t>
            </w:r>
          </w:p>
          <w:p w:rsidR="00E507EE" w:rsidRPr="007115F7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Pr="00511D83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511D83">
              <w:rPr>
                <w:b/>
                <w:spacing w:val="-2"/>
              </w:rPr>
              <w:t>)</w:t>
            </w:r>
          </w:p>
          <w:p w:rsidR="00E507EE" w:rsidRPr="00511D83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511D83">
              <w:rPr>
                <w:b/>
                <w:spacing w:val="-2"/>
              </w:rPr>
              <w:t>)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 w:rsidRPr="00511D83"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295D47">
            <w:pPr>
              <w:pStyle w:val="TOAHeading"/>
              <w:widowControl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10-90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WT Docket No. 10-208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14-58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07-135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CC Docket No. 01-92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RDefault="004C2EE3" w:rsidP="0070224F"/>
    <w:p w:rsidR="00841AB1" w:rsidRDefault="00D541E9" w:rsidP="00F021FA">
      <w:pPr>
        <w:pStyle w:val="StyleBoldCentered"/>
      </w:pPr>
      <w:r>
        <w:t xml:space="preserve">Second </w:t>
      </w:r>
      <w:r w:rsidR="00DC083C">
        <w:t>erratum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DC083C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ab/>
      </w:r>
      <w:r w:rsidR="004C2EE3"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 w:rsidR="00D93D2A">
        <w:rPr>
          <w:b/>
          <w:spacing w:val="-2"/>
        </w:rPr>
        <w:t xml:space="preserve">July </w:t>
      </w:r>
      <w:r w:rsidR="00AB49A6">
        <w:rPr>
          <w:b/>
          <w:spacing w:val="-2"/>
        </w:rPr>
        <w:t>1</w:t>
      </w:r>
      <w:r w:rsidR="00EA5525">
        <w:rPr>
          <w:b/>
          <w:spacing w:val="-2"/>
        </w:rPr>
        <w:t>1</w:t>
      </w:r>
      <w:r>
        <w:rPr>
          <w:b/>
          <w:spacing w:val="-2"/>
        </w:rPr>
        <w:t>, 2014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DC083C">
        <w:rPr>
          <w:spacing w:val="-2"/>
        </w:rPr>
        <w:t xml:space="preserve"> </w:t>
      </w:r>
      <w:r w:rsidR="00D93D2A">
        <w:rPr>
          <w:spacing w:val="-2"/>
        </w:rPr>
        <w:t>Acting</w:t>
      </w:r>
      <w:r w:rsidR="00DC083C">
        <w:rPr>
          <w:spacing w:val="-2"/>
        </w:rPr>
        <w:t xml:space="preserve"> Chief, Wireline Competition Bureau</w:t>
      </w:r>
      <w:r>
        <w:rPr>
          <w:spacing w:val="-2"/>
        </w:rPr>
        <w:t>:</w:t>
      </w:r>
    </w:p>
    <w:p w:rsidR="00822EC6" w:rsidRDefault="00822EC6">
      <w:pPr>
        <w:rPr>
          <w:spacing w:val="-2"/>
        </w:rPr>
      </w:pPr>
    </w:p>
    <w:p w:rsidR="00100D38" w:rsidRDefault="00822EC6" w:rsidP="00822EC6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E507EE">
        <w:t>June 10</w:t>
      </w:r>
      <w:r>
        <w:t xml:space="preserve">, 2014, the </w:t>
      </w:r>
      <w:r w:rsidR="00E507EE">
        <w:t>Commission</w:t>
      </w:r>
      <w:r>
        <w:t xml:space="preserve"> released a </w:t>
      </w:r>
      <w:r w:rsidRPr="00822EC6">
        <w:t>Report and Order</w:t>
      </w:r>
      <w:r w:rsidR="00E507EE">
        <w:t>, Declaratory Ruling, Order, Memorandum Opinion and Order, Seventh Order on Reconsideration, and Further Notice of Proposed Rulemaking</w:t>
      </w:r>
      <w:r w:rsidR="00B97C64">
        <w:t xml:space="preserve"> </w:t>
      </w:r>
      <w:r w:rsidR="00B97C64" w:rsidRPr="008528A4">
        <w:rPr>
          <w:szCs w:val="22"/>
        </w:rPr>
        <w:t>(</w:t>
      </w:r>
      <w:r w:rsidR="00B97C64" w:rsidRPr="008528A4">
        <w:rPr>
          <w:i/>
          <w:szCs w:val="22"/>
        </w:rPr>
        <w:t>Connect America Order and Further Notice of Proposed Rulemaking</w:t>
      </w:r>
      <w:r w:rsidR="00B97C64" w:rsidRPr="008528A4">
        <w:rPr>
          <w:szCs w:val="22"/>
        </w:rPr>
        <w:t>)</w:t>
      </w:r>
      <w:r>
        <w:t xml:space="preserve">, </w:t>
      </w:r>
      <w:r w:rsidR="00E507EE">
        <w:t>FCC</w:t>
      </w:r>
      <w:r>
        <w:t xml:space="preserve"> 14-</w:t>
      </w:r>
      <w:r w:rsidR="00E507EE">
        <w:t>54</w:t>
      </w:r>
      <w:r>
        <w:t>, in the above-captioned proceeding</w:t>
      </w:r>
      <w:r w:rsidR="00B759B4">
        <w:t>s</w:t>
      </w:r>
      <w:r>
        <w:t>.</w:t>
      </w:r>
    </w:p>
    <w:p w:rsidR="00100D38" w:rsidRDefault="00B97C64" w:rsidP="00822EC6">
      <w:pPr>
        <w:pStyle w:val="ParaNum"/>
        <w:numPr>
          <w:ilvl w:val="0"/>
          <w:numId w:val="0"/>
        </w:numPr>
        <w:ind w:firstLine="720"/>
      </w:pPr>
      <w:r>
        <w:t xml:space="preserve">On June 26, 2014, the Wireline Competition Bureau released an Erratum correcting Appendix A of </w:t>
      </w:r>
      <w:r w:rsidR="009535E1">
        <w:t>that document</w:t>
      </w:r>
      <w:r>
        <w:rPr>
          <w:i/>
          <w:szCs w:val="22"/>
        </w:rPr>
        <w:t>.</w:t>
      </w:r>
      <w:r w:rsidDel="00B97C64">
        <w:t xml:space="preserve"> </w:t>
      </w:r>
      <w:r w:rsidR="00822EC6">
        <w:t xml:space="preserve"> </w:t>
      </w:r>
      <w:r>
        <w:t xml:space="preserve">This </w:t>
      </w:r>
      <w:r w:rsidR="009535E1">
        <w:t xml:space="preserve">Second </w:t>
      </w:r>
      <w:r w:rsidR="00822EC6">
        <w:t xml:space="preserve">Erratum </w:t>
      </w:r>
      <w:r w:rsidR="00100D38">
        <w:t>amend</w:t>
      </w:r>
      <w:r w:rsidR="00822EC6">
        <w:t xml:space="preserve">s </w:t>
      </w:r>
      <w:r w:rsidR="005B2E3F">
        <w:t>the</w:t>
      </w:r>
      <w:r w:rsidR="00100D38" w:rsidRPr="00100D38">
        <w:rPr>
          <w:i/>
          <w:szCs w:val="22"/>
        </w:rPr>
        <w:t xml:space="preserve"> </w:t>
      </w:r>
      <w:r w:rsidR="00100D38" w:rsidRPr="008528A4">
        <w:rPr>
          <w:i/>
          <w:szCs w:val="22"/>
        </w:rPr>
        <w:t>Connect America Order and Further Notice of Proposed Rulemaking</w:t>
      </w:r>
      <w:r w:rsidR="005B2E3F">
        <w:t xml:space="preserve"> </w:t>
      </w:r>
      <w:r w:rsidR="00100D38">
        <w:t>as indicated below:</w:t>
      </w:r>
    </w:p>
    <w:p w:rsidR="00822EC6" w:rsidRDefault="009535E1" w:rsidP="00822EC6">
      <w:pPr>
        <w:pStyle w:val="ParaNum"/>
        <w:numPr>
          <w:ilvl w:val="0"/>
          <w:numId w:val="0"/>
        </w:numPr>
        <w:ind w:firstLine="720"/>
      </w:pPr>
      <w:r>
        <w:t xml:space="preserve">In </w:t>
      </w:r>
      <w:r w:rsidR="00100D38">
        <w:t xml:space="preserve">Paragraph 80, in the </w:t>
      </w:r>
      <w:r w:rsidR="00E507EE">
        <w:t>second, third, and fourth sentence</w:t>
      </w:r>
      <w:r w:rsidR="005B2E3F">
        <w:t>,</w:t>
      </w:r>
      <w:r w:rsidR="00E507EE">
        <w:t xml:space="preserve"> </w:t>
      </w:r>
      <w:r w:rsidR="005B2E3F">
        <w:t>replac</w:t>
      </w:r>
      <w:r w:rsidR="00100D38">
        <w:t>e</w:t>
      </w:r>
      <w:r w:rsidR="005B2E3F">
        <w:t xml:space="preserve"> </w:t>
      </w:r>
      <w:r w:rsidR="00E507EE">
        <w:t xml:space="preserve">the words “less than,” </w:t>
      </w:r>
      <w:r w:rsidR="005B2E3F">
        <w:t>with “</w:t>
      </w:r>
      <w:r w:rsidR="00E507EE">
        <w:t>greater than or equal to</w:t>
      </w:r>
      <w:r w:rsidR="00B759B4">
        <w:t>.</w:t>
      </w:r>
      <w:r w:rsidR="00E507EE">
        <w:t>”</w:t>
      </w:r>
    </w:p>
    <w:p w:rsidR="00822EC6" w:rsidRPr="006069BE" w:rsidRDefault="00822EC6" w:rsidP="00822EC6"/>
    <w:p w:rsidR="00822EC6" w:rsidRPr="00DA3E4F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  <w:t>FEDERAL COMMUNICATIONS COMMISSION</w:t>
      </w:r>
    </w:p>
    <w:p w:rsidR="00822EC6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</w:p>
    <w:p w:rsidR="00822EC6" w:rsidRPr="00DA3E4F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822EC6" w:rsidRPr="00DA3E4F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822EC6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Carol E. Mattey</w:t>
      </w:r>
    </w:p>
    <w:p w:rsidR="00822EC6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863268">
        <w:rPr>
          <w:rFonts w:ascii="Times New Roman" w:hAnsi="Times New Roman"/>
          <w:b w:val="0"/>
          <w:caps w:val="0"/>
          <w:spacing w:val="-2"/>
        </w:rPr>
        <w:t>Acting</w:t>
      </w:r>
      <w:r>
        <w:rPr>
          <w:rFonts w:ascii="Times New Roman" w:hAnsi="Times New Roman"/>
          <w:b w:val="0"/>
          <w:caps w:val="0"/>
          <w:spacing w:val="-2"/>
        </w:rPr>
        <w:t xml:space="preserve"> Chief</w:t>
      </w:r>
    </w:p>
    <w:p w:rsidR="00822EC6" w:rsidRPr="00165CB7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 xml:space="preserve">Wireline Competition </w:t>
      </w:r>
      <w:r w:rsidRPr="00DA3E4F">
        <w:rPr>
          <w:rFonts w:ascii="Times New Roman" w:hAnsi="Times New Roman"/>
          <w:b w:val="0"/>
          <w:caps w:val="0"/>
          <w:spacing w:val="-2"/>
        </w:rPr>
        <w:t>Bureau</w:t>
      </w:r>
    </w:p>
    <w:p w:rsidR="00822EC6" w:rsidRDefault="00822EC6">
      <w:pPr>
        <w:rPr>
          <w:spacing w:val="-2"/>
        </w:rPr>
      </w:pPr>
    </w:p>
    <w:p w:rsidR="00822CE0" w:rsidRDefault="00822CE0">
      <w:pPr>
        <w:rPr>
          <w:spacing w:val="-2"/>
        </w:rPr>
      </w:pPr>
    </w:p>
    <w:p w:rsidR="002C00E8" w:rsidRPr="00DC083C" w:rsidRDefault="002C00E8" w:rsidP="00822EC6">
      <w:pPr>
        <w:pStyle w:val="ParaNum"/>
        <w:numPr>
          <w:ilvl w:val="0"/>
          <w:numId w:val="0"/>
        </w:numPr>
      </w:pPr>
    </w:p>
    <w:sectPr w:rsidR="002C00E8" w:rsidRPr="00DC083C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1C" w:rsidRDefault="00AC001C">
      <w:pPr>
        <w:spacing w:line="20" w:lineRule="exact"/>
      </w:pPr>
    </w:p>
  </w:endnote>
  <w:endnote w:type="continuationSeparator" w:id="0">
    <w:p w:rsidR="00AC001C" w:rsidRDefault="00AC001C">
      <w:r>
        <w:t xml:space="preserve"> </w:t>
      </w:r>
    </w:p>
  </w:endnote>
  <w:endnote w:type="continuationNotice" w:id="1">
    <w:p w:rsidR="00AC001C" w:rsidRDefault="00AC00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1C" w:rsidRDefault="00AC001C">
      <w:r>
        <w:separator/>
      </w:r>
    </w:p>
  </w:footnote>
  <w:footnote w:type="continuationSeparator" w:id="0">
    <w:p w:rsidR="00AC001C" w:rsidRDefault="00AC001C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AC001C" w:rsidRDefault="00AC001C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72" w:rsidRDefault="008E6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D5589A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5589A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45F"/>
    <w:multiLevelType w:val="hybridMultilevel"/>
    <w:tmpl w:val="42CCF0EA"/>
    <w:lvl w:ilvl="0" w:tplc="F94A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C592940"/>
    <w:multiLevelType w:val="hybridMultilevel"/>
    <w:tmpl w:val="1E227B6C"/>
    <w:lvl w:ilvl="0" w:tplc="E542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E351CEB"/>
    <w:multiLevelType w:val="hybridMultilevel"/>
    <w:tmpl w:val="912A8964"/>
    <w:lvl w:ilvl="0" w:tplc="D91E1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3C"/>
    <w:rsid w:val="00036039"/>
    <w:rsid w:val="00037F90"/>
    <w:rsid w:val="000708E8"/>
    <w:rsid w:val="000875BF"/>
    <w:rsid w:val="000951D4"/>
    <w:rsid w:val="00096D8C"/>
    <w:rsid w:val="000C0B65"/>
    <w:rsid w:val="000E05FE"/>
    <w:rsid w:val="000E3D42"/>
    <w:rsid w:val="00100D38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24A7D"/>
    <w:rsid w:val="0055614C"/>
    <w:rsid w:val="005B2E3F"/>
    <w:rsid w:val="005E14C2"/>
    <w:rsid w:val="00607BA5"/>
    <w:rsid w:val="0061180A"/>
    <w:rsid w:val="00626EB6"/>
    <w:rsid w:val="00627637"/>
    <w:rsid w:val="00655D03"/>
    <w:rsid w:val="00683388"/>
    <w:rsid w:val="00683F84"/>
    <w:rsid w:val="006845E8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22EC6"/>
    <w:rsid w:val="00830999"/>
    <w:rsid w:val="00841AB1"/>
    <w:rsid w:val="00863268"/>
    <w:rsid w:val="008C68F1"/>
    <w:rsid w:val="008E6F72"/>
    <w:rsid w:val="008F5AA1"/>
    <w:rsid w:val="00921803"/>
    <w:rsid w:val="00926503"/>
    <w:rsid w:val="00936B44"/>
    <w:rsid w:val="009535E1"/>
    <w:rsid w:val="009726D8"/>
    <w:rsid w:val="009F76DB"/>
    <w:rsid w:val="00A32C3B"/>
    <w:rsid w:val="00A45F4F"/>
    <w:rsid w:val="00A600A9"/>
    <w:rsid w:val="00AA55B7"/>
    <w:rsid w:val="00AA5B9E"/>
    <w:rsid w:val="00AB2407"/>
    <w:rsid w:val="00AB49A6"/>
    <w:rsid w:val="00AB53DF"/>
    <w:rsid w:val="00AC001C"/>
    <w:rsid w:val="00B07E5C"/>
    <w:rsid w:val="00B740FB"/>
    <w:rsid w:val="00B759B4"/>
    <w:rsid w:val="00B811F7"/>
    <w:rsid w:val="00B97C64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541E9"/>
    <w:rsid w:val="00D5589A"/>
    <w:rsid w:val="00D93D2A"/>
    <w:rsid w:val="00DA2529"/>
    <w:rsid w:val="00DB130A"/>
    <w:rsid w:val="00DB2EBB"/>
    <w:rsid w:val="00DC083C"/>
    <w:rsid w:val="00DC10A1"/>
    <w:rsid w:val="00DC655F"/>
    <w:rsid w:val="00DD0B59"/>
    <w:rsid w:val="00DD7EBD"/>
    <w:rsid w:val="00DF62B6"/>
    <w:rsid w:val="00E07225"/>
    <w:rsid w:val="00E3468B"/>
    <w:rsid w:val="00E507EE"/>
    <w:rsid w:val="00E5409F"/>
    <w:rsid w:val="00EA5525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9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C64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9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C64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1</Pages>
  <Words>195</Words>
  <Characters>1077</Characters>
  <Application>Microsoft Office Word</Application>
  <DocSecurity>0</DocSecurity>
  <Lines>72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1279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2014-04-30T17:20:00Z</cp:lastPrinted>
  <dcterms:created xsi:type="dcterms:W3CDTF">2014-07-11T20:51:00Z</dcterms:created>
  <dcterms:modified xsi:type="dcterms:W3CDTF">2014-07-11T20:51:00Z</dcterms:modified>
  <cp:category> </cp:category>
  <cp:contentStatus> </cp:contentStatus>
</cp:coreProperties>
</file>