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2A2FA" w14:textId="77777777" w:rsidR="00BF0B96" w:rsidRDefault="00623861" w:rsidP="003F52DC">
      <w:pPr>
        <w:spacing w:after="0" w:line="240" w:lineRule="auto"/>
        <w:jc w:val="center"/>
        <w:rPr>
          <w:b/>
        </w:rPr>
      </w:pPr>
      <w:bookmarkStart w:id="0" w:name="_GoBack"/>
      <w:bookmarkEnd w:id="0"/>
      <w:r>
        <w:rPr>
          <w:b/>
        </w:rPr>
        <w:t xml:space="preserve">FACT SHEET: </w:t>
      </w:r>
      <w:r w:rsidR="003F52DC">
        <w:rPr>
          <w:b/>
        </w:rPr>
        <w:t xml:space="preserve">FCC </w:t>
      </w:r>
      <w:r>
        <w:rPr>
          <w:b/>
        </w:rPr>
        <w:t xml:space="preserve">MOBILE SPECTRUM HOLDINGS </w:t>
      </w:r>
      <w:r w:rsidR="003F52DC">
        <w:rPr>
          <w:b/>
        </w:rPr>
        <w:t>RULES</w:t>
      </w:r>
    </w:p>
    <w:p w14:paraId="7DF686F6" w14:textId="2CB6F1EE" w:rsidR="003F52DC" w:rsidRDefault="00BF0B96" w:rsidP="003F52DC">
      <w:pPr>
        <w:spacing w:after="0" w:line="240" w:lineRule="auto"/>
        <w:jc w:val="center"/>
        <w:rPr>
          <w:b/>
        </w:rPr>
      </w:pPr>
      <w:r>
        <w:rPr>
          <w:b/>
        </w:rPr>
        <w:t>May 15, 2014</w:t>
      </w:r>
      <w:r w:rsidR="003F52DC">
        <w:rPr>
          <w:b/>
        </w:rPr>
        <w:t xml:space="preserve"> </w:t>
      </w:r>
    </w:p>
    <w:p w14:paraId="75A49648" w14:textId="77777777" w:rsidR="00B422BE" w:rsidRDefault="00B422BE" w:rsidP="003F52DC">
      <w:pPr>
        <w:spacing w:after="0" w:line="240" w:lineRule="auto"/>
        <w:jc w:val="center"/>
        <w:rPr>
          <w:b/>
        </w:rPr>
      </w:pPr>
    </w:p>
    <w:p w14:paraId="46263F5E" w14:textId="77777777" w:rsidR="00C43A1B" w:rsidRDefault="00C43A1B" w:rsidP="003F52DC">
      <w:pPr>
        <w:spacing w:after="0" w:line="240" w:lineRule="auto"/>
        <w:jc w:val="center"/>
        <w:rPr>
          <w:b/>
        </w:rPr>
      </w:pPr>
    </w:p>
    <w:p w14:paraId="4459D2B0" w14:textId="77777777" w:rsidR="003F52DC" w:rsidRPr="00C43A1B" w:rsidRDefault="003F52DC" w:rsidP="00EC2AFD">
      <w:pPr>
        <w:spacing w:after="0" w:line="240" w:lineRule="auto"/>
        <w:rPr>
          <w:b/>
          <w:u w:val="single"/>
        </w:rPr>
      </w:pPr>
      <w:r w:rsidRPr="00C43A1B">
        <w:rPr>
          <w:b/>
          <w:u w:val="single"/>
        </w:rPr>
        <w:t xml:space="preserve">PRO-CONSUMER STEP TO </w:t>
      </w:r>
      <w:r w:rsidR="00BB62C9">
        <w:rPr>
          <w:b/>
          <w:u w:val="single"/>
        </w:rPr>
        <w:t>PRESERVE AND PROMOTE</w:t>
      </w:r>
      <w:r w:rsidR="00BB62C9" w:rsidRPr="00C43A1B">
        <w:rPr>
          <w:b/>
          <w:u w:val="single"/>
        </w:rPr>
        <w:t xml:space="preserve"> </w:t>
      </w:r>
      <w:r w:rsidR="00546D45" w:rsidRPr="00C43A1B">
        <w:rPr>
          <w:b/>
          <w:bCs/>
          <w:u w:val="single"/>
        </w:rPr>
        <w:t>COMPETITION IN THE MOBILE MARKETPLACE</w:t>
      </w:r>
    </w:p>
    <w:p w14:paraId="44F48619" w14:textId="77777777" w:rsidR="003F52DC" w:rsidRDefault="003F52DC" w:rsidP="003F52DC">
      <w:pPr>
        <w:spacing w:after="0" w:line="240" w:lineRule="auto"/>
        <w:rPr>
          <w:b/>
        </w:rPr>
      </w:pPr>
    </w:p>
    <w:p w14:paraId="73C956F4" w14:textId="77777777" w:rsidR="00546D45" w:rsidRPr="003F52DC" w:rsidRDefault="00546D45" w:rsidP="003F52DC">
      <w:pPr>
        <w:spacing w:after="0" w:line="240" w:lineRule="auto"/>
        <w:rPr>
          <w:rFonts w:cstheme="minorHAnsi"/>
          <w:b/>
          <w:bCs/>
          <w:color w:val="222222"/>
          <w:shd w:val="clear" w:color="auto" w:fill="FFFFFF"/>
        </w:rPr>
      </w:pPr>
      <w:r w:rsidRPr="003F52DC">
        <w:rPr>
          <w:rFonts w:cstheme="minorHAnsi"/>
          <w:b/>
          <w:bCs/>
          <w:color w:val="222222"/>
          <w:shd w:val="clear" w:color="auto" w:fill="FFFFFF"/>
        </w:rPr>
        <w:t xml:space="preserve">Wireless </w:t>
      </w:r>
      <w:r w:rsidR="0096567C">
        <w:rPr>
          <w:rFonts w:cstheme="minorHAnsi"/>
          <w:b/>
          <w:bCs/>
          <w:color w:val="222222"/>
          <w:shd w:val="clear" w:color="auto" w:fill="FFFFFF"/>
        </w:rPr>
        <w:t>provider</w:t>
      </w:r>
      <w:r w:rsidRPr="003F52DC">
        <w:rPr>
          <w:rFonts w:cstheme="minorHAnsi"/>
          <w:b/>
          <w:bCs/>
          <w:color w:val="222222"/>
          <w:shd w:val="clear" w:color="auto" w:fill="FFFFFF"/>
        </w:rPr>
        <w:t>s use spectrum – the invisible infrastructure used by wireless devices such as smartphones and tablets—to provide communications services.</w:t>
      </w:r>
    </w:p>
    <w:p w14:paraId="0E19C1BC" w14:textId="77777777" w:rsidR="00546D45" w:rsidRPr="003F52DC" w:rsidRDefault="00546D45" w:rsidP="003F52DC">
      <w:pPr>
        <w:pStyle w:val="ListParagraph"/>
        <w:numPr>
          <w:ilvl w:val="0"/>
          <w:numId w:val="3"/>
        </w:numPr>
        <w:spacing w:after="0" w:line="240" w:lineRule="auto"/>
        <w:rPr>
          <w:rFonts w:cstheme="minorHAnsi"/>
          <w:color w:val="222222"/>
          <w:shd w:val="clear" w:color="auto" w:fill="FFFFFF"/>
        </w:rPr>
      </w:pPr>
      <w:r w:rsidRPr="003F52DC">
        <w:rPr>
          <w:rFonts w:cstheme="minorHAnsi"/>
          <w:color w:val="222222"/>
          <w:shd w:val="clear" w:color="auto" w:fill="FFFFFF"/>
        </w:rPr>
        <w:t xml:space="preserve">Access to spectrum is an essential input for the provision of mobile wireless services. </w:t>
      </w:r>
    </w:p>
    <w:p w14:paraId="0D29FCC7" w14:textId="06420A9F" w:rsidR="00546D45" w:rsidRPr="003F52DC" w:rsidRDefault="00546D45" w:rsidP="003F52DC">
      <w:pPr>
        <w:pStyle w:val="ListParagraph"/>
        <w:numPr>
          <w:ilvl w:val="0"/>
          <w:numId w:val="3"/>
        </w:numPr>
        <w:spacing w:after="0" w:line="240" w:lineRule="auto"/>
        <w:rPr>
          <w:rFonts w:cstheme="minorHAnsi"/>
          <w:color w:val="222222"/>
          <w:shd w:val="clear" w:color="auto" w:fill="FFFFFF"/>
        </w:rPr>
      </w:pPr>
      <w:r w:rsidRPr="003F52DC">
        <w:rPr>
          <w:rFonts w:cstheme="minorHAnsi"/>
          <w:color w:val="222222"/>
          <w:shd w:val="clear" w:color="auto" w:fill="FFFFFF"/>
        </w:rPr>
        <w:t xml:space="preserve">Demand for these services has grown sharply in recent years and projections indicate continued growth (Source: FCC 2013 Mobile Competition Report). </w:t>
      </w:r>
    </w:p>
    <w:p w14:paraId="1ED3099B" w14:textId="77777777" w:rsidR="00546D45" w:rsidRPr="003F52DC" w:rsidRDefault="00546D45" w:rsidP="003F52DC">
      <w:pPr>
        <w:pStyle w:val="ListParagraph"/>
        <w:numPr>
          <w:ilvl w:val="0"/>
          <w:numId w:val="3"/>
        </w:numPr>
        <w:spacing w:after="0" w:line="240" w:lineRule="auto"/>
        <w:rPr>
          <w:rFonts w:cstheme="minorHAnsi"/>
          <w:b/>
          <w:bCs/>
        </w:rPr>
      </w:pPr>
      <w:r w:rsidRPr="003F52DC">
        <w:rPr>
          <w:rFonts w:cstheme="minorHAnsi"/>
          <w:color w:val="222222"/>
          <w:shd w:val="clear" w:color="auto" w:fill="FFFFFF"/>
        </w:rPr>
        <w:t xml:space="preserve">In order for wireless </w:t>
      </w:r>
      <w:r w:rsidR="0096567C">
        <w:rPr>
          <w:rFonts w:cstheme="minorHAnsi"/>
          <w:color w:val="222222"/>
          <w:shd w:val="clear" w:color="auto" w:fill="FFFFFF"/>
        </w:rPr>
        <w:t>provider</w:t>
      </w:r>
      <w:r w:rsidRPr="003F52DC">
        <w:rPr>
          <w:rFonts w:cstheme="minorHAnsi"/>
          <w:color w:val="222222"/>
          <w:shd w:val="clear" w:color="auto" w:fill="FFFFFF"/>
        </w:rPr>
        <w:t>s to meet skyrocketing demand for mobile broadband, they need to put new spectrum to use and make more efficient use of existing spectrum holdings.</w:t>
      </w:r>
      <w:r w:rsidRPr="003F52DC">
        <w:rPr>
          <w:rFonts w:cstheme="minorHAnsi"/>
          <w:color w:val="222222"/>
          <w:shd w:val="clear" w:color="auto" w:fill="FFFFFF"/>
        </w:rPr>
        <w:br/>
      </w:r>
    </w:p>
    <w:p w14:paraId="21243256" w14:textId="77777777" w:rsidR="00546D45" w:rsidRDefault="00546D45" w:rsidP="003F52DC">
      <w:pPr>
        <w:spacing w:after="0" w:line="240" w:lineRule="auto"/>
        <w:rPr>
          <w:rFonts w:cstheme="minorHAnsi"/>
          <w:b/>
          <w:bCs/>
        </w:rPr>
      </w:pPr>
      <w:r w:rsidRPr="003F52DC">
        <w:rPr>
          <w:rFonts w:cstheme="minorHAnsi"/>
          <w:b/>
          <w:bCs/>
        </w:rPr>
        <w:t xml:space="preserve">Spectrum is a </w:t>
      </w:r>
      <w:r w:rsidR="007E3F01">
        <w:rPr>
          <w:rFonts w:cstheme="minorHAnsi"/>
          <w:b/>
          <w:bCs/>
        </w:rPr>
        <w:t>finite</w:t>
      </w:r>
      <w:r w:rsidR="007E3F01" w:rsidRPr="003F52DC">
        <w:rPr>
          <w:rFonts w:cstheme="minorHAnsi"/>
          <w:b/>
          <w:bCs/>
        </w:rPr>
        <w:t xml:space="preserve"> </w:t>
      </w:r>
      <w:r w:rsidRPr="003F52DC">
        <w:rPr>
          <w:rFonts w:cstheme="minorHAnsi"/>
          <w:b/>
          <w:bCs/>
        </w:rPr>
        <w:t xml:space="preserve">resource integral to providing mobile broadband service.  </w:t>
      </w:r>
      <w:r w:rsidRPr="00C27687">
        <w:rPr>
          <w:rFonts w:cstheme="minorHAnsi"/>
          <w:b/>
          <w:bCs/>
        </w:rPr>
        <w:t xml:space="preserve">No </w:t>
      </w:r>
      <w:r w:rsidR="00C27687" w:rsidRPr="00C27687">
        <w:rPr>
          <w:b/>
        </w:rPr>
        <w:t xml:space="preserve">one or two providers </w:t>
      </w:r>
      <w:r w:rsidRPr="00C27687">
        <w:rPr>
          <w:rFonts w:cstheme="minorHAnsi"/>
          <w:b/>
          <w:bCs/>
        </w:rPr>
        <w:t>should be able to dominate use of wireless airwaves.</w:t>
      </w:r>
    </w:p>
    <w:p w14:paraId="04ABDB79" w14:textId="77777777" w:rsidR="00462E90" w:rsidRPr="00C27687" w:rsidRDefault="00462E90" w:rsidP="003F52DC">
      <w:pPr>
        <w:spacing w:after="0" w:line="240" w:lineRule="auto"/>
        <w:rPr>
          <w:rFonts w:cstheme="minorHAnsi"/>
          <w:b/>
          <w:bCs/>
        </w:rPr>
      </w:pPr>
    </w:p>
    <w:p w14:paraId="500F5658" w14:textId="77777777" w:rsidR="00546D45" w:rsidRPr="003F52DC" w:rsidRDefault="00546D45" w:rsidP="003F52DC">
      <w:pPr>
        <w:pStyle w:val="PlainText"/>
        <w:numPr>
          <w:ilvl w:val="0"/>
          <w:numId w:val="2"/>
        </w:numPr>
        <w:rPr>
          <w:rFonts w:asciiTheme="minorHAnsi" w:hAnsiTheme="minorHAnsi" w:cstheme="minorHAnsi"/>
          <w:szCs w:val="22"/>
        </w:rPr>
      </w:pPr>
      <w:r w:rsidRPr="003F52DC">
        <w:rPr>
          <w:rFonts w:asciiTheme="minorHAnsi" w:hAnsiTheme="minorHAnsi" w:cstheme="minorHAnsi"/>
          <w:szCs w:val="22"/>
        </w:rPr>
        <w:t xml:space="preserve">Not all spectrum is created equal: mobile </w:t>
      </w:r>
      <w:r w:rsidR="0096567C">
        <w:rPr>
          <w:rFonts w:asciiTheme="minorHAnsi" w:hAnsiTheme="minorHAnsi" w:cstheme="minorHAnsi"/>
          <w:szCs w:val="22"/>
        </w:rPr>
        <w:t>provider</w:t>
      </w:r>
      <w:r w:rsidRPr="003F52DC">
        <w:rPr>
          <w:rFonts w:asciiTheme="minorHAnsi" w:hAnsiTheme="minorHAnsi" w:cstheme="minorHAnsi"/>
          <w:szCs w:val="22"/>
        </w:rPr>
        <w:t xml:space="preserve">s use a mix of both low-band </w:t>
      </w:r>
      <w:r w:rsidR="00D174F0">
        <w:rPr>
          <w:rFonts w:asciiTheme="minorHAnsi" w:hAnsiTheme="minorHAnsi" w:cstheme="minorHAnsi"/>
          <w:szCs w:val="22"/>
        </w:rPr>
        <w:t>“</w:t>
      </w:r>
      <w:r w:rsidRPr="003F52DC">
        <w:rPr>
          <w:rFonts w:asciiTheme="minorHAnsi" w:hAnsiTheme="minorHAnsi" w:cstheme="minorHAnsi"/>
          <w:szCs w:val="22"/>
        </w:rPr>
        <w:t>coverage</w:t>
      </w:r>
      <w:r w:rsidR="00D174F0">
        <w:rPr>
          <w:rFonts w:asciiTheme="minorHAnsi" w:hAnsiTheme="minorHAnsi" w:cstheme="minorHAnsi"/>
          <w:szCs w:val="22"/>
        </w:rPr>
        <w:t>”</w:t>
      </w:r>
      <w:r w:rsidRPr="003F52DC">
        <w:rPr>
          <w:rFonts w:asciiTheme="minorHAnsi" w:hAnsiTheme="minorHAnsi" w:cstheme="minorHAnsi"/>
          <w:szCs w:val="22"/>
        </w:rPr>
        <w:t xml:space="preserve"> spectrum</w:t>
      </w:r>
      <w:r w:rsidR="007E3F01">
        <w:rPr>
          <w:rFonts w:asciiTheme="minorHAnsi" w:hAnsiTheme="minorHAnsi" w:cstheme="minorHAnsi"/>
          <w:szCs w:val="22"/>
        </w:rPr>
        <w:t>,</w:t>
      </w:r>
      <w:r w:rsidRPr="003F52DC">
        <w:rPr>
          <w:rFonts w:asciiTheme="minorHAnsi" w:hAnsiTheme="minorHAnsi" w:cstheme="minorHAnsi"/>
          <w:szCs w:val="22"/>
        </w:rPr>
        <w:t xml:space="preserve"> which operates at lower frequencies</w:t>
      </w:r>
      <w:r w:rsidR="007E3F01">
        <w:rPr>
          <w:rFonts w:asciiTheme="minorHAnsi" w:hAnsiTheme="minorHAnsi" w:cstheme="minorHAnsi"/>
          <w:szCs w:val="22"/>
        </w:rPr>
        <w:t>,</w:t>
      </w:r>
      <w:r w:rsidRPr="003F52DC">
        <w:rPr>
          <w:rFonts w:asciiTheme="minorHAnsi" w:hAnsiTheme="minorHAnsi" w:cstheme="minorHAnsi"/>
          <w:szCs w:val="22"/>
        </w:rPr>
        <w:t xml:space="preserve"> and high-band </w:t>
      </w:r>
      <w:r w:rsidR="00D174F0">
        <w:rPr>
          <w:rFonts w:asciiTheme="minorHAnsi" w:hAnsiTheme="minorHAnsi" w:cstheme="minorHAnsi"/>
          <w:szCs w:val="22"/>
        </w:rPr>
        <w:t>“</w:t>
      </w:r>
      <w:r w:rsidRPr="003F52DC">
        <w:rPr>
          <w:rFonts w:asciiTheme="minorHAnsi" w:hAnsiTheme="minorHAnsi" w:cstheme="minorHAnsi"/>
          <w:szCs w:val="22"/>
        </w:rPr>
        <w:t>capacity</w:t>
      </w:r>
      <w:r w:rsidR="00D174F0">
        <w:rPr>
          <w:rFonts w:asciiTheme="minorHAnsi" w:hAnsiTheme="minorHAnsi" w:cstheme="minorHAnsi"/>
          <w:szCs w:val="22"/>
        </w:rPr>
        <w:t>”</w:t>
      </w:r>
      <w:r w:rsidRPr="003F52DC">
        <w:rPr>
          <w:rFonts w:asciiTheme="minorHAnsi" w:hAnsiTheme="minorHAnsi" w:cstheme="minorHAnsi"/>
          <w:szCs w:val="22"/>
        </w:rPr>
        <w:t xml:space="preserve"> spectrum, which operates at higher frequencies.</w:t>
      </w:r>
    </w:p>
    <w:p w14:paraId="7770604E" w14:textId="4AB7403E" w:rsidR="00546D45" w:rsidRPr="003F52DC" w:rsidRDefault="003F52DC" w:rsidP="003F52DC">
      <w:pPr>
        <w:pStyle w:val="PlainText"/>
        <w:numPr>
          <w:ilvl w:val="0"/>
          <w:numId w:val="2"/>
        </w:numPr>
        <w:rPr>
          <w:rFonts w:asciiTheme="minorHAnsi" w:hAnsiTheme="minorHAnsi" w:cstheme="minorHAnsi"/>
          <w:szCs w:val="22"/>
        </w:rPr>
      </w:pPr>
      <w:r>
        <w:rPr>
          <w:rFonts w:asciiTheme="minorHAnsi" w:hAnsiTheme="minorHAnsi" w:cstheme="minorHAnsi"/>
          <w:szCs w:val="22"/>
        </w:rPr>
        <w:t>Low-band</w:t>
      </w:r>
      <w:r w:rsidR="0091371D">
        <w:rPr>
          <w:rFonts w:asciiTheme="minorHAnsi" w:hAnsiTheme="minorHAnsi" w:cstheme="minorHAnsi"/>
          <w:szCs w:val="22"/>
        </w:rPr>
        <w:t xml:space="preserve"> spectrum, below 1</w:t>
      </w:r>
      <w:r w:rsidR="000B4028">
        <w:rPr>
          <w:rFonts w:asciiTheme="minorHAnsi" w:hAnsiTheme="minorHAnsi" w:cstheme="minorHAnsi"/>
          <w:szCs w:val="22"/>
        </w:rPr>
        <w:t xml:space="preserve"> </w:t>
      </w:r>
      <w:r w:rsidR="0091371D">
        <w:rPr>
          <w:rFonts w:asciiTheme="minorHAnsi" w:hAnsiTheme="minorHAnsi" w:cstheme="minorHAnsi"/>
          <w:szCs w:val="22"/>
        </w:rPr>
        <w:t xml:space="preserve">GHz, </w:t>
      </w:r>
      <w:r w:rsidR="00546D45" w:rsidRPr="003F52DC">
        <w:rPr>
          <w:rFonts w:asciiTheme="minorHAnsi" w:hAnsiTheme="minorHAnsi" w:cstheme="minorHAnsi"/>
          <w:szCs w:val="22"/>
        </w:rPr>
        <w:t xml:space="preserve">is relatively scarce, and has special properties that facilitate wireless service across long distances and through barriers, such as walls. It’s very useful for </w:t>
      </w:r>
      <w:r w:rsidR="00D174F0">
        <w:rPr>
          <w:rFonts w:asciiTheme="minorHAnsi" w:hAnsiTheme="minorHAnsi" w:cstheme="minorHAnsi"/>
          <w:szCs w:val="22"/>
        </w:rPr>
        <w:t xml:space="preserve">deploying in </w:t>
      </w:r>
      <w:r w:rsidR="00546D45" w:rsidRPr="003F52DC">
        <w:rPr>
          <w:rFonts w:asciiTheme="minorHAnsi" w:hAnsiTheme="minorHAnsi" w:cstheme="minorHAnsi"/>
          <w:szCs w:val="22"/>
        </w:rPr>
        <w:t xml:space="preserve">rural areas and </w:t>
      </w:r>
      <w:r w:rsidR="00D174F0">
        <w:rPr>
          <w:rFonts w:asciiTheme="minorHAnsi" w:hAnsiTheme="minorHAnsi" w:cstheme="minorHAnsi"/>
          <w:szCs w:val="22"/>
        </w:rPr>
        <w:t xml:space="preserve">providing </w:t>
      </w:r>
      <w:r w:rsidR="00546D45" w:rsidRPr="003F52DC">
        <w:rPr>
          <w:rFonts w:asciiTheme="minorHAnsi" w:hAnsiTheme="minorHAnsi" w:cstheme="minorHAnsi"/>
          <w:szCs w:val="22"/>
        </w:rPr>
        <w:t>service in urban buildings.</w:t>
      </w:r>
    </w:p>
    <w:p w14:paraId="2D2B9795" w14:textId="2E9E2677" w:rsidR="00546D45" w:rsidRPr="003F52DC" w:rsidRDefault="003F52DC" w:rsidP="003F52DC">
      <w:pPr>
        <w:pStyle w:val="PlainText"/>
        <w:numPr>
          <w:ilvl w:val="0"/>
          <w:numId w:val="2"/>
        </w:numPr>
        <w:rPr>
          <w:rFonts w:asciiTheme="minorHAnsi" w:hAnsiTheme="minorHAnsi" w:cstheme="minorHAnsi"/>
          <w:szCs w:val="22"/>
        </w:rPr>
      </w:pPr>
      <w:r>
        <w:rPr>
          <w:rFonts w:asciiTheme="minorHAnsi" w:hAnsiTheme="minorHAnsi" w:cstheme="minorHAnsi"/>
          <w:szCs w:val="22"/>
        </w:rPr>
        <w:t>High-band</w:t>
      </w:r>
      <w:r w:rsidR="00546D45" w:rsidRPr="003F52DC">
        <w:rPr>
          <w:rFonts w:asciiTheme="minorHAnsi" w:hAnsiTheme="minorHAnsi" w:cstheme="minorHAnsi"/>
          <w:szCs w:val="22"/>
        </w:rPr>
        <w:t xml:space="preserve"> spectrum</w:t>
      </w:r>
      <w:r w:rsidR="003842C1">
        <w:rPr>
          <w:rFonts w:asciiTheme="minorHAnsi" w:hAnsiTheme="minorHAnsi" w:cstheme="minorHAnsi"/>
          <w:szCs w:val="22"/>
        </w:rPr>
        <w:t>, like AWS-</w:t>
      </w:r>
      <w:r w:rsidR="00BA574B">
        <w:rPr>
          <w:rFonts w:asciiTheme="minorHAnsi" w:hAnsiTheme="minorHAnsi" w:cstheme="minorHAnsi"/>
          <w:szCs w:val="22"/>
        </w:rPr>
        <w:t>1</w:t>
      </w:r>
      <w:r w:rsidR="003842C1">
        <w:rPr>
          <w:rFonts w:asciiTheme="minorHAnsi" w:hAnsiTheme="minorHAnsi" w:cstheme="minorHAnsi"/>
          <w:szCs w:val="22"/>
        </w:rPr>
        <w:t>,</w:t>
      </w:r>
      <w:r w:rsidR="00546D45" w:rsidRPr="003F52DC">
        <w:rPr>
          <w:rFonts w:asciiTheme="minorHAnsi" w:hAnsiTheme="minorHAnsi" w:cstheme="minorHAnsi"/>
          <w:szCs w:val="22"/>
        </w:rPr>
        <w:t xml:space="preserve"> has more </w:t>
      </w:r>
      <w:r w:rsidR="00540B7F">
        <w:rPr>
          <w:rFonts w:asciiTheme="minorHAnsi" w:hAnsiTheme="minorHAnsi" w:cstheme="minorHAnsi"/>
          <w:szCs w:val="22"/>
        </w:rPr>
        <w:t xml:space="preserve">available </w:t>
      </w:r>
      <w:r w:rsidR="00546D45" w:rsidRPr="003F52DC">
        <w:rPr>
          <w:rFonts w:asciiTheme="minorHAnsi" w:hAnsiTheme="minorHAnsi" w:cstheme="minorHAnsi"/>
          <w:szCs w:val="22"/>
        </w:rPr>
        <w:t>bandwidth</w:t>
      </w:r>
      <w:r w:rsidR="00236BA1">
        <w:rPr>
          <w:rFonts w:asciiTheme="minorHAnsi" w:hAnsiTheme="minorHAnsi" w:cstheme="minorHAnsi"/>
          <w:szCs w:val="22"/>
        </w:rPr>
        <w:t>,</w:t>
      </w:r>
      <w:r w:rsidR="00546D45" w:rsidRPr="003F52DC">
        <w:rPr>
          <w:rFonts w:asciiTheme="minorHAnsi" w:hAnsiTheme="minorHAnsi" w:cstheme="minorHAnsi"/>
          <w:szCs w:val="22"/>
        </w:rPr>
        <w:t xml:space="preserve"> </w:t>
      </w:r>
      <w:r w:rsidR="004E0DDD">
        <w:rPr>
          <w:rFonts w:asciiTheme="minorHAnsi" w:hAnsiTheme="minorHAnsi" w:cstheme="minorHAnsi"/>
          <w:szCs w:val="22"/>
        </w:rPr>
        <w:t xml:space="preserve">meaning that </w:t>
      </w:r>
      <w:r w:rsidR="00BA574B">
        <w:rPr>
          <w:rFonts w:asciiTheme="minorHAnsi" w:hAnsiTheme="minorHAnsi" w:cstheme="minorHAnsi"/>
          <w:szCs w:val="22"/>
        </w:rPr>
        <w:t xml:space="preserve">it </w:t>
      </w:r>
      <w:r w:rsidR="00540B7F">
        <w:rPr>
          <w:rFonts w:asciiTheme="minorHAnsi" w:hAnsiTheme="minorHAnsi" w:cstheme="minorHAnsi"/>
          <w:szCs w:val="22"/>
        </w:rPr>
        <w:t>has more</w:t>
      </w:r>
      <w:r w:rsidR="004E0DDD">
        <w:rPr>
          <w:rFonts w:asciiTheme="minorHAnsi" w:hAnsiTheme="minorHAnsi" w:cstheme="minorHAnsi"/>
          <w:szCs w:val="22"/>
        </w:rPr>
        <w:t xml:space="preserve"> data </w:t>
      </w:r>
      <w:r w:rsidR="00540B7F">
        <w:rPr>
          <w:rFonts w:asciiTheme="minorHAnsi" w:hAnsiTheme="minorHAnsi" w:cstheme="minorHAnsi"/>
          <w:szCs w:val="22"/>
        </w:rPr>
        <w:t>capacity</w:t>
      </w:r>
      <w:r w:rsidR="004E0DDD">
        <w:rPr>
          <w:rFonts w:asciiTheme="minorHAnsi" w:hAnsiTheme="minorHAnsi" w:cstheme="minorHAnsi"/>
          <w:szCs w:val="22"/>
        </w:rPr>
        <w:t xml:space="preserve">, </w:t>
      </w:r>
      <w:r w:rsidR="00D174F0">
        <w:rPr>
          <w:rFonts w:asciiTheme="minorHAnsi" w:hAnsiTheme="minorHAnsi" w:cstheme="minorHAnsi"/>
          <w:szCs w:val="22"/>
        </w:rPr>
        <w:t xml:space="preserve">but it doesn’t </w:t>
      </w:r>
      <w:r w:rsidR="00236BA1">
        <w:rPr>
          <w:rFonts w:asciiTheme="minorHAnsi" w:hAnsiTheme="minorHAnsi" w:cstheme="minorHAnsi"/>
          <w:szCs w:val="22"/>
        </w:rPr>
        <w:t>travel</w:t>
      </w:r>
      <w:r w:rsidR="00D174F0">
        <w:rPr>
          <w:rFonts w:asciiTheme="minorHAnsi" w:hAnsiTheme="minorHAnsi" w:cstheme="minorHAnsi"/>
          <w:szCs w:val="22"/>
        </w:rPr>
        <w:t xml:space="preserve"> as well over distances or through walls</w:t>
      </w:r>
      <w:r w:rsidR="00546D45" w:rsidRPr="003F52DC">
        <w:rPr>
          <w:rFonts w:asciiTheme="minorHAnsi" w:hAnsiTheme="minorHAnsi" w:cstheme="minorHAnsi"/>
          <w:szCs w:val="22"/>
        </w:rPr>
        <w:t>.</w:t>
      </w:r>
    </w:p>
    <w:p w14:paraId="7C6303B8" w14:textId="10FEED99" w:rsidR="00546D45" w:rsidRPr="003F52DC" w:rsidRDefault="00F2628F" w:rsidP="003F52DC">
      <w:pPr>
        <w:pStyle w:val="PlainText"/>
        <w:numPr>
          <w:ilvl w:val="0"/>
          <w:numId w:val="2"/>
        </w:numPr>
        <w:rPr>
          <w:rFonts w:asciiTheme="minorHAnsi" w:hAnsiTheme="minorHAnsi" w:cstheme="minorHAnsi"/>
          <w:szCs w:val="22"/>
        </w:rPr>
      </w:pPr>
      <w:r>
        <w:rPr>
          <w:rFonts w:asciiTheme="minorHAnsi" w:hAnsiTheme="minorHAnsi" w:cstheme="minorHAnsi"/>
          <w:szCs w:val="22"/>
        </w:rPr>
        <w:t>T</w:t>
      </w:r>
      <w:r w:rsidR="00236BA1" w:rsidRPr="00BE00BA">
        <w:rPr>
          <w:rFonts w:asciiTheme="minorHAnsi" w:hAnsiTheme="minorHAnsi" w:cstheme="minorHAnsi"/>
          <w:szCs w:val="22"/>
        </w:rPr>
        <w:t xml:space="preserve">he two largest </w:t>
      </w:r>
      <w:r w:rsidR="00B92858">
        <w:rPr>
          <w:rFonts w:asciiTheme="minorHAnsi" w:hAnsiTheme="minorHAnsi" w:cstheme="minorHAnsi"/>
          <w:szCs w:val="22"/>
        </w:rPr>
        <w:t>nationwide</w:t>
      </w:r>
      <w:r w:rsidR="00B92858" w:rsidRPr="00BE00BA">
        <w:rPr>
          <w:rFonts w:asciiTheme="minorHAnsi" w:hAnsiTheme="minorHAnsi" w:cstheme="minorHAnsi"/>
          <w:szCs w:val="22"/>
        </w:rPr>
        <w:t xml:space="preserve"> </w:t>
      </w:r>
      <w:r w:rsidR="00236BA1" w:rsidRPr="00BE00BA">
        <w:rPr>
          <w:rFonts w:asciiTheme="minorHAnsi" w:hAnsiTheme="minorHAnsi" w:cstheme="minorHAnsi"/>
          <w:szCs w:val="22"/>
        </w:rPr>
        <w:t xml:space="preserve">mobile wireless providers hold a combined share of </w:t>
      </w:r>
      <w:r>
        <w:rPr>
          <w:rFonts w:asciiTheme="minorHAnsi" w:hAnsiTheme="minorHAnsi" w:cstheme="minorHAnsi"/>
          <w:szCs w:val="22"/>
        </w:rPr>
        <w:t>approximately 70%</w:t>
      </w:r>
      <w:r w:rsidR="000C32BE">
        <w:rPr>
          <w:rFonts w:asciiTheme="minorHAnsi" w:hAnsiTheme="minorHAnsi" w:cstheme="minorHAnsi"/>
          <w:szCs w:val="22"/>
        </w:rPr>
        <w:t xml:space="preserve"> </w:t>
      </w:r>
      <w:r w:rsidR="00236BA1" w:rsidRPr="00BE00BA">
        <w:rPr>
          <w:rFonts w:asciiTheme="minorHAnsi" w:hAnsiTheme="minorHAnsi" w:cstheme="minorHAnsi"/>
          <w:szCs w:val="22"/>
        </w:rPr>
        <w:t xml:space="preserve">of all low-band spectrum licenses; </w:t>
      </w:r>
      <w:r w:rsidR="00236BA1">
        <w:rPr>
          <w:rFonts w:asciiTheme="minorHAnsi" w:hAnsiTheme="minorHAnsi" w:cstheme="minorHAnsi"/>
          <w:szCs w:val="22"/>
        </w:rPr>
        <w:t xml:space="preserve">the other two </w:t>
      </w:r>
      <w:r w:rsidR="00236BA1" w:rsidRPr="00BE00BA">
        <w:rPr>
          <w:rFonts w:asciiTheme="minorHAnsi" w:hAnsiTheme="minorHAnsi" w:cstheme="minorHAnsi"/>
          <w:szCs w:val="22"/>
        </w:rPr>
        <w:t xml:space="preserve">other </w:t>
      </w:r>
      <w:r w:rsidR="00B92858">
        <w:rPr>
          <w:rFonts w:asciiTheme="minorHAnsi" w:hAnsiTheme="minorHAnsi" w:cstheme="minorHAnsi"/>
          <w:szCs w:val="22"/>
        </w:rPr>
        <w:t xml:space="preserve">nationwide </w:t>
      </w:r>
      <w:r w:rsidR="00236BA1" w:rsidRPr="00BE00BA">
        <w:rPr>
          <w:rFonts w:asciiTheme="minorHAnsi" w:hAnsiTheme="minorHAnsi" w:cstheme="minorHAnsi"/>
          <w:szCs w:val="22"/>
        </w:rPr>
        <w:t xml:space="preserve">providers hold a combined share of </w:t>
      </w:r>
      <w:r w:rsidR="005F22CA">
        <w:rPr>
          <w:rFonts w:asciiTheme="minorHAnsi" w:hAnsiTheme="minorHAnsi" w:cstheme="minorHAnsi"/>
          <w:szCs w:val="22"/>
        </w:rPr>
        <w:t>approximately</w:t>
      </w:r>
      <w:r w:rsidR="005F22CA" w:rsidRPr="00BE00BA">
        <w:rPr>
          <w:rFonts w:asciiTheme="minorHAnsi" w:hAnsiTheme="minorHAnsi" w:cstheme="minorHAnsi"/>
          <w:szCs w:val="22"/>
        </w:rPr>
        <w:t xml:space="preserve"> </w:t>
      </w:r>
      <w:r w:rsidR="00826386">
        <w:rPr>
          <w:rFonts w:asciiTheme="minorHAnsi" w:hAnsiTheme="minorHAnsi" w:cstheme="minorHAnsi"/>
          <w:szCs w:val="22"/>
        </w:rPr>
        <w:t xml:space="preserve">15% </w:t>
      </w:r>
      <w:r w:rsidR="00236BA1" w:rsidRPr="00BE00BA">
        <w:rPr>
          <w:rFonts w:asciiTheme="minorHAnsi" w:hAnsiTheme="minorHAnsi" w:cstheme="minorHAnsi"/>
          <w:szCs w:val="22"/>
        </w:rPr>
        <w:t>of all low-band spectrum licenses</w:t>
      </w:r>
      <w:r w:rsidR="00546D45" w:rsidRPr="003F52DC">
        <w:rPr>
          <w:rFonts w:asciiTheme="minorHAnsi" w:hAnsiTheme="minorHAnsi" w:cstheme="minorHAnsi"/>
          <w:szCs w:val="22"/>
        </w:rPr>
        <w:t>.</w:t>
      </w:r>
    </w:p>
    <w:p w14:paraId="7D92ACD1" w14:textId="77777777" w:rsidR="00546D45" w:rsidRPr="003F52DC" w:rsidRDefault="00546D45" w:rsidP="003F52DC">
      <w:pPr>
        <w:spacing w:after="0" w:line="240" w:lineRule="auto"/>
        <w:rPr>
          <w:rFonts w:cstheme="minorHAnsi"/>
          <w:b/>
          <w:bCs/>
        </w:rPr>
      </w:pPr>
    </w:p>
    <w:p w14:paraId="7EFCBB3E" w14:textId="77777777" w:rsidR="00546D45" w:rsidRDefault="00546D45" w:rsidP="003F52DC">
      <w:pPr>
        <w:spacing w:after="0" w:line="240" w:lineRule="auto"/>
        <w:rPr>
          <w:rFonts w:cstheme="minorHAnsi"/>
          <w:b/>
          <w:bCs/>
        </w:rPr>
      </w:pPr>
      <w:r w:rsidRPr="003F52DC">
        <w:rPr>
          <w:rFonts w:cstheme="minorHAnsi"/>
          <w:b/>
          <w:bCs/>
        </w:rPr>
        <w:t>In 2012, the FCC initiated a fresh look at its mobile spectrum holding policies.</w:t>
      </w:r>
    </w:p>
    <w:p w14:paraId="40A83A53" w14:textId="77777777" w:rsidR="00462E90" w:rsidRPr="003F52DC" w:rsidRDefault="00462E90" w:rsidP="003F52DC">
      <w:pPr>
        <w:spacing w:after="0" w:line="240" w:lineRule="auto"/>
        <w:rPr>
          <w:rFonts w:cstheme="minorHAnsi"/>
          <w:b/>
          <w:bCs/>
        </w:rPr>
      </w:pPr>
    </w:p>
    <w:p w14:paraId="10D26549" w14:textId="77777777" w:rsidR="00546D45" w:rsidRPr="003F52DC" w:rsidRDefault="00546D45" w:rsidP="003F52DC">
      <w:pPr>
        <w:pStyle w:val="ListParagraph"/>
        <w:numPr>
          <w:ilvl w:val="0"/>
          <w:numId w:val="4"/>
        </w:numPr>
        <w:spacing w:after="0" w:line="240" w:lineRule="auto"/>
        <w:rPr>
          <w:rFonts w:cstheme="minorHAnsi"/>
        </w:rPr>
      </w:pPr>
      <w:r w:rsidRPr="003F52DC">
        <w:rPr>
          <w:rFonts w:cstheme="minorHAnsi"/>
        </w:rPr>
        <w:t xml:space="preserve">In recent years, large and small wireless </w:t>
      </w:r>
      <w:r w:rsidR="0096567C">
        <w:rPr>
          <w:rFonts w:cstheme="minorHAnsi"/>
        </w:rPr>
        <w:t>provider</w:t>
      </w:r>
      <w:r w:rsidRPr="003F52DC">
        <w:rPr>
          <w:rFonts w:cstheme="minorHAnsi"/>
        </w:rPr>
        <w:t xml:space="preserve">s, as well as trade associations and public interest groups, requested that the FCC review its current policies regarding mobile spectrum holdings. </w:t>
      </w:r>
    </w:p>
    <w:p w14:paraId="728460E8" w14:textId="77777777" w:rsidR="00546D45" w:rsidRPr="003F52DC" w:rsidRDefault="00546D45" w:rsidP="003F52DC">
      <w:pPr>
        <w:pStyle w:val="ListParagraph"/>
        <w:numPr>
          <w:ilvl w:val="0"/>
          <w:numId w:val="4"/>
        </w:numPr>
        <w:spacing w:after="0" w:line="240" w:lineRule="auto"/>
        <w:rPr>
          <w:rFonts w:cstheme="minorHAnsi"/>
          <w:b/>
          <w:bCs/>
        </w:rPr>
      </w:pPr>
      <w:r w:rsidRPr="003F52DC">
        <w:rPr>
          <w:rFonts w:cstheme="minorHAnsi"/>
        </w:rPr>
        <w:t xml:space="preserve">In its review, the FCC sought comment on ensuring that its policies promote competition and provide the clarity needed to make informed investment decisions, including participation in the upcoming </w:t>
      </w:r>
      <w:r w:rsidR="00236BA1">
        <w:rPr>
          <w:rFonts w:cstheme="minorHAnsi"/>
        </w:rPr>
        <w:t>I</w:t>
      </w:r>
      <w:r w:rsidRPr="003F52DC">
        <w:rPr>
          <w:rFonts w:cstheme="minorHAnsi"/>
        </w:rPr>
        <w:t xml:space="preserve">ncentive </w:t>
      </w:r>
      <w:r w:rsidR="00236BA1">
        <w:rPr>
          <w:rFonts w:cstheme="minorHAnsi"/>
        </w:rPr>
        <w:t>A</w:t>
      </w:r>
      <w:r w:rsidRPr="003F52DC">
        <w:rPr>
          <w:rFonts w:cstheme="minorHAnsi"/>
        </w:rPr>
        <w:t xml:space="preserve">uction. </w:t>
      </w:r>
    </w:p>
    <w:p w14:paraId="5B8697BF" w14:textId="77777777" w:rsidR="00236BA1" w:rsidRDefault="00236BA1" w:rsidP="003F52DC">
      <w:pPr>
        <w:spacing w:after="0" w:line="240" w:lineRule="auto"/>
        <w:rPr>
          <w:rFonts w:cstheme="minorHAnsi"/>
          <w:b/>
          <w:bCs/>
        </w:rPr>
      </w:pPr>
    </w:p>
    <w:p w14:paraId="557850C7" w14:textId="66962769" w:rsidR="00546D45" w:rsidRDefault="00546D45" w:rsidP="00462E90">
      <w:pPr>
        <w:spacing w:after="0" w:line="240" w:lineRule="auto"/>
        <w:rPr>
          <w:rFonts w:cstheme="minorHAnsi"/>
          <w:b/>
        </w:rPr>
      </w:pPr>
      <w:r w:rsidRPr="003F52DC">
        <w:rPr>
          <w:rFonts w:cstheme="minorHAnsi"/>
          <w:b/>
          <w:bCs/>
        </w:rPr>
        <w:t xml:space="preserve">For consumers, </w:t>
      </w:r>
      <w:r w:rsidR="00D174F0">
        <w:rPr>
          <w:rFonts w:cstheme="minorHAnsi"/>
          <w:b/>
          <w:bCs/>
        </w:rPr>
        <w:t xml:space="preserve">the proposed </w:t>
      </w:r>
      <w:r w:rsidR="003F52DC">
        <w:rPr>
          <w:rFonts w:cstheme="minorHAnsi"/>
          <w:b/>
          <w:bCs/>
        </w:rPr>
        <w:t xml:space="preserve">mobile spectrum </w:t>
      </w:r>
      <w:r w:rsidR="003F52DC" w:rsidRPr="00BE00BA">
        <w:rPr>
          <w:rFonts w:cstheme="minorHAnsi"/>
          <w:b/>
        </w:rPr>
        <w:t>holdings rules</w:t>
      </w:r>
      <w:r w:rsidRPr="00BE00BA">
        <w:rPr>
          <w:rFonts w:cstheme="minorHAnsi"/>
          <w:b/>
        </w:rPr>
        <w:t xml:space="preserve"> will mean more competition in more markets.</w:t>
      </w:r>
      <w:r w:rsidRPr="003F52DC">
        <w:rPr>
          <w:rFonts w:cstheme="minorHAnsi"/>
          <w:b/>
        </w:rPr>
        <w:t xml:space="preserve"> </w:t>
      </w:r>
      <w:r w:rsidR="005502A2">
        <w:rPr>
          <w:rFonts w:cstheme="minorHAnsi"/>
          <w:b/>
        </w:rPr>
        <w:t xml:space="preserve"> </w:t>
      </w:r>
      <w:r w:rsidRPr="003F52DC">
        <w:rPr>
          <w:rFonts w:cstheme="minorHAnsi"/>
          <w:b/>
        </w:rPr>
        <w:t xml:space="preserve">All American consumers should enjoy the benefits that competition can bring:  </w:t>
      </w:r>
      <w:r w:rsidR="00236BA1" w:rsidRPr="00BE00BA">
        <w:rPr>
          <w:rFonts w:cstheme="minorHAnsi"/>
          <w:b/>
        </w:rPr>
        <w:t>more choices of wireless providers, lower prices, and higher quality mobile services</w:t>
      </w:r>
      <w:r w:rsidRPr="003F52DC">
        <w:rPr>
          <w:rFonts w:cstheme="minorHAnsi"/>
          <w:b/>
        </w:rPr>
        <w:t>.</w:t>
      </w:r>
    </w:p>
    <w:p w14:paraId="03BFCCB2" w14:textId="77777777" w:rsidR="00462E90" w:rsidRPr="00D93281" w:rsidRDefault="00462E90" w:rsidP="008E2122">
      <w:pPr>
        <w:spacing w:after="0" w:line="240" w:lineRule="auto"/>
        <w:rPr>
          <w:rFonts w:cstheme="minorHAnsi"/>
        </w:rPr>
      </w:pPr>
    </w:p>
    <w:p w14:paraId="701C7971" w14:textId="77777777" w:rsidR="00546D45" w:rsidRPr="003F52DC" w:rsidRDefault="00546D45" w:rsidP="003F52DC">
      <w:pPr>
        <w:pStyle w:val="ListParagraph"/>
        <w:numPr>
          <w:ilvl w:val="0"/>
          <w:numId w:val="5"/>
        </w:numPr>
        <w:autoSpaceDE w:val="0"/>
        <w:autoSpaceDN w:val="0"/>
        <w:spacing w:after="0" w:line="240" w:lineRule="auto"/>
        <w:rPr>
          <w:rFonts w:cstheme="minorHAnsi"/>
        </w:rPr>
      </w:pPr>
      <w:r w:rsidRPr="003F52DC">
        <w:rPr>
          <w:rFonts w:cstheme="minorHAnsi"/>
        </w:rPr>
        <w:t xml:space="preserve">More competition means a thriving mobile marketplace, offering Americans high-quality service and choice no matter where they live. </w:t>
      </w:r>
    </w:p>
    <w:p w14:paraId="0F6BC769" w14:textId="6615F557" w:rsidR="00546D45" w:rsidRPr="008E39C3" w:rsidRDefault="00390036" w:rsidP="003F52DC">
      <w:pPr>
        <w:pStyle w:val="ListParagraph"/>
        <w:numPr>
          <w:ilvl w:val="0"/>
          <w:numId w:val="5"/>
        </w:numPr>
        <w:autoSpaceDE w:val="0"/>
        <w:autoSpaceDN w:val="0"/>
        <w:spacing w:after="0" w:line="240" w:lineRule="auto"/>
        <w:rPr>
          <w:rFonts w:cstheme="minorHAnsi"/>
        </w:rPr>
      </w:pPr>
      <w:r>
        <w:rPr>
          <w:rFonts w:cstheme="minorHAnsi"/>
        </w:rPr>
        <w:t>A</w:t>
      </w:r>
      <w:r w:rsidR="00546D45" w:rsidRPr="008E39C3">
        <w:rPr>
          <w:rFonts w:cstheme="minorHAnsi"/>
        </w:rPr>
        <w:t xml:space="preserve">ccess to </w:t>
      </w:r>
      <w:r>
        <w:rPr>
          <w:rFonts w:cstheme="minorHAnsi"/>
        </w:rPr>
        <w:t xml:space="preserve">additional </w:t>
      </w:r>
      <w:r w:rsidR="00546D45" w:rsidRPr="008E39C3">
        <w:rPr>
          <w:rFonts w:cstheme="minorHAnsi"/>
        </w:rPr>
        <w:t xml:space="preserve">spectrum </w:t>
      </w:r>
      <w:r>
        <w:rPr>
          <w:rFonts w:cstheme="minorHAnsi"/>
        </w:rPr>
        <w:t xml:space="preserve">is </w:t>
      </w:r>
      <w:r w:rsidR="00C02899">
        <w:rPr>
          <w:rFonts w:cstheme="minorHAnsi"/>
        </w:rPr>
        <w:t xml:space="preserve">necessary for </w:t>
      </w:r>
      <w:r w:rsidR="00546D45" w:rsidRPr="008E39C3">
        <w:rPr>
          <w:rFonts w:cstheme="minorHAnsi"/>
        </w:rPr>
        <w:t>smaller</w:t>
      </w:r>
      <w:r>
        <w:rPr>
          <w:rFonts w:cstheme="minorHAnsi"/>
        </w:rPr>
        <w:t>,</w:t>
      </w:r>
      <w:r w:rsidR="00546D45" w:rsidRPr="008E39C3">
        <w:rPr>
          <w:rFonts w:cstheme="minorHAnsi"/>
        </w:rPr>
        <w:t xml:space="preserve"> regional</w:t>
      </w:r>
      <w:r>
        <w:rPr>
          <w:rFonts w:cstheme="minorHAnsi"/>
        </w:rPr>
        <w:t>,</w:t>
      </w:r>
      <w:r w:rsidR="00546D45" w:rsidRPr="008E39C3">
        <w:rPr>
          <w:rFonts w:cstheme="minorHAnsi"/>
        </w:rPr>
        <w:t xml:space="preserve"> and rural wireless </w:t>
      </w:r>
      <w:r w:rsidR="0096567C" w:rsidRPr="00BE00BA">
        <w:rPr>
          <w:rFonts w:cstheme="minorHAnsi"/>
        </w:rPr>
        <w:t>provider</w:t>
      </w:r>
      <w:r w:rsidR="00546D45" w:rsidRPr="008E39C3">
        <w:rPr>
          <w:rFonts w:cstheme="minorHAnsi"/>
        </w:rPr>
        <w:t xml:space="preserve">s </w:t>
      </w:r>
      <w:r w:rsidR="00C02899">
        <w:rPr>
          <w:rFonts w:cstheme="minorHAnsi"/>
        </w:rPr>
        <w:t xml:space="preserve">to be able to </w:t>
      </w:r>
      <w:r w:rsidR="00546D45" w:rsidRPr="008E39C3">
        <w:rPr>
          <w:rFonts w:cstheme="minorHAnsi"/>
        </w:rPr>
        <w:t xml:space="preserve">build their </w:t>
      </w:r>
      <w:r w:rsidR="00C02899">
        <w:rPr>
          <w:rFonts w:cstheme="minorHAnsi"/>
        </w:rPr>
        <w:t>next</w:t>
      </w:r>
      <w:r w:rsidR="00B422BE">
        <w:rPr>
          <w:rFonts w:cstheme="minorHAnsi"/>
        </w:rPr>
        <w:t>-</w:t>
      </w:r>
      <w:r w:rsidR="00C02899">
        <w:rPr>
          <w:rFonts w:cstheme="minorHAnsi"/>
        </w:rPr>
        <w:t xml:space="preserve">generation </w:t>
      </w:r>
      <w:r w:rsidR="00546D45" w:rsidRPr="008E39C3">
        <w:rPr>
          <w:rFonts w:cstheme="minorHAnsi"/>
        </w:rPr>
        <w:t xml:space="preserve">networks and deliver </w:t>
      </w:r>
      <w:r w:rsidR="00A612EC">
        <w:rPr>
          <w:rFonts w:cstheme="minorHAnsi"/>
        </w:rPr>
        <w:t xml:space="preserve">these </w:t>
      </w:r>
      <w:r w:rsidR="00546D45" w:rsidRPr="008E39C3">
        <w:rPr>
          <w:rFonts w:cstheme="minorHAnsi"/>
        </w:rPr>
        <w:t>offerings</w:t>
      </w:r>
      <w:r w:rsidR="00A612EC">
        <w:rPr>
          <w:rFonts w:cstheme="minorHAnsi"/>
        </w:rPr>
        <w:t xml:space="preserve"> to consumers</w:t>
      </w:r>
      <w:r w:rsidR="00546D45" w:rsidRPr="008E39C3">
        <w:rPr>
          <w:rFonts w:cstheme="minorHAnsi"/>
        </w:rPr>
        <w:t xml:space="preserve"> in </w:t>
      </w:r>
      <w:r w:rsidR="00236BA1">
        <w:rPr>
          <w:rFonts w:cstheme="minorHAnsi"/>
        </w:rPr>
        <w:t>both rural and urban</w:t>
      </w:r>
      <w:r w:rsidR="00546D45" w:rsidRPr="008E39C3">
        <w:rPr>
          <w:rFonts w:cstheme="minorHAnsi"/>
        </w:rPr>
        <w:t xml:space="preserve"> areas. </w:t>
      </w:r>
    </w:p>
    <w:p w14:paraId="1EEDC4DA" w14:textId="77777777" w:rsidR="00826386" w:rsidRDefault="00826386" w:rsidP="003F52DC">
      <w:pPr>
        <w:widowControl w:val="0"/>
        <w:autoSpaceDE w:val="0"/>
        <w:autoSpaceDN w:val="0"/>
        <w:adjustRightInd w:val="0"/>
        <w:spacing w:after="0" w:line="240" w:lineRule="auto"/>
        <w:rPr>
          <w:rFonts w:cstheme="minorHAnsi"/>
          <w:b/>
        </w:rPr>
      </w:pPr>
    </w:p>
    <w:p w14:paraId="53EAD0E5" w14:textId="77777777" w:rsidR="0064257C" w:rsidRDefault="0064257C" w:rsidP="003F52DC">
      <w:pPr>
        <w:widowControl w:val="0"/>
        <w:autoSpaceDE w:val="0"/>
        <w:autoSpaceDN w:val="0"/>
        <w:adjustRightInd w:val="0"/>
        <w:spacing w:after="0" w:line="240" w:lineRule="auto"/>
        <w:rPr>
          <w:rFonts w:cstheme="minorHAnsi"/>
          <w:b/>
        </w:rPr>
      </w:pPr>
    </w:p>
    <w:p w14:paraId="52AE40BF" w14:textId="77777777" w:rsidR="00546D45" w:rsidRDefault="00546D45" w:rsidP="003F52DC">
      <w:pPr>
        <w:widowControl w:val="0"/>
        <w:autoSpaceDE w:val="0"/>
        <w:autoSpaceDN w:val="0"/>
        <w:adjustRightInd w:val="0"/>
        <w:spacing w:after="0" w:line="240" w:lineRule="auto"/>
        <w:rPr>
          <w:rFonts w:cstheme="minorHAnsi"/>
          <w:b/>
        </w:rPr>
      </w:pPr>
      <w:r w:rsidRPr="003F52DC">
        <w:rPr>
          <w:rFonts w:cstheme="minorHAnsi"/>
          <w:b/>
        </w:rPr>
        <w:t xml:space="preserve">Increasing competitive access to low-band spectrum </w:t>
      </w:r>
      <w:r w:rsidR="00236BA1">
        <w:rPr>
          <w:rFonts w:cstheme="minorHAnsi"/>
          <w:b/>
        </w:rPr>
        <w:t xml:space="preserve">will </w:t>
      </w:r>
      <w:r w:rsidRPr="003F52DC">
        <w:rPr>
          <w:rFonts w:cstheme="minorHAnsi"/>
          <w:b/>
        </w:rPr>
        <w:t>enhance wireless competition and service in rural areas.</w:t>
      </w:r>
    </w:p>
    <w:p w14:paraId="01F6AE97" w14:textId="77777777" w:rsidR="00462E90" w:rsidRPr="003F52DC" w:rsidRDefault="00462E90" w:rsidP="003F52DC">
      <w:pPr>
        <w:widowControl w:val="0"/>
        <w:autoSpaceDE w:val="0"/>
        <w:autoSpaceDN w:val="0"/>
        <w:adjustRightInd w:val="0"/>
        <w:spacing w:after="0" w:line="240" w:lineRule="auto"/>
        <w:rPr>
          <w:rFonts w:cstheme="minorHAnsi"/>
          <w:b/>
        </w:rPr>
      </w:pPr>
    </w:p>
    <w:p w14:paraId="6F948A1B" w14:textId="77777777" w:rsidR="00546D45" w:rsidRPr="00BE00BA" w:rsidRDefault="00546D45" w:rsidP="003F52DC">
      <w:pPr>
        <w:pStyle w:val="ListParagraph"/>
        <w:numPr>
          <w:ilvl w:val="0"/>
          <w:numId w:val="7"/>
        </w:numPr>
        <w:autoSpaceDE w:val="0"/>
        <w:autoSpaceDN w:val="0"/>
        <w:spacing w:after="0" w:line="240" w:lineRule="auto"/>
        <w:rPr>
          <w:rFonts w:cstheme="minorHAnsi"/>
          <w:bCs/>
        </w:rPr>
      </w:pPr>
      <w:r w:rsidRPr="003F52DC">
        <w:rPr>
          <w:rFonts w:cstheme="minorHAnsi"/>
          <w:bCs/>
        </w:rPr>
        <w:t xml:space="preserve">Lack of coverage and competition is </w:t>
      </w:r>
      <w:r w:rsidR="00EB153D">
        <w:rPr>
          <w:rFonts w:cstheme="minorHAnsi"/>
          <w:bCs/>
        </w:rPr>
        <w:t xml:space="preserve">a </w:t>
      </w:r>
      <w:r w:rsidRPr="003F52DC">
        <w:rPr>
          <w:rFonts w:cstheme="minorHAnsi"/>
          <w:bCs/>
        </w:rPr>
        <w:t xml:space="preserve">significant problem for Americans living in rural areas. </w:t>
      </w:r>
    </w:p>
    <w:p w14:paraId="308310F1" w14:textId="77777777" w:rsidR="00AD67FD" w:rsidRDefault="00AD67FD" w:rsidP="003F52DC">
      <w:pPr>
        <w:pStyle w:val="ListParagraph"/>
        <w:numPr>
          <w:ilvl w:val="0"/>
          <w:numId w:val="7"/>
        </w:numPr>
        <w:autoSpaceDE w:val="0"/>
        <w:autoSpaceDN w:val="0"/>
        <w:spacing w:after="0" w:line="240" w:lineRule="auto"/>
        <w:rPr>
          <w:rFonts w:cstheme="minorHAnsi"/>
          <w:bCs/>
        </w:rPr>
      </w:pPr>
      <w:r w:rsidRPr="00BE00BA">
        <w:rPr>
          <w:rFonts w:cstheme="minorHAnsi"/>
          <w:bCs/>
        </w:rPr>
        <w:t>92 percent of non-rural consumers, but only 37 percent of rural consumers, are covered by at least four 3G or 4G mobile wireless providers</w:t>
      </w:r>
      <w:r w:rsidR="00236BA1">
        <w:rPr>
          <w:rFonts w:cstheme="minorHAnsi"/>
          <w:bCs/>
        </w:rPr>
        <w:t>’</w:t>
      </w:r>
      <w:r w:rsidRPr="00BE00BA">
        <w:rPr>
          <w:rFonts w:cstheme="minorHAnsi"/>
          <w:bCs/>
        </w:rPr>
        <w:t xml:space="preserve"> networks</w:t>
      </w:r>
      <w:r w:rsidR="00236BA1">
        <w:rPr>
          <w:rFonts w:cstheme="minorHAnsi"/>
          <w:bCs/>
        </w:rPr>
        <w:t>.</w:t>
      </w:r>
    </w:p>
    <w:p w14:paraId="2F2DC3F2" w14:textId="77777777" w:rsidR="00546D45" w:rsidRPr="008E39C3" w:rsidRDefault="00546D45" w:rsidP="003F52DC">
      <w:pPr>
        <w:pStyle w:val="ListParagraph"/>
        <w:numPr>
          <w:ilvl w:val="0"/>
          <w:numId w:val="7"/>
        </w:numPr>
        <w:autoSpaceDE w:val="0"/>
        <w:autoSpaceDN w:val="0"/>
        <w:spacing w:after="0" w:line="240" w:lineRule="auto"/>
        <w:rPr>
          <w:rFonts w:cstheme="minorHAnsi"/>
          <w:b/>
          <w:bCs/>
        </w:rPr>
      </w:pPr>
      <w:r w:rsidRPr="008E39C3">
        <w:rPr>
          <w:rFonts w:cstheme="minorHAnsi"/>
          <w:bCs/>
        </w:rPr>
        <w:t xml:space="preserve">Part of the solution requires </w:t>
      </w:r>
      <w:r w:rsidR="002003A4">
        <w:rPr>
          <w:rFonts w:cstheme="minorHAnsi"/>
          <w:bCs/>
        </w:rPr>
        <w:t xml:space="preserve">making sure that all providers have access </w:t>
      </w:r>
      <w:r w:rsidRPr="008E39C3">
        <w:rPr>
          <w:rFonts w:cstheme="minorHAnsi"/>
          <w:bCs/>
        </w:rPr>
        <w:t>to mu</w:t>
      </w:r>
      <w:r w:rsidR="003F52DC" w:rsidRPr="008E39C3">
        <w:rPr>
          <w:rFonts w:cstheme="minorHAnsi"/>
          <w:bCs/>
        </w:rPr>
        <w:t>ch-needed low band spectrum.</w:t>
      </w:r>
    </w:p>
    <w:p w14:paraId="09C2DEF4" w14:textId="77777777" w:rsidR="00546D45" w:rsidRPr="003F52DC" w:rsidRDefault="00546D45" w:rsidP="003F52DC">
      <w:pPr>
        <w:autoSpaceDE w:val="0"/>
        <w:autoSpaceDN w:val="0"/>
        <w:spacing w:after="0" w:line="240" w:lineRule="auto"/>
        <w:rPr>
          <w:rFonts w:cstheme="minorHAnsi"/>
          <w:b/>
          <w:bCs/>
        </w:rPr>
      </w:pPr>
    </w:p>
    <w:p w14:paraId="13EFE76C" w14:textId="77777777" w:rsidR="00546D45" w:rsidRDefault="00546D45" w:rsidP="00EC2AFD">
      <w:pPr>
        <w:spacing w:after="0" w:line="240" w:lineRule="auto"/>
        <w:rPr>
          <w:rFonts w:cstheme="minorHAnsi"/>
          <w:b/>
          <w:bCs/>
          <w:u w:val="single"/>
        </w:rPr>
      </w:pPr>
      <w:r w:rsidRPr="00C43A1B">
        <w:rPr>
          <w:rFonts w:cstheme="minorHAnsi"/>
          <w:b/>
          <w:bCs/>
          <w:u w:val="single"/>
        </w:rPr>
        <w:t xml:space="preserve">MOBILE SPECTRUM HOLDINGS </w:t>
      </w:r>
      <w:r w:rsidR="003F52DC" w:rsidRPr="00C43A1B">
        <w:rPr>
          <w:rFonts w:cstheme="minorHAnsi"/>
          <w:b/>
          <w:bCs/>
          <w:u w:val="single"/>
        </w:rPr>
        <w:t>REPORT &amp; ORDER</w:t>
      </w:r>
      <w:r w:rsidRPr="00C43A1B">
        <w:rPr>
          <w:rFonts w:cstheme="minorHAnsi"/>
          <w:u w:val="single"/>
        </w:rPr>
        <w:br/>
      </w:r>
    </w:p>
    <w:p w14:paraId="758DD739" w14:textId="77777777" w:rsidR="00C11C53" w:rsidRPr="00BE00BA" w:rsidRDefault="00C11C53" w:rsidP="00EC2AFD">
      <w:pPr>
        <w:spacing w:after="0" w:line="240" w:lineRule="auto"/>
        <w:rPr>
          <w:rFonts w:cstheme="minorHAnsi"/>
          <w:b/>
          <w:bCs/>
        </w:rPr>
      </w:pPr>
      <w:r w:rsidRPr="00BE00BA">
        <w:rPr>
          <w:rFonts w:cstheme="minorHAnsi"/>
          <w:b/>
          <w:bCs/>
        </w:rPr>
        <w:t>REASONABLE, BALANCED APPROACH</w:t>
      </w:r>
    </w:p>
    <w:p w14:paraId="5D86A05D" w14:textId="77777777" w:rsidR="00C11C53" w:rsidRPr="00C43A1B" w:rsidRDefault="00C11C53" w:rsidP="00EC2AFD">
      <w:pPr>
        <w:spacing w:after="0" w:line="240" w:lineRule="auto"/>
        <w:rPr>
          <w:rFonts w:cstheme="minorHAnsi"/>
          <w:b/>
          <w:bCs/>
          <w:u w:val="single"/>
        </w:rPr>
      </w:pPr>
    </w:p>
    <w:p w14:paraId="10C2F6F7" w14:textId="77777777" w:rsidR="00236BA1" w:rsidRDefault="0091371D" w:rsidP="003F52DC">
      <w:pPr>
        <w:spacing w:after="0" w:line="240" w:lineRule="auto"/>
        <w:rPr>
          <w:rFonts w:cstheme="minorHAnsi"/>
        </w:rPr>
      </w:pPr>
      <w:r>
        <w:rPr>
          <w:rFonts w:cstheme="minorHAnsi"/>
        </w:rPr>
        <w:t>T</w:t>
      </w:r>
      <w:r w:rsidR="00236BA1">
        <w:rPr>
          <w:rFonts w:cstheme="minorHAnsi"/>
        </w:rPr>
        <w:t>here are t</w:t>
      </w:r>
      <w:r>
        <w:rPr>
          <w:rFonts w:cstheme="minorHAnsi"/>
        </w:rPr>
        <w:t>hree</w:t>
      </w:r>
      <w:r w:rsidR="00236BA1">
        <w:rPr>
          <w:rFonts w:cstheme="minorHAnsi"/>
        </w:rPr>
        <w:t xml:space="preserve"> interrelated</w:t>
      </w:r>
      <w:r>
        <w:rPr>
          <w:rFonts w:cstheme="minorHAnsi"/>
        </w:rPr>
        <w:t xml:space="preserve"> parts to the </w:t>
      </w:r>
      <w:r w:rsidR="00C11C53">
        <w:rPr>
          <w:rFonts w:cstheme="minorHAnsi"/>
        </w:rPr>
        <w:t xml:space="preserve">Mobile Spectrum Holdings </w:t>
      </w:r>
      <w:r w:rsidR="00D84A78">
        <w:rPr>
          <w:rFonts w:cstheme="minorHAnsi"/>
        </w:rPr>
        <w:t>Report &amp; Order</w:t>
      </w:r>
      <w:r>
        <w:rPr>
          <w:rFonts w:cstheme="minorHAnsi"/>
        </w:rPr>
        <w:t xml:space="preserve">: </w:t>
      </w:r>
    </w:p>
    <w:p w14:paraId="228919C7" w14:textId="77777777" w:rsidR="004E2045" w:rsidRDefault="004E2045" w:rsidP="003F52DC">
      <w:pPr>
        <w:spacing w:after="0" w:line="240" w:lineRule="auto"/>
        <w:rPr>
          <w:rFonts w:cstheme="minorHAnsi"/>
        </w:rPr>
      </w:pPr>
    </w:p>
    <w:p w14:paraId="00AEBC0B" w14:textId="77777777" w:rsidR="00236BA1" w:rsidRDefault="0091371D" w:rsidP="00BE00BA">
      <w:pPr>
        <w:spacing w:after="0" w:line="240" w:lineRule="auto"/>
        <w:ind w:firstLine="720"/>
        <w:rPr>
          <w:rFonts w:cstheme="minorHAnsi"/>
        </w:rPr>
      </w:pPr>
      <w:r>
        <w:rPr>
          <w:rFonts w:cstheme="minorHAnsi"/>
        </w:rPr>
        <w:t xml:space="preserve">1) </w:t>
      </w:r>
      <w:r w:rsidR="00236BA1">
        <w:rPr>
          <w:rFonts w:cstheme="minorHAnsi"/>
        </w:rPr>
        <w:t>T</w:t>
      </w:r>
      <w:r>
        <w:rPr>
          <w:rFonts w:cstheme="minorHAnsi"/>
        </w:rPr>
        <w:t>ransaction reviews generally</w:t>
      </w:r>
      <w:r w:rsidR="00236BA1">
        <w:rPr>
          <w:rFonts w:cstheme="minorHAnsi"/>
        </w:rPr>
        <w:t>;</w:t>
      </w:r>
    </w:p>
    <w:p w14:paraId="4A708FD1" w14:textId="77777777" w:rsidR="00236BA1" w:rsidRDefault="0091371D" w:rsidP="00BE00BA">
      <w:pPr>
        <w:spacing w:after="0" w:line="240" w:lineRule="auto"/>
        <w:ind w:firstLine="720"/>
        <w:rPr>
          <w:rFonts w:cstheme="minorHAnsi"/>
        </w:rPr>
      </w:pPr>
      <w:r>
        <w:rPr>
          <w:rFonts w:cstheme="minorHAnsi"/>
        </w:rPr>
        <w:t xml:space="preserve">2) </w:t>
      </w:r>
      <w:r w:rsidR="00236BA1">
        <w:rPr>
          <w:rFonts w:cstheme="minorHAnsi"/>
        </w:rPr>
        <w:t>T</w:t>
      </w:r>
      <w:r>
        <w:rPr>
          <w:rFonts w:cstheme="minorHAnsi"/>
        </w:rPr>
        <w:t xml:space="preserve">ransaction reviews </w:t>
      </w:r>
      <w:r w:rsidR="00BB62C9">
        <w:rPr>
          <w:rFonts w:cstheme="minorHAnsi"/>
        </w:rPr>
        <w:t xml:space="preserve">involving spectrum </w:t>
      </w:r>
      <w:r>
        <w:rPr>
          <w:rFonts w:cstheme="minorHAnsi"/>
        </w:rPr>
        <w:t>below 1</w:t>
      </w:r>
      <w:r w:rsidR="00BB62C9">
        <w:rPr>
          <w:rFonts w:cstheme="minorHAnsi"/>
        </w:rPr>
        <w:t xml:space="preserve"> </w:t>
      </w:r>
      <w:r>
        <w:rPr>
          <w:rFonts w:cstheme="minorHAnsi"/>
        </w:rPr>
        <w:t>GHz</w:t>
      </w:r>
      <w:r w:rsidR="00236BA1">
        <w:rPr>
          <w:rFonts w:cstheme="minorHAnsi"/>
        </w:rPr>
        <w:t>; and</w:t>
      </w:r>
    </w:p>
    <w:p w14:paraId="5B4A2A01" w14:textId="77777777" w:rsidR="0091371D" w:rsidRDefault="0091371D" w:rsidP="00BE00BA">
      <w:pPr>
        <w:spacing w:after="0" w:line="240" w:lineRule="auto"/>
        <w:ind w:firstLine="720"/>
        <w:rPr>
          <w:rFonts w:cstheme="minorHAnsi"/>
        </w:rPr>
      </w:pPr>
      <w:r>
        <w:rPr>
          <w:rFonts w:cstheme="minorHAnsi"/>
        </w:rPr>
        <w:t xml:space="preserve">3) </w:t>
      </w:r>
      <w:r w:rsidR="00236BA1">
        <w:rPr>
          <w:rFonts w:cstheme="minorHAnsi"/>
        </w:rPr>
        <w:t xml:space="preserve">Auction-specific </w:t>
      </w:r>
      <w:r>
        <w:rPr>
          <w:rFonts w:cstheme="minorHAnsi"/>
        </w:rPr>
        <w:t>policies.</w:t>
      </w:r>
    </w:p>
    <w:p w14:paraId="473A4EF1" w14:textId="77777777" w:rsidR="0091371D" w:rsidRDefault="0091371D" w:rsidP="003F52DC">
      <w:pPr>
        <w:spacing w:after="0" w:line="240" w:lineRule="auto"/>
        <w:rPr>
          <w:rFonts w:cstheme="minorHAnsi"/>
        </w:rPr>
      </w:pPr>
    </w:p>
    <w:p w14:paraId="22F34094" w14:textId="61694B4F" w:rsidR="0091371D" w:rsidRPr="00462E90" w:rsidRDefault="0091371D" w:rsidP="00462E90">
      <w:pPr>
        <w:pStyle w:val="ListParagraph"/>
        <w:numPr>
          <w:ilvl w:val="0"/>
          <w:numId w:val="16"/>
        </w:numPr>
        <w:spacing w:after="0" w:line="240" w:lineRule="auto"/>
        <w:rPr>
          <w:rFonts w:cstheme="minorHAnsi"/>
          <w:b/>
        </w:rPr>
      </w:pPr>
      <w:r w:rsidRPr="00462E90">
        <w:rPr>
          <w:rFonts w:cstheme="minorHAnsi"/>
          <w:b/>
        </w:rPr>
        <w:t>Transaction rules – General</w:t>
      </w:r>
    </w:p>
    <w:p w14:paraId="69013D1D" w14:textId="77777777" w:rsidR="00462E90" w:rsidRPr="00462E90" w:rsidRDefault="00462E90" w:rsidP="008E2122">
      <w:pPr>
        <w:pStyle w:val="ListParagraph"/>
        <w:spacing w:after="0" w:line="240" w:lineRule="auto"/>
        <w:ind w:left="1080"/>
        <w:rPr>
          <w:rFonts w:cstheme="minorHAnsi"/>
          <w:b/>
        </w:rPr>
      </w:pPr>
    </w:p>
    <w:p w14:paraId="6F926915" w14:textId="77777777" w:rsidR="00BB62C9" w:rsidRDefault="000B4028" w:rsidP="0091371D">
      <w:pPr>
        <w:pStyle w:val="ListParagraph"/>
        <w:numPr>
          <w:ilvl w:val="0"/>
          <w:numId w:val="9"/>
        </w:numPr>
        <w:spacing w:after="0" w:line="240" w:lineRule="auto"/>
        <w:rPr>
          <w:rFonts w:cstheme="minorHAnsi"/>
        </w:rPr>
      </w:pPr>
      <w:r>
        <w:rPr>
          <w:rFonts w:cstheme="minorHAnsi"/>
        </w:rPr>
        <w:t>U</w:t>
      </w:r>
      <w:r w:rsidRPr="00D825AF">
        <w:t>nder the Communications Act, when reviewing a</w:t>
      </w:r>
      <w:r>
        <w:t>ny</w:t>
      </w:r>
      <w:r w:rsidRPr="00D825AF">
        <w:t xml:space="preserve"> proposed </w:t>
      </w:r>
      <w:r>
        <w:t xml:space="preserve">spectrum </w:t>
      </w:r>
      <w:r w:rsidRPr="00D825AF">
        <w:t xml:space="preserve">license assignment or transfer application, the Commission must determine whether the proposed </w:t>
      </w:r>
      <w:r>
        <w:t>transaction</w:t>
      </w:r>
      <w:r w:rsidRPr="00D825AF">
        <w:t xml:space="preserve"> will serve the public interest, convenience, and necessit</w:t>
      </w:r>
      <w:r>
        <w:t>y.</w:t>
      </w:r>
    </w:p>
    <w:p w14:paraId="5ED64BE1" w14:textId="77777777" w:rsidR="00236BA1" w:rsidRDefault="0091371D" w:rsidP="0091371D">
      <w:pPr>
        <w:pStyle w:val="ListParagraph"/>
        <w:numPr>
          <w:ilvl w:val="0"/>
          <w:numId w:val="9"/>
        </w:numPr>
        <w:spacing w:after="0" w:line="240" w:lineRule="auto"/>
        <w:rPr>
          <w:rFonts w:cstheme="minorHAnsi"/>
        </w:rPr>
      </w:pPr>
      <w:r>
        <w:rPr>
          <w:rFonts w:cstheme="minorHAnsi"/>
        </w:rPr>
        <w:t>The FCC currently uses a “spectrum screen</w:t>
      </w:r>
      <w:r w:rsidR="00BB62C9">
        <w:rPr>
          <w:rFonts w:cstheme="minorHAnsi"/>
        </w:rPr>
        <w:t>,</w:t>
      </w:r>
      <w:r>
        <w:rPr>
          <w:rFonts w:cstheme="minorHAnsi"/>
        </w:rPr>
        <w:t>”</w:t>
      </w:r>
      <w:r w:rsidR="00BB62C9">
        <w:rPr>
          <w:rFonts w:cstheme="minorHAnsi"/>
        </w:rPr>
        <w:t xml:space="preserve"> among other factors</w:t>
      </w:r>
      <w:r w:rsidR="00B422BE">
        <w:rPr>
          <w:rFonts w:cstheme="minorHAnsi"/>
        </w:rPr>
        <w:t>,</w:t>
      </w:r>
      <w:r>
        <w:rPr>
          <w:rFonts w:cstheme="minorHAnsi"/>
        </w:rPr>
        <w:t xml:space="preserve"> when reviewing transactions</w:t>
      </w:r>
      <w:r w:rsidR="00236BA1">
        <w:rPr>
          <w:rFonts w:cstheme="minorHAnsi"/>
        </w:rPr>
        <w:t xml:space="preserve"> to determine whether they are in the public interest</w:t>
      </w:r>
      <w:r>
        <w:rPr>
          <w:rFonts w:cstheme="minorHAnsi"/>
        </w:rPr>
        <w:t xml:space="preserve">. </w:t>
      </w:r>
    </w:p>
    <w:p w14:paraId="5E29DD50" w14:textId="77777777" w:rsidR="0091371D" w:rsidRDefault="0091371D" w:rsidP="0091371D">
      <w:pPr>
        <w:pStyle w:val="ListParagraph"/>
        <w:numPr>
          <w:ilvl w:val="0"/>
          <w:numId w:val="9"/>
        </w:numPr>
        <w:spacing w:after="0" w:line="240" w:lineRule="auto"/>
        <w:rPr>
          <w:rFonts w:cstheme="minorHAnsi"/>
        </w:rPr>
      </w:pPr>
      <w:r w:rsidRPr="0091371D">
        <w:rPr>
          <w:rFonts w:cstheme="minorHAnsi"/>
        </w:rPr>
        <w:t xml:space="preserve">The current spectrum screen </w:t>
      </w:r>
      <w:r w:rsidR="00B92858">
        <w:rPr>
          <w:rFonts w:cstheme="minorHAnsi"/>
        </w:rPr>
        <w:t xml:space="preserve">considers </w:t>
      </w:r>
      <w:r w:rsidRPr="0091371D">
        <w:rPr>
          <w:rFonts w:cstheme="minorHAnsi"/>
        </w:rPr>
        <w:t>the total amount of spectrum</w:t>
      </w:r>
      <w:r w:rsidR="0048447D">
        <w:rPr>
          <w:rFonts w:cstheme="minorHAnsi"/>
        </w:rPr>
        <w:t xml:space="preserve"> suitable and available for mobile broadband</w:t>
      </w:r>
      <w:r w:rsidRPr="0091371D">
        <w:rPr>
          <w:rFonts w:cstheme="minorHAnsi"/>
        </w:rPr>
        <w:t xml:space="preserve"> held in a market by a wireless </w:t>
      </w:r>
      <w:r w:rsidR="0096567C">
        <w:rPr>
          <w:rFonts w:cstheme="minorHAnsi"/>
        </w:rPr>
        <w:t>provider</w:t>
      </w:r>
      <w:r w:rsidRPr="0091371D">
        <w:rPr>
          <w:rFonts w:cstheme="minorHAnsi"/>
        </w:rPr>
        <w:t xml:space="preserve">. </w:t>
      </w:r>
    </w:p>
    <w:p w14:paraId="071C3975" w14:textId="5E6042EA" w:rsidR="0091371D" w:rsidRDefault="0091371D" w:rsidP="0091371D">
      <w:pPr>
        <w:pStyle w:val="ListParagraph"/>
        <w:numPr>
          <w:ilvl w:val="0"/>
          <w:numId w:val="9"/>
        </w:numPr>
        <w:spacing w:after="0" w:line="240" w:lineRule="auto"/>
        <w:rPr>
          <w:rFonts w:cstheme="minorHAnsi"/>
        </w:rPr>
      </w:pPr>
      <w:r>
        <w:rPr>
          <w:rFonts w:cstheme="minorHAnsi"/>
        </w:rPr>
        <w:t xml:space="preserve">The screen </w:t>
      </w:r>
      <w:r w:rsidR="00B422BE">
        <w:rPr>
          <w:rFonts w:cstheme="minorHAnsi"/>
        </w:rPr>
        <w:t xml:space="preserve">can </w:t>
      </w:r>
      <w:r w:rsidR="0048447D">
        <w:rPr>
          <w:rFonts w:cstheme="minorHAnsi"/>
        </w:rPr>
        <w:t>trigger</w:t>
      </w:r>
      <w:r>
        <w:rPr>
          <w:rFonts w:cstheme="minorHAnsi"/>
        </w:rPr>
        <w:t xml:space="preserve"> a </w:t>
      </w:r>
      <w:r w:rsidR="0048447D">
        <w:rPr>
          <w:rFonts w:cstheme="minorHAnsi"/>
        </w:rPr>
        <w:t xml:space="preserve">more detailed </w:t>
      </w:r>
      <w:r w:rsidR="0096567C">
        <w:rPr>
          <w:rFonts w:cstheme="minorHAnsi"/>
        </w:rPr>
        <w:t xml:space="preserve">competitive analysis </w:t>
      </w:r>
      <w:r>
        <w:rPr>
          <w:rFonts w:cstheme="minorHAnsi"/>
        </w:rPr>
        <w:t xml:space="preserve">by the FCC. </w:t>
      </w:r>
      <w:r w:rsidR="00D252DC">
        <w:rPr>
          <w:rFonts w:cstheme="minorHAnsi"/>
        </w:rPr>
        <w:t xml:space="preserve"> </w:t>
      </w:r>
      <w:r>
        <w:rPr>
          <w:rFonts w:cstheme="minorHAnsi"/>
        </w:rPr>
        <w:t xml:space="preserve">Currently, </w:t>
      </w:r>
      <w:r w:rsidR="0048447D">
        <w:rPr>
          <w:rFonts w:cstheme="minorHAnsi"/>
        </w:rPr>
        <w:t>the trigger</w:t>
      </w:r>
      <w:r>
        <w:rPr>
          <w:rFonts w:cstheme="minorHAnsi"/>
        </w:rPr>
        <w:t xml:space="preserve"> </w:t>
      </w:r>
      <w:r w:rsidR="00B422BE">
        <w:rPr>
          <w:rFonts w:cstheme="minorHAnsi"/>
        </w:rPr>
        <w:t xml:space="preserve">occurs when a wireless provider holds </w:t>
      </w:r>
      <w:r w:rsidR="00D252DC">
        <w:rPr>
          <w:rFonts w:cstheme="minorHAnsi"/>
        </w:rPr>
        <w:t xml:space="preserve">approximately </w:t>
      </w:r>
      <w:r w:rsidR="003233FA">
        <w:rPr>
          <w:rFonts w:cstheme="minorHAnsi"/>
        </w:rPr>
        <w:t xml:space="preserve">1/3 </w:t>
      </w:r>
      <w:r w:rsidR="00B422BE">
        <w:rPr>
          <w:rFonts w:cstheme="minorHAnsi"/>
        </w:rPr>
        <w:t xml:space="preserve">or more </w:t>
      </w:r>
      <w:r w:rsidR="003233FA">
        <w:rPr>
          <w:rFonts w:cstheme="minorHAnsi"/>
        </w:rPr>
        <w:t xml:space="preserve">of </w:t>
      </w:r>
      <w:r w:rsidR="00B422BE">
        <w:rPr>
          <w:rFonts w:cstheme="minorHAnsi"/>
        </w:rPr>
        <w:t xml:space="preserve">the </w:t>
      </w:r>
      <w:r w:rsidR="003233FA">
        <w:rPr>
          <w:rFonts w:cstheme="minorHAnsi"/>
        </w:rPr>
        <w:t>available spectrum in a given market</w:t>
      </w:r>
      <w:r w:rsidR="00BB62C9">
        <w:rPr>
          <w:rFonts w:cstheme="minorHAnsi"/>
        </w:rPr>
        <w:t>.</w:t>
      </w:r>
    </w:p>
    <w:p w14:paraId="60D4E67D" w14:textId="386BE8CF" w:rsidR="0084206D" w:rsidRDefault="003233FA" w:rsidP="000C7B40">
      <w:pPr>
        <w:pStyle w:val="ListParagraph"/>
        <w:numPr>
          <w:ilvl w:val="0"/>
          <w:numId w:val="9"/>
        </w:numPr>
        <w:spacing w:after="0" w:line="240" w:lineRule="auto"/>
        <w:rPr>
          <w:rFonts w:cstheme="minorHAnsi"/>
        </w:rPr>
      </w:pPr>
      <w:r>
        <w:rPr>
          <w:rFonts w:cstheme="minorHAnsi"/>
        </w:rPr>
        <w:t xml:space="preserve">The </w:t>
      </w:r>
      <w:r w:rsidR="00626EBF">
        <w:rPr>
          <w:rFonts w:cstheme="minorHAnsi"/>
        </w:rPr>
        <w:t>Commission will</w:t>
      </w:r>
      <w:r>
        <w:rPr>
          <w:rFonts w:cstheme="minorHAnsi"/>
        </w:rPr>
        <w:t xml:space="preserve"> </w:t>
      </w:r>
      <w:r w:rsidR="00390036">
        <w:rPr>
          <w:rFonts w:cstheme="minorHAnsi"/>
        </w:rPr>
        <w:t>continue to use</w:t>
      </w:r>
      <w:r w:rsidR="00BB62C9">
        <w:rPr>
          <w:rFonts w:cstheme="minorHAnsi"/>
        </w:rPr>
        <w:t xml:space="preserve"> this</w:t>
      </w:r>
      <w:r w:rsidR="000C7B40">
        <w:rPr>
          <w:rFonts w:cstheme="minorHAnsi"/>
        </w:rPr>
        <w:t xml:space="preserve"> </w:t>
      </w:r>
      <w:r w:rsidR="00236BA1">
        <w:rPr>
          <w:rFonts w:cstheme="minorHAnsi"/>
        </w:rPr>
        <w:t xml:space="preserve">1/3 </w:t>
      </w:r>
      <w:r w:rsidR="00BB62C9">
        <w:rPr>
          <w:rFonts w:cstheme="minorHAnsi"/>
        </w:rPr>
        <w:t xml:space="preserve">spectrum </w:t>
      </w:r>
      <w:r w:rsidR="000C7B40">
        <w:rPr>
          <w:rFonts w:cstheme="minorHAnsi"/>
        </w:rPr>
        <w:t>screen</w:t>
      </w:r>
      <w:r w:rsidR="00B92858">
        <w:rPr>
          <w:rFonts w:cstheme="minorHAnsi"/>
        </w:rPr>
        <w:t xml:space="preserve"> </w:t>
      </w:r>
      <w:r w:rsidR="00390036">
        <w:rPr>
          <w:rFonts w:cstheme="minorHAnsi"/>
        </w:rPr>
        <w:t xml:space="preserve">threshold </w:t>
      </w:r>
      <w:r w:rsidR="00B92858">
        <w:rPr>
          <w:rFonts w:cstheme="minorHAnsi"/>
        </w:rPr>
        <w:t xml:space="preserve">and </w:t>
      </w:r>
      <w:r w:rsidR="00390036">
        <w:rPr>
          <w:rFonts w:cstheme="minorHAnsi"/>
        </w:rPr>
        <w:t xml:space="preserve">will evaluate </w:t>
      </w:r>
      <w:r w:rsidR="00B92858">
        <w:rPr>
          <w:rFonts w:cstheme="minorHAnsi"/>
        </w:rPr>
        <w:t>transactions on a case-by-case basis</w:t>
      </w:r>
      <w:r w:rsidR="000C7B40">
        <w:rPr>
          <w:rFonts w:cstheme="minorHAnsi"/>
        </w:rPr>
        <w:t>.</w:t>
      </w:r>
      <w:r w:rsidR="0084206D">
        <w:rPr>
          <w:rFonts w:cstheme="minorHAnsi"/>
        </w:rPr>
        <w:t xml:space="preserve">  </w:t>
      </w:r>
    </w:p>
    <w:p w14:paraId="629B30F6" w14:textId="77777777" w:rsidR="000C7B40" w:rsidRDefault="00B92858" w:rsidP="000C7B40">
      <w:pPr>
        <w:pStyle w:val="ListParagraph"/>
        <w:numPr>
          <w:ilvl w:val="0"/>
          <w:numId w:val="9"/>
        </w:numPr>
        <w:spacing w:after="0" w:line="240" w:lineRule="auto"/>
        <w:rPr>
          <w:rFonts w:cstheme="minorHAnsi"/>
        </w:rPr>
      </w:pPr>
      <w:r>
        <w:rPr>
          <w:rFonts w:cstheme="minorHAnsi"/>
        </w:rPr>
        <w:t>In light of recent and upcoming auctions and rule changes, t</w:t>
      </w:r>
      <w:r w:rsidR="003233FA">
        <w:rPr>
          <w:rFonts w:cstheme="minorHAnsi"/>
        </w:rPr>
        <w:t xml:space="preserve">he </w:t>
      </w:r>
      <w:r w:rsidR="00626EBF">
        <w:rPr>
          <w:rFonts w:cstheme="minorHAnsi"/>
        </w:rPr>
        <w:t xml:space="preserve">Commission </w:t>
      </w:r>
      <w:r w:rsidR="00D84A78">
        <w:rPr>
          <w:rFonts w:cstheme="minorHAnsi"/>
        </w:rPr>
        <w:t>add</w:t>
      </w:r>
      <w:r w:rsidR="00626EBF">
        <w:rPr>
          <w:rFonts w:cstheme="minorHAnsi"/>
        </w:rPr>
        <w:t>ed</w:t>
      </w:r>
      <w:r w:rsidR="00D84A78">
        <w:rPr>
          <w:rFonts w:cstheme="minorHAnsi"/>
        </w:rPr>
        <w:t xml:space="preserve"> and subtract</w:t>
      </w:r>
      <w:r w:rsidR="00626EBF">
        <w:rPr>
          <w:rFonts w:cstheme="minorHAnsi"/>
        </w:rPr>
        <w:t>ed</w:t>
      </w:r>
      <w:r w:rsidR="003233FA">
        <w:rPr>
          <w:rFonts w:cstheme="minorHAnsi"/>
        </w:rPr>
        <w:t xml:space="preserve"> </w:t>
      </w:r>
      <w:r w:rsidR="0096567C">
        <w:rPr>
          <w:rFonts w:cstheme="minorHAnsi"/>
        </w:rPr>
        <w:t xml:space="preserve">certain </w:t>
      </w:r>
      <w:r w:rsidR="003233FA">
        <w:rPr>
          <w:rFonts w:cstheme="minorHAnsi"/>
        </w:rPr>
        <w:t xml:space="preserve">spectrum </w:t>
      </w:r>
      <w:r w:rsidR="0096567C">
        <w:rPr>
          <w:rFonts w:cstheme="minorHAnsi"/>
        </w:rPr>
        <w:t xml:space="preserve">bands to </w:t>
      </w:r>
      <w:r w:rsidR="003233FA">
        <w:rPr>
          <w:rFonts w:cstheme="minorHAnsi"/>
        </w:rPr>
        <w:t>the screen</w:t>
      </w:r>
      <w:r w:rsidR="00BB62C9">
        <w:rPr>
          <w:rFonts w:cstheme="minorHAnsi"/>
        </w:rPr>
        <w:t>, based on whether today that spectrum is “suitable” and “available” for mobile broadband</w:t>
      </w:r>
      <w:r w:rsidR="003233FA">
        <w:rPr>
          <w:rFonts w:cstheme="minorHAnsi"/>
        </w:rPr>
        <w:t xml:space="preserve">.  </w:t>
      </w:r>
    </w:p>
    <w:p w14:paraId="76B22841" w14:textId="77777777" w:rsidR="000C7B40" w:rsidRDefault="000C7B40" w:rsidP="000C7B40">
      <w:pPr>
        <w:spacing w:after="0" w:line="240" w:lineRule="auto"/>
        <w:rPr>
          <w:rFonts w:cstheme="minorHAnsi"/>
        </w:rPr>
      </w:pPr>
    </w:p>
    <w:p w14:paraId="2BBF2C1E" w14:textId="1F7AFFDF" w:rsidR="000C7B40" w:rsidRPr="00462E90" w:rsidRDefault="000C7B40" w:rsidP="00462E90">
      <w:pPr>
        <w:pStyle w:val="ListParagraph"/>
        <w:numPr>
          <w:ilvl w:val="0"/>
          <w:numId w:val="16"/>
        </w:numPr>
        <w:spacing w:after="0" w:line="240" w:lineRule="auto"/>
        <w:rPr>
          <w:rFonts w:cstheme="minorHAnsi"/>
          <w:b/>
        </w:rPr>
      </w:pPr>
      <w:r w:rsidRPr="00462E90">
        <w:rPr>
          <w:rFonts w:cstheme="minorHAnsi"/>
          <w:b/>
        </w:rPr>
        <w:t>Transaction rules below 1 GHz</w:t>
      </w:r>
    </w:p>
    <w:p w14:paraId="600C40F4" w14:textId="77777777" w:rsidR="00462E90" w:rsidRPr="00462E90" w:rsidRDefault="00462E90" w:rsidP="008E2122">
      <w:pPr>
        <w:pStyle w:val="ListParagraph"/>
        <w:spacing w:after="0" w:line="240" w:lineRule="auto"/>
        <w:ind w:left="1080"/>
        <w:rPr>
          <w:rFonts w:cstheme="minorHAnsi"/>
          <w:b/>
        </w:rPr>
      </w:pPr>
    </w:p>
    <w:p w14:paraId="5124CA79" w14:textId="77777777" w:rsidR="000C7B40" w:rsidRPr="000C7B40" w:rsidRDefault="00626EBF" w:rsidP="000C7B40">
      <w:pPr>
        <w:pStyle w:val="ListParagraph"/>
        <w:numPr>
          <w:ilvl w:val="0"/>
          <w:numId w:val="11"/>
        </w:numPr>
        <w:spacing w:after="0" w:line="240" w:lineRule="auto"/>
        <w:rPr>
          <w:rFonts w:cstheme="minorHAnsi"/>
          <w:b/>
        </w:rPr>
      </w:pPr>
      <w:r>
        <w:rPr>
          <w:rFonts w:cstheme="minorHAnsi"/>
        </w:rPr>
        <w:t>The Commission will</w:t>
      </w:r>
      <w:r w:rsidR="00236BA1">
        <w:rPr>
          <w:rFonts w:cstheme="minorHAnsi"/>
        </w:rPr>
        <w:t xml:space="preserve"> </w:t>
      </w:r>
      <w:r w:rsidR="00D84A78">
        <w:rPr>
          <w:rFonts w:cstheme="minorHAnsi"/>
        </w:rPr>
        <w:t xml:space="preserve">continue to </w:t>
      </w:r>
      <w:r w:rsidR="000C7B40">
        <w:rPr>
          <w:rFonts w:cstheme="minorHAnsi"/>
        </w:rPr>
        <w:t>use a case-by-case review for transactions involving spectrum below 1 GHz</w:t>
      </w:r>
      <w:r w:rsidR="00D84A78">
        <w:rPr>
          <w:rFonts w:cstheme="minorHAnsi"/>
        </w:rPr>
        <w:t>, as described above</w:t>
      </w:r>
      <w:r w:rsidR="000C7B40">
        <w:rPr>
          <w:rFonts w:cstheme="minorHAnsi"/>
        </w:rPr>
        <w:t>.</w:t>
      </w:r>
    </w:p>
    <w:p w14:paraId="0B786B23" w14:textId="1ECF150F" w:rsidR="000C7B40" w:rsidRPr="00BE00BA" w:rsidRDefault="0096567C" w:rsidP="000C7B40">
      <w:pPr>
        <w:pStyle w:val="ListParagraph"/>
        <w:numPr>
          <w:ilvl w:val="0"/>
          <w:numId w:val="11"/>
        </w:numPr>
        <w:spacing w:after="0" w:line="240" w:lineRule="auto"/>
        <w:rPr>
          <w:rFonts w:cstheme="minorHAnsi"/>
          <w:b/>
        </w:rPr>
      </w:pPr>
      <w:r>
        <w:rPr>
          <w:rFonts w:cstheme="minorHAnsi"/>
        </w:rPr>
        <w:t>A</w:t>
      </w:r>
      <w:r w:rsidR="000C7B40">
        <w:rPr>
          <w:rFonts w:cstheme="minorHAnsi"/>
        </w:rPr>
        <w:t xml:space="preserve">ggregation of </w:t>
      </w:r>
      <w:r w:rsidR="00390036">
        <w:rPr>
          <w:rFonts w:cstheme="minorHAnsi"/>
        </w:rPr>
        <w:t>approximately 1/3 or more</w:t>
      </w:r>
      <w:r w:rsidR="000C7B40">
        <w:rPr>
          <w:rFonts w:cstheme="minorHAnsi"/>
        </w:rPr>
        <w:t xml:space="preserve"> of available </w:t>
      </w:r>
      <w:r>
        <w:rPr>
          <w:rFonts w:cstheme="minorHAnsi"/>
        </w:rPr>
        <w:t xml:space="preserve">low-band </w:t>
      </w:r>
      <w:r w:rsidR="000C7B40">
        <w:rPr>
          <w:rFonts w:cstheme="minorHAnsi"/>
        </w:rPr>
        <w:t>spectrum in a market</w:t>
      </w:r>
      <w:r>
        <w:rPr>
          <w:rFonts w:cstheme="minorHAnsi"/>
        </w:rPr>
        <w:t xml:space="preserve"> </w:t>
      </w:r>
      <w:r w:rsidR="00680257">
        <w:rPr>
          <w:rFonts w:cstheme="minorHAnsi"/>
        </w:rPr>
        <w:t>will</w:t>
      </w:r>
      <w:r>
        <w:rPr>
          <w:rFonts w:cstheme="minorHAnsi"/>
        </w:rPr>
        <w:t xml:space="preserve"> be an “enhanced factor” in the Commission’s competitive analysis of a proposed transaction</w:t>
      </w:r>
      <w:r w:rsidR="000C7B40">
        <w:rPr>
          <w:rFonts w:cstheme="minorHAnsi"/>
        </w:rPr>
        <w:t>.</w:t>
      </w:r>
      <w:r w:rsidR="00245B12">
        <w:rPr>
          <w:rFonts w:cstheme="minorHAnsi"/>
        </w:rPr>
        <w:t xml:space="preserve">   </w:t>
      </w:r>
    </w:p>
    <w:p w14:paraId="25B2D5C3" w14:textId="77777777" w:rsidR="000C7B40" w:rsidRPr="000C7B40" w:rsidRDefault="000C7B40" w:rsidP="000C7B40">
      <w:pPr>
        <w:pStyle w:val="ListParagraph"/>
        <w:numPr>
          <w:ilvl w:val="0"/>
          <w:numId w:val="11"/>
        </w:numPr>
        <w:spacing w:after="0" w:line="240" w:lineRule="auto"/>
        <w:rPr>
          <w:rFonts w:cstheme="minorHAnsi"/>
          <w:b/>
        </w:rPr>
      </w:pPr>
      <w:r>
        <w:rPr>
          <w:rFonts w:cstheme="minorHAnsi"/>
        </w:rPr>
        <w:t xml:space="preserve">The </w:t>
      </w:r>
      <w:r w:rsidR="00A612EC">
        <w:rPr>
          <w:rFonts w:cstheme="minorHAnsi"/>
        </w:rPr>
        <w:t xml:space="preserve">importance of </w:t>
      </w:r>
      <w:r>
        <w:rPr>
          <w:rFonts w:cstheme="minorHAnsi"/>
        </w:rPr>
        <w:t xml:space="preserve">this uniquely valuable spectrum </w:t>
      </w:r>
      <w:r w:rsidR="00A612EC">
        <w:rPr>
          <w:rFonts w:cstheme="minorHAnsi"/>
        </w:rPr>
        <w:t xml:space="preserve">for </w:t>
      </w:r>
      <w:r w:rsidR="0096567C">
        <w:rPr>
          <w:rFonts w:cstheme="minorHAnsi"/>
        </w:rPr>
        <w:t xml:space="preserve">promoting competition </w:t>
      </w:r>
      <w:r>
        <w:rPr>
          <w:rFonts w:cstheme="minorHAnsi"/>
        </w:rPr>
        <w:t>requires th</w:t>
      </w:r>
      <w:r w:rsidR="00A612EC">
        <w:rPr>
          <w:rFonts w:cstheme="minorHAnsi"/>
        </w:rPr>
        <w:t>is</w:t>
      </w:r>
      <w:r>
        <w:rPr>
          <w:rFonts w:cstheme="minorHAnsi"/>
        </w:rPr>
        <w:t xml:space="preserve"> enhanced review.</w:t>
      </w:r>
    </w:p>
    <w:p w14:paraId="58BF6E95" w14:textId="77777777" w:rsidR="000C7B40" w:rsidRDefault="000C7B40" w:rsidP="000C7B40">
      <w:pPr>
        <w:spacing w:after="0" w:line="240" w:lineRule="auto"/>
        <w:rPr>
          <w:rFonts w:cstheme="minorHAnsi"/>
          <w:b/>
        </w:rPr>
      </w:pPr>
    </w:p>
    <w:p w14:paraId="12FD134F" w14:textId="77777777" w:rsidR="007F33FB" w:rsidRDefault="007F33FB" w:rsidP="000C7B40">
      <w:pPr>
        <w:spacing w:after="0" w:line="240" w:lineRule="auto"/>
        <w:rPr>
          <w:rFonts w:cstheme="minorHAnsi"/>
          <w:b/>
        </w:rPr>
      </w:pPr>
    </w:p>
    <w:p w14:paraId="46ABB5ED" w14:textId="77777777" w:rsidR="000C7B40" w:rsidRDefault="000C7B40" w:rsidP="000C7B40">
      <w:pPr>
        <w:spacing w:after="0" w:line="240" w:lineRule="auto"/>
        <w:rPr>
          <w:rFonts w:cstheme="minorHAnsi"/>
          <w:b/>
        </w:rPr>
      </w:pPr>
      <w:r>
        <w:rPr>
          <w:rFonts w:cstheme="minorHAnsi"/>
          <w:b/>
        </w:rPr>
        <w:t>III. Auction</w:t>
      </w:r>
      <w:r w:rsidR="00236BA1">
        <w:rPr>
          <w:rFonts w:cstheme="minorHAnsi"/>
          <w:b/>
        </w:rPr>
        <w:t>-</w:t>
      </w:r>
      <w:r>
        <w:rPr>
          <w:rFonts w:cstheme="minorHAnsi"/>
          <w:b/>
        </w:rPr>
        <w:t>s</w:t>
      </w:r>
      <w:r w:rsidR="00236BA1">
        <w:rPr>
          <w:rFonts w:cstheme="minorHAnsi"/>
          <w:b/>
        </w:rPr>
        <w:t>pecific</w:t>
      </w:r>
      <w:r>
        <w:rPr>
          <w:rFonts w:cstheme="minorHAnsi"/>
          <w:b/>
        </w:rPr>
        <w:t xml:space="preserve"> policies for AWS-3 and 600 MHz/Incentive Auction.</w:t>
      </w:r>
    </w:p>
    <w:p w14:paraId="446F2036" w14:textId="77777777" w:rsidR="000C7B40" w:rsidRDefault="000C7B40" w:rsidP="003842C1">
      <w:pPr>
        <w:spacing w:after="0" w:line="240" w:lineRule="auto"/>
        <w:rPr>
          <w:rFonts w:cstheme="minorHAnsi"/>
          <w:b/>
        </w:rPr>
      </w:pPr>
    </w:p>
    <w:p w14:paraId="76338CA8" w14:textId="77777777" w:rsidR="003842C1" w:rsidRDefault="003842C1" w:rsidP="003842C1">
      <w:pPr>
        <w:spacing w:after="0" w:line="240" w:lineRule="auto"/>
        <w:rPr>
          <w:rFonts w:cstheme="minorHAnsi"/>
          <w:b/>
        </w:rPr>
      </w:pPr>
      <w:r>
        <w:rPr>
          <w:rFonts w:cstheme="minorHAnsi"/>
          <w:b/>
        </w:rPr>
        <w:t>AWS-3 (</w:t>
      </w:r>
      <w:r w:rsidR="0096567C">
        <w:rPr>
          <w:rFonts w:cstheme="minorHAnsi"/>
          <w:b/>
        </w:rPr>
        <w:t>“</w:t>
      </w:r>
      <w:r>
        <w:rPr>
          <w:rFonts w:cstheme="minorHAnsi"/>
          <w:b/>
        </w:rPr>
        <w:t>Capacity</w:t>
      </w:r>
      <w:r w:rsidR="0096567C">
        <w:rPr>
          <w:rFonts w:cstheme="minorHAnsi"/>
          <w:b/>
        </w:rPr>
        <w:t>”</w:t>
      </w:r>
      <w:r>
        <w:rPr>
          <w:rFonts w:cstheme="minorHAnsi"/>
          <w:b/>
        </w:rPr>
        <w:t>) Spectrum:</w:t>
      </w:r>
    </w:p>
    <w:p w14:paraId="32A80F74" w14:textId="77777777" w:rsidR="00462E90" w:rsidRDefault="00462E90" w:rsidP="003842C1">
      <w:pPr>
        <w:spacing w:after="0" w:line="240" w:lineRule="auto"/>
        <w:rPr>
          <w:rFonts w:cstheme="minorHAnsi"/>
          <w:b/>
        </w:rPr>
      </w:pPr>
    </w:p>
    <w:p w14:paraId="7465A9E2" w14:textId="4CB6C89B" w:rsidR="000B4028" w:rsidRPr="00BE00BA" w:rsidRDefault="00540B7F" w:rsidP="00BE00BA">
      <w:pPr>
        <w:pStyle w:val="ListParagraph"/>
        <w:numPr>
          <w:ilvl w:val="0"/>
          <w:numId w:val="14"/>
        </w:numPr>
        <w:spacing w:after="0" w:line="240" w:lineRule="auto"/>
        <w:rPr>
          <w:rFonts w:cstheme="minorHAnsi"/>
          <w:b/>
        </w:rPr>
      </w:pPr>
      <w:r>
        <w:rPr>
          <w:rFonts w:cstheme="minorHAnsi"/>
        </w:rPr>
        <w:t xml:space="preserve">In light of the relative abundance of high-band spectrum and current holdings by multiple providers, </w:t>
      </w:r>
      <w:r w:rsidR="00680257">
        <w:rPr>
          <w:rFonts w:cstheme="minorHAnsi"/>
        </w:rPr>
        <w:t>there will be</w:t>
      </w:r>
      <w:r w:rsidR="000B4028">
        <w:rPr>
          <w:rFonts w:cstheme="minorHAnsi"/>
        </w:rPr>
        <w:t xml:space="preserve"> n</w:t>
      </w:r>
      <w:r w:rsidR="003842C1">
        <w:rPr>
          <w:rFonts w:cstheme="minorHAnsi"/>
        </w:rPr>
        <w:t xml:space="preserve">o </w:t>
      </w:r>
      <w:r w:rsidR="000B4028">
        <w:rPr>
          <w:rFonts w:cstheme="minorHAnsi"/>
        </w:rPr>
        <w:t xml:space="preserve">auction-specific </w:t>
      </w:r>
      <w:r w:rsidR="003842C1">
        <w:rPr>
          <w:rFonts w:cstheme="minorHAnsi"/>
        </w:rPr>
        <w:t>limits</w:t>
      </w:r>
      <w:r w:rsidR="000B4028">
        <w:rPr>
          <w:rFonts w:cstheme="minorHAnsi"/>
        </w:rPr>
        <w:t>; a</w:t>
      </w:r>
      <w:r w:rsidR="003842C1" w:rsidRPr="00BE00BA">
        <w:rPr>
          <w:rFonts w:cstheme="minorHAnsi"/>
        </w:rPr>
        <w:t xml:space="preserve">ll </w:t>
      </w:r>
      <w:r w:rsidR="0096567C" w:rsidRPr="00BE00BA">
        <w:rPr>
          <w:rFonts w:cstheme="minorHAnsi"/>
        </w:rPr>
        <w:t>provider</w:t>
      </w:r>
      <w:r w:rsidR="003842C1" w:rsidRPr="00BE00BA">
        <w:rPr>
          <w:rFonts w:cstheme="minorHAnsi"/>
        </w:rPr>
        <w:t xml:space="preserve">s </w:t>
      </w:r>
      <w:r w:rsidR="00346780">
        <w:rPr>
          <w:rFonts w:cstheme="minorHAnsi"/>
        </w:rPr>
        <w:t>would be able to</w:t>
      </w:r>
      <w:r w:rsidR="00346780" w:rsidRPr="00BE00BA">
        <w:rPr>
          <w:rFonts w:cstheme="minorHAnsi"/>
        </w:rPr>
        <w:t xml:space="preserve"> </w:t>
      </w:r>
      <w:r w:rsidR="003842C1" w:rsidRPr="00BE00BA">
        <w:rPr>
          <w:rFonts w:cstheme="minorHAnsi"/>
        </w:rPr>
        <w:t xml:space="preserve">bid </w:t>
      </w:r>
      <w:r w:rsidR="000B4028">
        <w:rPr>
          <w:rFonts w:cstheme="minorHAnsi"/>
        </w:rPr>
        <w:t xml:space="preserve">for </w:t>
      </w:r>
      <w:r w:rsidR="003842C1" w:rsidRPr="00BE00BA">
        <w:rPr>
          <w:rFonts w:cstheme="minorHAnsi"/>
        </w:rPr>
        <w:t>as much as they want</w:t>
      </w:r>
      <w:r w:rsidR="000B4028">
        <w:rPr>
          <w:rFonts w:cstheme="minorHAnsi"/>
        </w:rPr>
        <w:t>, regardless of their existing spectrum holdings</w:t>
      </w:r>
      <w:r w:rsidR="003842C1" w:rsidRPr="00BE00BA">
        <w:rPr>
          <w:rFonts w:cstheme="minorHAnsi"/>
        </w:rPr>
        <w:t>.</w:t>
      </w:r>
      <w:r w:rsidR="00B23ADE" w:rsidRPr="00BE00BA">
        <w:rPr>
          <w:rFonts w:cstheme="minorHAnsi"/>
        </w:rPr>
        <w:t xml:space="preserve"> </w:t>
      </w:r>
      <w:r w:rsidR="00B36ADA" w:rsidRPr="00BE00BA">
        <w:rPr>
          <w:rFonts w:cstheme="minorHAnsi"/>
        </w:rPr>
        <w:t xml:space="preserve">  </w:t>
      </w:r>
    </w:p>
    <w:p w14:paraId="7B332DA5" w14:textId="77777777" w:rsidR="00462E90" w:rsidRDefault="00462E90" w:rsidP="003842C1">
      <w:pPr>
        <w:spacing w:after="0" w:line="240" w:lineRule="auto"/>
        <w:rPr>
          <w:rFonts w:cstheme="minorHAnsi"/>
          <w:b/>
        </w:rPr>
      </w:pPr>
    </w:p>
    <w:p w14:paraId="756B1E88" w14:textId="77777777" w:rsidR="00462E90" w:rsidRDefault="003842C1" w:rsidP="003842C1">
      <w:pPr>
        <w:spacing w:after="0" w:line="240" w:lineRule="auto"/>
        <w:rPr>
          <w:rFonts w:cstheme="minorHAnsi"/>
          <w:b/>
        </w:rPr>
      </w:pPr>
      <w:r>
        <w:rPr>
          <w:rFonts w:cstheme="minorHAnsi"/>
          <w:b/>
        </w:rPr>
        <w:t>600 MHz</w:t>
      </w:r>
      <w:r w:rsidR="00BE1C82">
        <w:rPr>
          <w:rFonts w:cstheme="minorHAnsi"/>
          <w:b/>
        </w:rPr>
        <w:t>/</w:t>
      </w:r>
      <w:r w:rsidR="00D84A78">
        <w:rPr>
          <w:rFonts w:cstheme="minorHAnsi"/>
          <w:b/>
        </w:rPr>
        <w:t xml:space="preserve">Incentive Auction </w:t>
      </w:r>
      <w:r w:rsidR="00BE1C82">
        <w:rPr>
          <w:rFonts w:cstheme="minorHAnsi"/>
          <w:b/>
        </w:rPr>
        <w:t xml:space="preserve">(“Coverage”) </w:t>
      </w:r>
      <w:r>
        <w:rPr>
          <w:rFonts w:cstheme="minorHAnsi"/>
          <w:b/>
        </w:rPr>
        <w:t xml:space="preserve">Spectrum: </w:t>
      </w:r>
    </w:p>
    <w:p w14:paraId="297F3088" w14:textId="77777777" w:rsidR="00462E90" w:rsidRDefault="00462E90" w:rsidP="003842C1">
      <w:pPr>
        <w:spacing w:after="0" w:line="240" w:lineRule="auto"/>
        <w:rPr>
          <w:rFonts w:cstheme="minorHAnsi"/>
          <w:b/>
          <w:bCs/>
          <w:u w:val="single"/>
        </w:rPr>
      </w:pPr>
    </w:p>
    <w:p w14:paraId="0F75A541" w14:textId="77777777" w:rsidR="00BB62C9" w:rsidRDefault="00BB62C9" w:rsidP="003842C1">
      <w:pPr>
        <w:spacing w:after="0" w:line="240" w:lineRule="auto"/>
        <w:rPr>
          <w:rFonts w:cstheme="minorHAnsi"/>
          <w:b/>
        </w:rPr>
      </w:pPr>
      <w:r>
        <w:rPr>
          <w:rFonts w:cstheme="minorHAnsi"/>
          <w:b/>
          <w:bCs/>
          <w:u w:val="single"/>
        </w:rPr>
        <w:t xml:space="preserve">EVERY PROVIDER </w:t>
      </w:r>
      <w:r w:rsidR="00680257">
        <w:rPr>
          <w:rFonts w:cstheme="minorHAnsi"/>
          <w:b/>
          <w:bCs/>
          <w:u w:val="single"/>
        </w:rPr>
        <w:t>CAN</w:t>
      </w:r>
      <w:r>
        <w:rPr>
          <w:rFonts w:cstheme="minorHAnsi"/>
          <w:b/>
          <w:bCs/>
          <w:u w:val="single"/>
        </w:rPr>
        <w:t xml:space="preserve"> </w:t>
      </w:r>
      <w:r w:rsidR="00D84A78">
        <w:rPr>
          <w:rFonts w:cstheme="minorHAnsi"/>
          <w:b/>
          <w:bCs/>
          <w:u w:val="single"/>
        </w:rPr>
        <w:t>BID FOR</w:t>
      </w:r>
      <w:r>
        <w:rPr>
          <w:rFonts w:cstheme="minorHAnsi"/>
          <w:b/>
          <w:bCs/>
          <w:u w:val="single"/>
        </w:rPr>
        <w:t xml:space="preserve"> SPECTRUM</w:t>
      </w:r>
      <w:r w:rsidR="00D84A78">
        <w:rPr>
          <w:rFonts w:cstheme="minorHAnsi"/>
          <w:b/>
          <w:bCs/>
          <w:u w:val="single"/>
        </w:rPr>
        <w:t xml:space="preserve"> IN EVERY MARKET</w:t>
      </w:r>
      <w:r>
        <w:rPr>
          <w:rFonts w:cstheme="minorHAnsi"/>
          <w:b/>
          <w:bCs/>
          <w:u w:val="single"/>
        </w:rPr>
        <w:t xml:space="preserve">; </w:t>
      </w:r>
      <w:r w:rsidRPr="00C43A1B">
        <w:rPr>
          <w:rFonts w:cstheme="minorHAnsi"/>
          <w:b/>
          <w:bCs/>
          <w:u w:val="single"/>
        </w:rPr>
        <w:t xml:space="preserve">NO </w:t>
      </w:r>
      <w:r>
        <w:rPr>
          <w:rFonts w:cstheme="minorHAnsi"/>
          <w:b/>
          <w:bCs/>
          <w:u w:val="single"/>
        </w:rPr>
        <w:t>PROVIDER</w:t>
      </w:r>
      <w:r w:rsidRPr="00C43A1B">
        <w:rPr>
          <w:rFonts w:cstheme="minorHAnsi"/>
          <w:b/>
          <w:bCs/>
          <w:u w:val="single"/>
        </w:rPr>
        <w:t xml:space="preserve"> </w:t>
      </w:r>
      <w:r w:rsidR="00680257">
        <w:rPr>
          <w:rFonts w:cstheme="minorHAnsi"/>
          <w:b/>
          <w:bCs/>
          <w:u w:val="single"/>
        </w:rPr>
        <w:t>WILL</w:t>
      </w:r>
      <w:r w:rsidR="00236BA1">
        <w:rPr>
          <w:rFonts w:cstheme="minorHAnsi"/>
          <w:b/>
          <w:bCs/>
          <w:u w:val="single"/>
        </w:rPr>
        <w:t xml:space="preserve"> BE </w:t>
      </w:r>
      <w:r w:rsidRPr="00C43A1B">
        <w:rPr>
          <w:rFonts w:cstheme="minorHAnsi"/>
          <w:b/>
          <w:bCs/>
          <w:u w:val="single"/>
        </w:rPr>
        <w:t>EXCLUDED</w:t>
      </w:r>
    </w:p>
    <w:p w14:paraId="2F516BE8" w14:textId="77777777" w:rsidR="00BB62C9" w:rsidRDefault="00BB62C9" w:rsidP="003842C1">
      <w:pPr>
        <w:spacing w:after="0" w:line="240" w:lineRule="auto"/>
        <w:rPr>
          <w:rFonts w:cstheme="minorHAnsi"/>
          <w:b/>
        </w:rPr>
      </w:pPr>
    </w:p>
    <w:p w14:paraId="61A56D15" w14:textId="1DE5D959" w:rsidR="00BB62C9" w:rsidRPr="002B437B" w:rsidRDefault="00BB62C9" w:rsidP="00BB62C9">
      <w:pPr>
        <w:spacing w:after="0" w:line="240" w:lineRule="auto"/>
        <w:rPr>
          <w:rFonts w:cstheme="minorHAnsi"/>
          <w:b/>
        </w:rPr>
      </w:pPr>
      <w:r w:rsidRPr="002B437B">
        <w:rPr>
          <w:rFonts w:cstheme="minorHAnsi"/>
          <w:b/>
          <w:bCs/>
        </w:rPr>
        <w:t>To promote effective competition in the wireless market</w:t>
      </w:r>
      <w:r w:rsidR="00390036">
        <w:rPr>
          <w:rFonts w:cstheme="minorHAnsi"/>
          <w:b/>
          <w:bCs/>
        </w:rPr>
        <w:t>place</w:t>
      </w:r>
      <w:r w:rsidRPr="002B437B">
        <w:rPr>
          <w:rFonts w:cstheme="minorHAnsi"/>
          <w:b/>
          <w:bCs/>
        </w:rPr>
        <w:t>, reasonable spectrum aggregation</w:t>
      </w:r>
      <w:r>
        <w:rPr>
          <w:rFonts w:cstheme="minorHAnsi"/>
          <w:b/>
          <w:bCs/>
        </w:rPr>
        <w:t xml:space="preserve"> </w:t>
      </w:r>
      <w:r w:rsidR="00236BA1">
        <w:rPr>
          <w:rFonts w:cstheme="minorHAnsi"/>
          <w:b/>
          <w:bCs/>
        </w:rPr>
        <w:t>rules in the upcoming Incentive A</w:t>
      </w:r>
      <w:r w:rsidRPr="002B437B">
        <w:rPr>
          <w:rFonts w:cstheme="minorHAnsi"/>
          <w:b/>
          <w:bCs/>
        </w:rPr>
        <w:t xml:space="preserve">uction </w:t>
      </w:r>
      <w:r w:rsidR="00346780">
        <w:rPr>
          <w:rFonts w:cstheme="minorHAnsi"/>
          <w:b/>
          <w:bCs/>
        </w:rPr>
        <w:t>are</w:t>
      </w:r>
      <w:r w:rsidRPr="002B437B">
        <w:rPr>
          <w:rFonts w:cstheme="minorHAnsi"/>
          <w:b/>
          <w:bCs/>
        </w:rPr>
        <w:t xml:space="preserve"> tailored to promote participation by both small and large </w:t>
      </w:r>
      <w:r w:rsidR="003B51D9" w:rsidRPr="002B437B">
        <w:rPr>
          <w:rFonts w:cstheme="minorHAnsi"/>
          <w:b/>
          <w:bCs/>
        </w:rPr>
        <w:t>provider</w:t>
      </w:r>
      <w:r w:rsidR="003B51D9">
        <w:rPr>
          <w:rFonts w:cstheme="minorHAnsi"/>
          <w:b/>
          <w:bCs/>
        </w:rPr>
        <w:t>s</w:t>
      </w:r>
      <w:r w:rsidRPr="002B437B">
        <w:rPr>
          <w:rFonts w:cstheme="minorHAnsi"/>
          <w:b/>
          <w:bCs/>
        </w:rPr>
        <w:t xml:space="preserve"> and </w:t>
      </w:r>
      <w:r w:rsidR="00236BA1">
        <w:rPr>
          <w:rFonts w:cstheme="minorHAnsi"/>
          <w:b/>
          <w:bCs/>
        </w:rPr>
        <w:t xml:space="preserve">to </w:t>
      </w:r>
      <w:r w:rsidRPr="002B437B">
        <w:rPr>
          <w:rFonts w:cstheme="minorHAnsi"/>
          <w:b/>
          <w:bCs/>
        </w:rPr>
        <w:t xml:space="preserve">ensure no one </w:t>
      </w:r>
      <w:r>
        <w:rPr>
          <w:rFonts w:cstheme="minorHAnsi"/>
          <w:b/>
          <w:bCs/>
        </w:rPr>
        <w:t xml:space="preserve">or two </w:t>
      </w:r>
      <w:r w:rsidRPr="002B437B">
        <w:rPr>
          <w:rFonts w:cstheme="minorHAnsi"/>
          <w:b/>
          <w:bCs/>
        </w:rPr>
        <w:t>provider</w:t>
      </w:r>
      <w:r>
        <w:rPr>
          <w:rFonts w:cstheme="minorHAnsi"/>
          <w:b/>
          <w:bCs/>
        </w:rPr>
        <w:t>s</w:t>
      </w:r>
      <w:r w:rsidRPr="002B437B">
        <w:rPr>
          <w:rFonts w:cstheme="minorHAnsi"/>
          <w:b/>
          <w:bCs/>
        </w:rPr>
        <w:t xml:space="preserve"> can </w:t>
      </w:r>
      <w:r>
        <w:rPr>
          <w:rFonts w:cstheme="minorHAnsi"/>
          <w:b/>
          <w:bCs/>
        </w:rPr>
        <w:t>“run the table.”</w:t>
      </w:r>
    </w:p>
    <w:p w14:paraId="2256BB9D" w14:textId="77777777" w:rsidR="00BB62C9" w:rsidRDefault="00BB62C9" w:rsidP="003842C1">
      <w:pPr>
        <w:spacing w:after="0" w:line="240" w:lineRule="auto"/>
        <w:rPr>
          <w:rFonts w:cstheme="minorHAnsi"/>
          <w:b/>
        </w:rPr>
      </w:pPr>
    </w:p>
    <w:p w14:paraId="7468289C" w14:textId="2C416E4E" w:rsidR="0096567C" w:rsidRDefault="00462E90" w:rsidP="003842C1">
      <w:pPr>
        <w:pStyle w:val="ListParagraph"/>
        <w:numPr>
          <w:ilvl w:val="0"/>
          <w:numId w:val="15"/>
        </w:numPr>
        <w:spacing w:after="0" w:line="240" w:lineRule="auto"/>
        <w:rPr>
          <w:rFonts w:cstheme="minorHAnsi"/>
        </w:rPr>
      </w:pPr>
      <w:r>
        <w:rPr>
          <w:rFonts w:cstheme="minorHAnsi"/>
        </w:rPr>
        <w:t>There will be</w:t>
      </w:r>
      <w:r w:rsidR="0096567C">
        <w:rPr>
          <w:rFonts w:cstheme="minorHAnsi"/>
        </w:rPr>
        <w:t xml:space="preserve"> </w:t>
      </w:r>
      <w:r w:rsidR="00A612EC">
        <w:rPr>
          <w:rFonts w:cstheme="minorHAnsi"/>
        </w:rPr>
        <w:t xml:space="preserve">a significant amount </w:t>
      </w:r>
      <w:r w:rsidR="00236BA1">
        <w:rPr>
          <w:rFonts w:cstheme="minorHAnsi"/>
        </w:rPr>
        <w:t>of</w:t>
      </w:r>
      <w:r w:rsidR="0096567C">
        <w:rPr>
          <w:rFonts w:cstheme="minorHAnsi"/>
        </w:rPr>
        <w:t xml:space="preserve"> spectrum available to all bidders</w:t>
      </w:r>
      <w:r w:rsidR="00245B12">
        <w:rPr>
          <w:rFonts w:cstheme="minorHAnsi"/>
        </w:rPr>
        <w:t xml:space="preserve"> in all markets</w:t>
      </w:r>
      <w:r w:rsidR="0096567C">
        <w:rPr>
          <w:rFonts w:cstheme="minorHAnsi"/>
        </w:rPr>
        <w:t xml:space="preserve">.  </w:t>
      </w:r>
    </w:p>
    <w:p w14:paraId="5AEAD9D0" w14:textId="183D2221" w:rsidR="00236BA1" w:rsidRPr="003B51D9" w:rsidRDefault="003842C1" w:rsidP="003B51D9">
      <w:pPr>
        <w:pStyle w:val="ListParagraph"/>
        <w:numPr>
          <w:ilvl w:val="0"/>
          <w:numId w:val="15"/>
        </w:numPr>
        <w:spacing w:after="0" w:line="240" w:lineRule="auto"/>
        <w:rPr>
          <w:rFonts w:cstheme="minorHAnsi"/>
        </w:rPr>
      </w:pPr>
      <w:r>
        <w:rPr>
          <w:rFonts w:cstheme="minorHAnsi"/>
        </w:rPr>
        <w:t xml:space="preserve">To </w:t>
      </w:r>
      <w:r w:rsidR="00540B7F">
        <w:rPr>
          <w:rFonts w:cstheme="minorHAnsi"/>
        </w:rPr>
        <w:t xml:space="preserve">promote </w:t>
      </w:r>
      <w:r>
        <w:rPr>
          <w:rFonts w:cstheme="minorHAnsi"/>
        </w:rPr>
        <w:t>competition</w:t>
      </w:r>
      <w:r w:rsidR="00540B7F">
        <w:rPr>
          <w:rFonts w:cstheme="minorHAnsi"/>
        </w:rPr>
        <w:t xml:space="preserve"> in the auction and in the marketplace</w:t>
      </w:r>
      <w:r>
        <w:rPr>
          <w:rFonts w:cstheme="minorHAnsi"/>
        </w:rPr>
        <w:t xml:space="preserve">, </w:t>
      </w:r>
      <w:r w:rsidR="00245B12">
        <w:rPr>
          <w:rFonts w:cstheme="minorHAnsi"/>
        </w:rPr>
        <w:t xml:space="preserve">the </w:t>
      </w:r>
      <w:r>
        <w:rPr>
          <w:rFonts w:cstheme="minorHAnsi"/>
        </w:rPr>
        <w:t xml:space="preserve">rules establish a </w:t>
      </w:r>
      <w:r w:rsidR="00245B12">
        <w:rPr>
          <w:rFonts w:cstheme="minorHAnsi"/>
        </w:rPr>
        <w:t>market</w:t>
      </w:r>
      <w:r w:rsidR="00B422BE">
        <w:rPr>
          <w:rFonts w:cstheme="minorHAnsi"/>
        </w:rPr>
        <w:t>-</w:t>
      </w:r>
      <w:r w:rsidR="00245B12">
        <w:rPr>
          <w:rFonts w:cstheme="minorHAnsi"/>
        </w:rPr>
        <w:t xml:space="preserve">based </w:t>
      </w:r>
      <w:r w:rsidR="0096567C">
        <w:rPr>
          <w:rFonts w:cstheme="minorHAnsi"/>
        </w:rPr>
        <w:t>reserve</w:t>
      </w:r>
      <w:r w:rsidR="00245B12">
        <w:rPr>
          <w:rFonts w:cstheme="minorHAnsi"/>
        </w:rPr>
        <w:t xml:space="preserve"> of </w:t>
      </w:r>
      <w:r>
        <w:rPr>
          <w:rFonts w:cstheme="minorHAnsi"/>
        </w:rPr>
        <w:t xml:space="preserve">up to 30 </w:t>
      </w:r>
      <w:r w:rsidR="00236BA1">
        <w:rPr>
          <w:rFonts w:cstheme="minorHAnsi"/>
        </w:rPr>
        <w:t xml:space="preserve">megahertz </w:t>
      </w:r>
      <w:r>
        <w:rPr>
          <w:rFonts w:cstheme="minorHAnsi"/>
        </w:rPr>
        <w:t xml:space="preserve">of spectrum </w:t>
      </w:r>
      <w:r w:rsidR="00F2628F">
        <w:rPr>
          <w:rFonts w:cstheme="minorHAnsi"/>
        </w:rPr>
        <w:t xml:space="preserve">targeted </w:t>
      </w:r>
      <w:r>
        <w:rPr>
          <w:rFonts w:cstheme="minorHAnsi"/>
        </w:rPr>
        <w:t xml:space="preserve">for </w:t>
      </w:r>
      <w:r w:rsidR="0096567C">
        <w:rPr>
          <w:rFonts w:cstheme="minorHAnsi"/>
        </w:rPr>
        <w:t>provider</w:t>
      </w:r>
      <w:r>
        <w:rPr>
          <w:rFonts w:cstheme="minorHAnsi"/>
        </w:rPr>
        <w:t xml:space="preserve">s </w:t>
      </w:r>
      <w:r w:rsidR="00245B12">
        <w:rPr>
          <w:rFonts w:cstheme="minorHAnsi"/>
        </w:rPr>
        <w:t xml:space="preserve">that </w:t>
      </w:r>
      <w:r w:rsidR="0096567C">
        <w:rPr>
          <w:rFonts w:cstheme="minorHAnsi"/>
        </w:rPr>
        <w:t xml:space="preserve">currently </w:t>
      </w:r>
      <w:r>
        <w:rPr>
          <w:rFonts w:cstheme="minorHAnsi"/>
        </w:rPr>
        <w:t xml:space="preserve">hold less than 1/3 of </w:t>
      </w:r>
      <w:r w:rsidR="00390036">
        <w:rPr>
          <w:rFonts w:cstheme="minorHAnsi"/>
        </w:rPr>
        <w:t xml:space="preserve">suitable and </w:t>
      </w:r>
      <w:r>
        <w:rPr>
          <w:rFonts w:cstheme="minorHAnsi"/>
        </w:rPr>
        <w:t xml:space="preserve">available </w:t>
      </w:r>
      <w:r w:rsidR="00A612EC">
        <w:rPr>
          <w:rFonts w:cstheme="minorHAnsi"/>
        </w:rPr>
        <w:t>low</w:t>
      </w:r>
      <w:r w:rsidR="00C11C53">
        <w:rPr>
          <w:rFonts w:cstheme="minorHAnsi"/>
        </w:rPr>
        <w:t>-</w:t>
      </w:r>
      <w:r w:rsidR="00A612EC">
        <w:rPr>
          <w:rFonts w:cstheme="minorHAnsi"/>
        </w:rPr>
        <w:t xml:space="preserve">band </w:t>
      </w:r>
      <w:r>
        <w:rPr>
          <w:rFonts w:cstheme="minorHAnsi"/>
        </w:rPr>
        <w:t xml:space="preserve">spectrum in a </w:t>
      </w:r>
      <w:r w:rsidR="007F33FB">
        <w:rPr>
          <w:rFonts w:cstheme="minorHAnsi"/>
        </w:rPr>
        <w:t>license area</w:t>
      </w:r>
      <w:r w:rsidR="00C11C53">
        <w:rPr>
          <w:rFonts w:cstheme="minorHAnsi"/>
        </w:rPr>
        <w:t>.</w:t>
      </w:r>
      <w:r w:rsidR="00245B12">
        <w:rPr>
          <w:rFonts w:cstheme="minorHAnsi"/>
        </w:rPr>
        <w:t xml:space="preserve"> </w:t>
      </w:r>
    </w:p>
    <w:p w14:paraId="7EB2E530" w14:textId="3E4C7C6A" w:rsidR="00245B12" w:rsidRDefault="008468A7" w:rsidP="003842C1">
      <w:pPr>
        <w:pStyle w:val="ListParagraph"/>
        <w:numPr>
          <w:ilvl w:val="0"/>
          <w:numId w:val="15"/>
        </w:numPr>
        <w:spacing w:after="0" w:line="240" w:lineRule="auto"/>
        <w:rPr>
          <w:rFonts w:cstheme="minorHAnsi"/>
        </w:rPr>
      </w:pPr>
      <w:r>
        <w:t>T</w:t>
      </w:r>
      <w:r w:rsidRPr="001F6274">
        <w:t xml:space="preserve">he </w:t>
      </w:r>
      <w:r w:rsidRPr="001F6274">
        <w:rPr>
          <w:i/>
        </w:rPr>
        <w:t>actual</w:t>
      </w:r>
      <w:r w:rsidRPr="001F6274">
        <w:t xml:space="preserve"> amount of spectrum available only to reserve-eligible bidders will be determined </w:t>
      </w:r>
      <w:r>
        <w:t>when bidding in the auction hits</w:t>
      </w:r>
      <w:r w:rsidRPr="001F6274">
        <w:t xml:space="preserve"> a spectrum reserve trigger that fairly distributes the responsibility for satisfying the costs of the Incentive Auction among all bidders.  </w:t>
      </w:r>
      <w:r>
        <w:t>Specifically, the spectrum reserve trigger will occur at the point when bidding in the forward auction satisfies t</w:t>
      </w:r>
      <w:r w:rsidRPr="001F6274">
        <w:t>he final stage rule</w:t>
      </w:r>
      <w:r>
        <w:t xml:space="preserve">, and the total amount of licensed spectrum in the forward auction is finalized.  </w:t>
      </w:r>
    </w:p>
    <w:p w14:paraId="300F6078" w14:textId="2E9B7336" w:rsidR="00DC2045" w:rsidRPr="003B51D9" w:rsidRDefault="006A2078" w:rsidP="00BE00BA">
      <w:pPr>
        <w:pStyle w:val="ListParagraph"/>
        <w:numPr>
          <w:ilvl w:val="0"/>
          <w:numId w:val="15"/>
        </w:numPr>
        <w:spacing w:after="0" w:line="240" w:lineRule="auto"/>
        <w:rPr>
          <w:rFonts w:cstheme="minorHAnsi"/>
        </w:rPr>
      </w:pPr>
      <w:r w:rsidRPr="003B51D9">
        <w:rPr>
          <w:rFonts w:cstheme="minorHAnsi"/>
        </w:rPr>
        <w:t xml:space="preserve">When the trigger is reached, the amount of reserved spectrum in each </w:t>
      </w:r>
      <w:r w:rsidR="007F33FB">
        <w:rPr>
          <w:rFonts w:cstheme="minorHAnsi"/>
        </w:rPr>
        <w:t>license area</w:t>
      </w:r>
      <w:r w:rsidRPr="003B51D9">
        <w:rPr>
          <w:rFonts w:cstheme="minorHAnsi"/>
        </w:rPr>
        <w:t xml:space="preserve"> will be established based on demand in </w:t>
      </w:r>
      <w:r w:rsidR="00462E90">
        <w:rPr>
          <w:rFonts w:cstheme="minorHAnsi"/>
        </w:rPr>
        <w:t xml:space="preserve">that </w:t>
      </w:r>
      <w:r w:rsidR="007F33FB">
        <w:rPr>
          <w:rFonts w:cstheme="minorHAnsi"/>
        </w:rPr>
        <w:t>license area</w:t>
      </w:r>
      <w:r w:rsidR="00462E90">
        <w:rPr>
          <w:rFonts w:cstheme="minorHAnsi"/>
        </w:rPr>
        <w:t xml:space="preserve"> by eligible bidders</w:t>
      </w:r>
      <w:r w:rsidRPr="003B51D9">
        <w:rPr>
          <w:rFonts w:cstheme="minorHAnsi"/>
        </w:rPr>
        <w:t xml:space="preserve">. </w:t>
      </w:r>
    </w:p>
    <w:p w14:paraId="58F4A326" w14:textId="203976EB" w:rsidR="00C11C53" w:rsidRPr="003B51D9" w:rsidRDefault="006A2078" w:rsidP="00BE00BA">
      <w:pPr>
        <w:pStyle w:val="ListParagraph"/>
        <w:numPr>
          <w:ilvl w:val="0"/>
          <w:numId w:val="15"/>
        </w:numPr>
        <w:spacing w:after="0" w:line="240" w:lineRule="auto"/>
        <w:rPr>
          <w:rFonts w:cstheme="minorHAnsi"/>
          <w:b/>
        </w:rPr>
      </w:pPr>
      <w:r w:rsidRPr="003B51D9">
        <w:rPr>
          <w:rFonts w:cstheme="minorHAnsi"/>
        </w:rPr>
        <w:t xml:space="preserve">If demand for the reserved spectrum is less than </w:t>
      </w:r>
      <w:r w:rsidR="008468A7">
        <w:rPr>
          <w:rFonts w:cstheme="minorHAnsi"/>
        </w:rPr>
        <w:t xml:space="preserve">the maximum applicable amount of reserved spectrum </w:t>
      </w:r>
      <w:r w:rsidR="00462E90">
        <w:rPr>
          <w:rFonts w:cstheme="minorHAnsi"/>
        </w:rPr>
        <w:t>at the trigger</w:t>
      </w:r>
      <w:r w:rsidRPr="003B51D9">
        <w:rPr>
          <w:rFonts w:cstheme="minorHAnsi"/>
        </w:rPr>
        <w:t xml:space="preserve"> point, the balance would be available on an unreserved basis. </w:t>
      </w:r>
    </w:p>
    <w:p w14:paraId="3C23D48D" w14:textId="735CC8B4" w:rsidR="006A2078" w:rsidRPr="006A2078" w:rsidRDefault="00E56500" w:rsidP="00BE00BA">
      <w:pPr>
        <w:pStyle w:val="ListParagraph"/>
        <w:numPr>
          <w:ilvl w:val="0"/>
          <w:numId w:val="15"/>
        </w:numPr>
        <w:spacing w:after="0" w:line="240" w:lineRule="auto"/>
        <w:rPr>
          <w:rFonts w:cstheme="minorHAnsi"/>
        </w:rPr>
      </w:pPr>
      <w:r w:rsidRPr="006A2078">
        <w:rPr>
          <w:rFonts w:cstheme="minorHAnsi"/>
        </w:rPr>
        <w:t xml:space="preserve">For example, if </w:t>
      </w:r>
      <w:r w:rsidR="00462E90">
        <w:rPr>
          <w:rFonts w:cstheme="minorHAnsi"/>
        </w:rPr>
        <w:t>there is</w:t>
      </w:r>
      <w:r w:rsidRPr="006A2078">
        <w:rPr>
          <w:rFonts w:cstheme="minorHAnsi"/>
        </w:rPr>
        <w:t xml:space="preserve"> </w:t>
      </w:r>
      <w:r w:rsidR="00DC2045" w:rsidRPr="006A2078">
        <w:rPr>
          <w:rFonts w:cstheme="minorHAnsi"/>
        </w:rPr>
        <w:t>10</w:t>
      </w:r>
      <w:r w:rsidRPr="006A2078">
        <w:rPr>
          <w:rFonts w:cstheme="minorHAnsi"/>
        </w:rPr>
        <w:t xml:space="preserve">0 megahertz of spectrum </w:t>
      </w:r>
      <w:r w:rsidR="00462E90">
        <w:rPr>
          <w:rFonts w:cstheme="minorHAnsi"/>
        </w:rPr>
        <w:t xml:space="preserve">available </w:t>
      </w:r>
      <w:r w:rsidRPr="006A2078">
        <w:rPr>
          <w:rFonts w:cstheme="minorHAnsi"/>
        </w:rPr>
        <w:t xml:space="preserve">in the Incentive Auction, no more than 30 megahertz </w:t>
      </w:r>
      <w:r w:rsidR="00346780" w:rsidRPr="006A2078">
        <w:rPr>
          <w:rFonts w:cstheme="minorHAnsi"/>
        </w:rPr>
        <w:t>would</w:t>
      </w:r>
      <w:r w:rsidRPr="006A2078">
        <w:rPr>
          <w:rFonts w:cstheme="minorHAnsi"/>
        </w:rPr>
        <w:t xml:space="preserve"> be reserved for eligible bidders.  But if eligible bidders demand only 20 megahertz in a given </w:t>
      </w:r>
      <w:r w:rsidR="007F33FB">
        <w:rPr>
          <w:rFonts w:cstheme="minorHAnsi"/>
        </w:rPr>
        <w:t>license area</w:t>
      </w:r>
      <w:r w:rsidRPr="006A2078">
        <w:rPr>
          <w:rFonts w:cstheme="minorHAnsi"/>
        </w:rPr>
        <w:t xml:space="preserve"> when the trigger is met, then only 20 megahertz </w:t>
      </w:r>
      <w:r w:rsidR="00DC2045" w:rsidRPr="006A2078">
        <w:rPr>
          <w:rFonts w:cstheme="minorHAnsi"/>
        </w:rPr>
        <w:t>would</w:t>
      </w:r>
      <w:r w:rsidRPr="006A2078">
        <w:rPr>
          <w:rFonts w:cstheme="minorHAnsi"/>
        </w:rPr>
        <w:t xml:space="preserve"> be reserved</w:t>
      </w:r>
      <w:r w:rsidR="00236BA1" w:rsidRPr="006A2078">
        <w:rPr>
          <w:rFonts w:cstheme="minorHAnsi"/>
        </w:rPr>
        <w:t>,</w:t>
      </w:r>
      <w:r w:rsidRPr="006A2078">
        <w:rPr>
          <w:rFonts w:cstheme="minorHAnsi"/>
        </w:rPr>
        <w:t xml:space="preserve"> and </w:t>
      </w:r>
      <w:r w:rsidR="00DC2045" w:rsidRPr="006A2078">
        <w:rPr>
          <w:rFonts w:cstheme="minorHAnsi"/>
        </w:rPr>
        <w:t>8</w:t>
      </w:r>
      <w:r w:rsidRPr="006A2078">
        <w:rPr>
          <w:rFonts w:cstheme="minorHAnsi"/>
        </w:rPr>
        <w:t xml:space="preserve">0 megahertz </w:t>
      </w:r>
      <w:r w:rsidR="00DC2045" w:rsidRPr="006A2078">
        <w:rPr>
          <w:rFonts w:cstheme="minorHAnsi"/>
        </w:rPr>
        <w:t>would</w:t>
      </w:r>
      <w:r w:rsidRPr="006A2078">
        <w:rPr>
          <w:rFonts w:cstheme="minorHAnsi"/>
        </w:rPr>
        <w:t xml:space="preserve"> remain unreserved</w:t>
      </w:r>
      <w:r w:rsidR="00A9103A" w:rsidRPr="006A2078">
        <w:rPr>
          <w:rFonts w:cstheme="minorHAnsi"/>
        </w:rPr>
        <w:t xml:space="preserve">. </w:t>
      </w:r>
    </w:p>
    <w:p w14:paraId="459E06B4" w14:textId="1D6361B7" w:rsidR="006A2078" w:rsidRDefault="006A2078" w:rsidP="006A2078">
      <w:pPr>
        <w:pStyle w:val="ListParagraph"/>
        <w:numPr>
          <w:ilvl w:val="0"/>
          <w:numId w:val="15"/>
        </w:numPr>
        <w:spacing w:after="0" w:line="240" w:lineRule="auto"/>
        <w:rPr>
          <w:rFonts w:cstheme="minorHAnsi"/>
        </w:rPr>
      </w:pPr>
      <w:r>
        <w:rPr>
          <w:rFonts w:cstheme="minorHAnsi"/>
        </w:rPr>
        <w:t xml:space="preserve">Any </w:t>
      </w:r>
      <w:r w:rsidR="005F22CA">
        <w:rPr>
          <w:rFonts w:cstheme="minorHAnsi"/>
        </w:rPr>
        <w:t xml:space="preserve">nationwide </w:t>
      </w:r>
      <w:r>
        <w:rPr>
          <w:rFonts w:cstheme="minorHAnsi"/>
        </w:rPr>
        <w:t xml:space="preserve">provider that holds </w:t>
      </w:r>
      <w:r w:rsidR="001334E9" w:rsidRPr="001334E9">
        <w:rPr>
          <w:rFonts w:cstheme="minorHAnsi"/>
        </w:rPr>
        <w:t xml:space="preserve">approximately </w:t>
      </w:r>
      <w:r w:rsidR="00390036" w:rsidRPr="001334E9">
        <w:rPr>
          <w:rFonts w:cstheme="minorHAnsi"/>
        </w:rPr>
        <w:t xml:space="preserve">1/3 or </w:t>
      </w:r>
      <w:r w:rsidRPr="000C32BE">
        <w:rPr>
          <w:rFonts w:cstheme="minorHAnsi"/>
          <w:u w:val="single"/>
        </w:rPr>
        <w:t>more</w:t>
      </w:r>
      <w:r w:rsidRPr="001334E9">
        <w:rPr>
          <w:rFonts w:cstheme="minorHAnsi"/>
        </w:rPr>
        <w:t xml:space="preserve"> of</w:t>
      </w:r>
      <w:r>
        <w:rPr>
          <w:rFonts w:cstheme="minorHAnsi"/>
        </w:rPr>
        <w:t xml:space="preserve"> available low-band spectrum in a </w:t>
      </w:r>
      <w:r w:rsidR="00B71E31">
        <w:rPr>
          <w:rFonts w:cstheme="minorHAnsi"/>
        </w:rPr>
        <w:t xml:space="preserve">license area </w:t>
      </w:r>
      <w:r>
        <w:rPr>
          <w:rFonts w:cstheme="minorHAnsi"/>
        </w:rPr>
        <w:t xml:space="preserve">would be able to bid on all unreserved spectrum in that </w:t>
      </w:r>
      <w:r w:rsidR="00B71E31">
        <w:rPr>
          <w:rFonts w:cstheme="minorHAnsi"/>
        </w:rPr>
        <w:t>area</w:t>
      </w:r>
      <w:r>
        <w:rPr>
          <w:rFonts w:cstheme="minorHAnsi"/>
        </w:rPr>
        <w:t xml:space="preserve">, but would be ineligible to bid on any reserved spectrum.  </w:t>
      </w:r>
    </w:p>
    <w:p w14:paraId="5A740D4B" w14:textId="6ADBF2C3" w:rsidR="00E56500" w:rsidRPr="00B71E31" w:rsidRDefault="006A2078" w:rsidP="006A2078">
      <w:pPr>
        <w:pStyle w:val="ListParagraph"/>
        <w:numPr>
          <w:ilvl w:val="0"/>
          <w:numId w:val="15"/>
        </w:numPr>
        <w:spacing w:after="0" w:line="240" w:lineRule="auto"/>
        <w:rPr>
          <w:rFonts w:cstheme="minorHAnsi"/>
        </w:rPr>
      </w:pPr>
      <w:r>
        <w:rPr>
          <w:rFonts w:cstheme="minorHAnsi"/>
        </w:rPr>
        <w:t xml:space="preserve">Any provider that holds </w:t>
      </w:r>
      <w:r>
        <w:rPr>
          <w:rFonts w:cstheme="minorHAnsi"/>
          <w:u w:val="single"/>
        </w:rPr>
        <w:t>less</w:t>
      </w:r>
      <w:r>
        <w:rPr>
          <w:rFonts w:cstheme="minorHAnsi"/>
        </w:rPr>
        <w:t xml:space="preserve"> than 1/3 of available low-band spectrum in a </w:t>
      </w:r>
      <w:r w:rsidR="00B71E31">
        <w:rPr>
          <w:rFonts w:cstheme="minorHAnsi"/>
        </w:rPr>
        <w:t xml:space="preserve">license area </w:t>
      </w:r>
      <w:r>
        <w:rPr>
          <w:rFonts w:cstheme="minorHAnsi"/>
        </w:rPr>
        <w:t xml:space="preserve">would be able to bid on all unreserved spectrum, AND all reserved spectrum in that </w:t>
      </w:r>
      <w:r w:rsidR="00B71E31">
        <w:rPr>
          <w:rFonts w:cstheme="minorHAnsi"/>
        </w:rPr>
        <w:t>license area</w:t>
      </w:r>
      <w:r>
        <w:rPr>
          <w:rFonts w:cstheme="minorHAnsi"/>
        </w:rPr>
        <w:t xml:space="preserve">. </w:t>
      </w:r>
      <w:r w:rsidR="00A9103A">
        <w:t xml:space="preserve">   </w:t>
      </w:r>
    </w:p>
    <w:p w14:paraId="4DC20F5D" w14:textId="28D42EC4" w:rsidR="00B71E31" w:rsidRDefault="00B71E31" w:rsidP="006A2078">
      <w:pPr>
        <w:pStyle w:val="ListParagraph"/>
        <w:numPr>
          <w:ilvl w:val="0"/>
          <w:numId w:val="15"/>
        </w:numPr>
        <w:spacing w:after="0" w:line="240" w:lineRule="auto"/>
        <w:rPr>
          <w:rFonts w:cstheme="minorHAnsi"/>
        </w:rPr>
      </w:pPr>
      <w:r>
        <w:t>Non-nationwide providers will be able to bid on both reserved and unreserved spectrum in all license areas.</w:t>
      </w:r>
    </w:p>
    <w:p w14:paraId="312ED149" w14:textId="77777777" w:rsidR="00897FF2" w:rsidRPr="00897FF2" w:rsidRDefault="00897FF2" w:rsidP="00897FF2">
      <w:pPr>
        <w:pStyle w:val="ListParagraph"/>
        <w:spacing w:after="0" w:line="240" w:lineRule="auto"/>
        <w:ind w:left="360"/>
        <w:rPr>
          <w:rFonts w:cstheme="minorHAnsi"/>
          <w:b/>
        </w:rPr>
      </w:pPr>
    </w:p>
    <w:p w14:paraId="6C1FAB98" w14:textId="77777777" w:rsidR="00897FF2" w:rsidRPr="00897FF2" w:rsidRDefault="00897FF2" w:rsidP="00897FF2">
      <w:pPr>
        <w:spacing w:after="0" w:line="240" w:lineRule="auto"/>
        <w:jc w:val="center"/>
        <w:rPr>
          <w:rFonts w:cstheme="minorHAnsi"/>
          <w:b/>
        </w:rPr>
      </w:pPr>
      <w:r>
        <w:rPr>
          <w:rFonts w:cstheme="minorHAnsi"/>
          <w:b/>
        </w:rPr>
        <w:t>###</w:t>
      </w:r>
    </w:p>
    <w:sectPr w:rsidR="00897FF2" w:rsidRPr="00897F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497A0" w14:textId="77777777" w:rsidR="000A46CF" w:rsidRDefault="000A46CF" w:rsidP="002B437B">
      <w:pPr>
        <w:spacing w:after="0" w:line="240" w:lineRule="auto"/>
      </w:pPr>
      <w:r>
        <w:separator/>
      </w:r>
    </w:p>
  </w:endnote>
  <w:endnote w:type="continuationSeparator" w:id="0">
    <w:p w14:paraId="69E9A9FA" w14:textId="77777777" w:rsidR="000A46CF" w:rsidRDefault="000A46CF" w:rsidP="002B437B">
      <w:pPr>
        <w:spacing w:after="0" w:line="240" w:lineRule="auto"/>
      </w:pPr>
      <w:r>
        <w:continuationSeparator/>
      </w:r>
    </w:p>
  </w:endnote>
  <w:endnote w:type="continuationNotice" w:id="1">
    <w:p w14:paraId="3A2B10A8" w14:textId="77777777" w:rsidR="000A46CF" w:rsidRDefault="000A4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F702A" w14:textId="77777777" w:rsidR="008A3583" w:rsidRDefault="008A35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57281"/>
      <w:docPartObj>
        <w:docPartGallery w:val="Page Numbers (Bottom of Page)"/>
        <w:docPartUnique/>
      </w:docPartObj>
    </w:sdtPr>
    <w:sdtEndPr>
      <w:rPr>
        <w:noProof/>
        <w:sz w:val="20"/>
        <w:szCs w:val="20"/>
      </w:rPr>
    </w:sdtEndPr>
    <w:sdtContent>
      <w:p w14:paraId="2BE8D1EF" w14:textId="77777777" w:rsidR="002B437B" w:rsidRPr="002B437B" w:rsidRDefault="002B437B">
        <w:pPr>
          <w:pStyle w:val="Footer"/>
          <w:jc w:val="center"/>
          <w:rPr>
            <w:sz w:val="20"/>
            <w:szCs w:val="20"/>
          </w:rPr>
        </w:pPr>
        <w:r w:rsidRPr="002B437B">
          <w:rPr>
            <w:sz w:val="20"/>
            <w:szCs w:val="20"/>
          </w:rPr>
          <w:fldChar w:fldCharType="begin"/>
        </w:r>
        <w:r w:rsidRPr="002B437B">
          <w:rPr>
            <w:sz w:val="20"/>
            <w:szCs w:val="20"/>
          </w:rPr>
          <w:instrText xml:space="preserve"> PAGE   \* MERGEFORMAT </w:instrText>
        </w:r>
        <w:r w:rsidRPr="002B437B">
          <w:rPr>
            <w:sz w:val="20"/>
            <w:szCs w:val="20"/>
          </w:rPr>
          <w:fldChar w:fldCharType="separate"/>
        </w:r>
        <w:r w:rsidR="0009226A">
          <w:rPr>
            <w:noProof/>
            <w:sz w:val="20"/>
            <w:szCs w:val="20"/>
          </w:rPr>
          <w:t>1</w:t>
        </w:r>
        <w:r w:rsidRPr="002B437B">
          <w:rPr>
            <w:noProof/>
            <w:sz w:val="20"/>
            <w:szCs w:val="20"/>
          </w:rPr>
          <w:fldChar w:fldCharType="end"/>
        </w:r>
      </w:p>
    </w:sdtContent>
  </w:sdt>
  <w:p w14:paraId="1DCA872E" w14:textId="77777777" w:rsidR="002B437B" w:rsidRDefault="002B4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B41A" w14:textId="77777777" w:rsidR="008A3583" w:rsidRDefault="008A3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1CFB" w14:textId="77777777" w:rsidR="000A46CF" w:rsidRDefault="000A46CF" w:rsidP="002B437B">
      <w:pPr>
        <w:spacing w:after="0" w:line="240" w:lineRule="auto"/>
      </w:pPr>
      <w:r>
        <w:separator/>
      </w:r>
    </w:p>
  </w:footnote>
  <w:footnote w:type="continuationSeparator" w:id="0">
    <w:p w14:paraId="4D4B3771" w14:textId="77777777" w:rsidR="000A46CF" w:rsidRDefault="000A46CF" w:rsidP="002B437B">
      <w:pPr>
        <w:spacing w:after="0" w:line="240" w:lineRule="auto"/>
      </w:pPr>
      <w:r>
        <w:continuationSeparator/>
      </w:r>
    </w:p>
  </w:footnote>
  <w:footnote w:type="continuationNotice" w:id="1">
    <w:p w14:paraId="247BCF6C" w14:textId="77777777" w:rsidR="000A46CF" w:rsidRDefault="000A46C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879CB" w14:textId="77777777" w:rsidR="008A3583" w:rsidRDefault="008A35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5C9FD" w14:textId="77777777" w:rsidR="008A3583" w:rsidRDefault="008A35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E1F46" w14:textId="77777777" w:rsidR="008A3583" w:rsidRDefault="008A3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3E2"/>
    <w:multiLevelType w:val="hybridMultilevel"/>
    <w:tmpl w:val="BC742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42BED"/>
    <w:multiLevelType w:val="hybridMultilevel"/>
    <w:tmpl w:val="B704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E376ED"/>
    <w:multiLevelType w:val="hybridMultilevel"/>
    <w:tmpl w:val="58644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FA1A70"/>
    <w:multiLevelType w:val="hybridMultilevel"/>
    <w:tmpl w:val="FAA64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1B621A"/>
    <w:multiLevelType w:val="hybridMultilevel"/>
    <w:tmpl w:val="8BB4D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CD357E"/>
    <w:multiLevelType w:val="hybridMultilevel"/>
    <w:tmpl w:val="B66CEC40"/>
    <w:lvl w:ilvl="0" w:tplc="DD8620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9B5100"/>
    <w:multiLevelType w:val="hybridMultilevel"/>
    <w:tmpl w:val="1096BF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392DAB"/>
    <w:multiLevelType w:val="hybridMultilevel"/>
    <w:tmpl w:val="7E54E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142C26"/>
    <w:multiLevelType w:val="hybridMultilevel"/>
    <w:tmpl w:val="783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0A0776E"/>
    <w:multiLevelType w:val="hybridMultilevel"/>
    <w:tmpl w:val="17CA0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C37F67"/>
    <w:multiLevelType w:val="hybridMultilevel"/>
    <w:tmpl w:val="E99A3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7316F6C"/>
    <w:multiLevelType w:val="hybridMultilevel"/>
    <w:tmpl w:val="9CCCA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773E25"/>
    <w:multiLevelType w:val="hybridMultilevel"/>
    <w:tmpl w:val="92122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68D44946"/>
    <w:multiLevelType w:val="hybridMultilevel"/>
    <w:tmpl w:val="8D322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E03662"/>
    <w:multiLevelType w:val="hybridMultilevel"/>
    <w:tmpl w:val="CEC85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E35469"/>
    <w:multiLevelType w:val="hybridMultilevel"/>
    <w:tmpl w:val="098EF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4"/>
  </w:num>
  <w:num w:numId="4">
    <w:abstractNumId w:val="10"/>
  </w:num>
  <w:num w:numId="5">
    <w:abstractNumId w:val="8"/>
  </w:num>
  <w:num w:numId="6">
    <w:abstractNumId w:val="12"/>
  </w:num>
  <w:num w:numId="7">
    <w:abstractNumId w:val="2"/>
  </w:num>
  <w:num w:numId="8">
    <w:abstractNumId w:val="11"/>
  </w:num>
  <w:num w:numId="9">
    <w:abstractNumId w:val="9"/>
  </w:num>
  <w:num w:numId="10">
    <w:abstractNumId w:val="7"/>
  </w:num>
  <w:num w:numId="11">
    <w:abstractNumId w:val="3"/>
  </w:num>
  <w:num w:numId="12">
    <w:abstractNumId w:val="1"/>
  </w:num>
  <w:num w:numId="13">
    <w:abstractNumId w:val="13"/>
  </w:num>
  <w:num w:numId="14">
    <w:abstractNumId w:val="0"/>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3F"/>
    <w:rsid w:val="000345B8"/>
    <w:rsid w:val="0004324F"/>
    <w:rsid w:val="00065FE6"/>
    <w:rsid w:val="00086DD4"/>
    <w:rsid w:val="00087421"/>
    <w:rsid w:val="0009226A"/>
    <w:rsid w:val="000A46CF"/>
    <w:rsid w:val="000B4028"/>
    <w:rsid w:val="000C32BE"/>
    <w:rsid w:val="000C7B40"/>
    <w:rsid w:val="0013080F"/>
    <w:rsid w:val="001334E9"/>
    <w:rsid w:val="00167980"/>
    <w:rsid w:val="002003A4"/>
    <w:rsid w:val="00236BA1"/>
    <w:rsid w:val="00245B12"/>
    <w:rsid w:val="00276131"/>
    <w:rsid w:val="00276B0E"/>
    <w:rsid w:val="00293B12"/>
    <w:rsid w:val="002B437B"/>
    <w:rsid w:val="002C4A76"/>
    <w:rsid w:val="002E1C6E"/>
    <w:rsid w:val="003233FA"/>
    <w:rsid w:val="00323C5B"/>
    <w:rsid w:val="00336179"/>
    <w:rsid w:val="0033748B"/>
    <w:rsid w:val="00345E2F"/>
    <w:rsid w:val="00346780"/>
    <w:rsid w:val="00347BEE"/>
    <w:rsid w:val="00373F47"/>
    <w:rsid w:val="00375357"/>
    <w:rsid w:val="003842C1"/>
    <w:rsid w:val="00390036"/>
    <w:rsid w:val="003A0D43"/>
    <w:rsid w:val="003B51D9"/>
    <w:rsid w:val="003F52DC"/>
    <w:rsid w:val="00462E90"/>
    <w:rsid w:val="00465E7E"/>
    <w:rsid w:val="0048447D"/>
    <w:rsid w:val="004A1615"/>
    <w:rsid w:val="004E0DDD"/>
    <w:rsid w:val="004E2045"/>
    <w:rsid w:val="00540B7F"/>
    <w:rsid w:val="00546D45"/>
    <w:rsid w:val="005502A2"/>
    <w:rsid w:val="00564C99"/>
    <w:rsid w:val="005F22CA"/>
    <w:rsid w:val="00623861"/>
    <w:rsid w:val="00626EBF"/>
    <w:rsid w:val="00641A8C"/>
    <w:rsid w:val="0064257C"/>
    <w:rsid w:val="00645EEF"/>
    <w:rsid w:val="00680257"/>
    <w:rsid w:val="006A2078"/>
    <w:rsid w:val="006F4A62"/>
    <w:rsid w:val="0070233F"/>
    <w:rsid w:val="00783B03"/>
    <w:rsid w:val="007859E7"/>
    <w:rsid w:val="007A0C16"/>
    <w:rsid w:val="007E3F01"/>
    <w:rsid w:val="007E4B14"/>
    <w:rsid w:val="007E6A52"/>
    <w:rsid w:val="007F33FB"/>
    <w:rsid w:val="00826386"/>
    <w:rsid w:val="0084206D"/>
    <w:rsid w:val="008468A7"/>
    <w:rsid w:val="00895C9F"/>
    <w:rsid w:val="00897FF2"/>
    <w:rsid w:val="008A3583"/>
    <w:rsid w:val="008C6426"/>
    <w:rsid w:val="008E2122"/>
    <w:rsid w:val="008E24C9"/>
    <w:rsid w:val="008E39C3"/>
    <w:rsid w:val="0091371D"/>
    <w:rsid w:val="00921F9A"/>
    <w:rsid w:val="0096567C"/>
    <w:rsid w:val="00A3475E"/>
    <w:rsid w:val="00A358C2"/>
    <w:rsid w:val="00A612EC"/>
    <w:rsid w:val="00A7414E"/>
    <w:rsid w:val="00A84721"/>
    <w:rsid w:val="00A9103A"/>
    <w:rsid w:val="00AA5161"/>
    <w:rsid w:val="00AD67FD"/>
    <w:rsid w:val="00AE49F9"/>
    <w:rsid w:val="00B01E4B"/>
    <w:rsid w:val="00B23ADE"/>
    <w:rsid w:val="00B36ADA"/>
    <w:rsid w:val="00B422BE"/>
    <w:rsid w:val="00B4598E"/>
    <w:rsid w:val="00B71E31"/>
    <w:rsid w:val="00B76F1B"/>
    <w:rsid w:val="00B92858"/>
    <w:rsid w:val="00BA574B"/>
    <w:rsid w:val="00BB62C9"/>
    <w:rsid w:val="00BE00BA"/>
    <w:rsid w:val="00BE1C82"/>
    <w:rsid w:val="00BF0B96"/>
    <w:rsid w:val="00C02899"/>
    <w:rsid w:val="00C11C53"/>
    <w:rsid w:val="00C27687"/>
    <w:rsid w:val="00C43A1B"/>
    <w:rsid w:val="00CB31AD"/>
    <w:rsid w:val="00CF002D"/>
    <w:rsid w:val="00CF1009"/>
    <w:rsid w:val="00D174F0"/>
    <w:rsid w:val="00D252DC"/>
    <w:rsid w:val="00D26A31"/>
    <w:rsid w:val="00D84A78"/>
    <w:rsid w:val="00D93281"/>
    <w:rsid w:val="00DC0C6A"/>
    <w:rsid w:val="00DC2045"/>
    <w:rsid w:val="00DE3140"/>
    <w:rsid w:val="00E56500"/>
    <w:rsid w:val="00EB153D"/>
    <w:rsid w:val="00EC2AFD"/>
    <w:rsid w:val="00F2628F"/>
    <w:rsid w:val="00F8301C"/>
    <w:rsid w:val="00FB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D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6D45"/>
    <w:rPr>
      <w:rFonts w:ascii="Calibri" w:hAnsi="Calibri"/>
      <w:szCs w:val="21"/>
    </w:rPr>
  </w:style>
  <w:style w:type="paragraph" w:styleId="ListParagraph">
    <w:name w:val="List Paragraph"/>
    <w:basedOn w:val="Normal"/>
    <w:uiPriority w:val="34"/>
    <w:qFormat/>
    <w:rsid w:val="00546D45"/>
    <w:pPr>
      <w:ind w:left="720"/>
      <w:contextualSpacing/>
    </w:pPr>
  </w:style>
  <w:style w:type="character" w:styleId="FootnoteReference">
    <w:name w:val="footnote reference"/>
    <w:aliases w:val="Style 124,Appel note de bas de p,Style 12,(NECG) Footnote Reference,o,fr,Style 3,Style 17,FR,Style 13,Footnote Reference/,Style 6,Style 7,Style 4,Footnote Reference1"/>
    <w:basedOn w:val="DefaultParagraphFont"/>
    <w:qFormat/>
    <w:rsid w:val="00546D45"/>
    <w:rPr>
      <w:rFonts w:ascii="Times New Roman" w:hAnsi="Times New Roman" w:cs="Times New Roman"/>
      <w:color w:val="auto"/>
      <w:sz w:val="20"/>
      <w:vertAlign w:val="superscript"/>
    </w:rPr>
  </w:style>
  <w:style w:type="paragraph" w:styleId="Header">
    <w:name w:val="header"/>
    <w:basedOn w:val="Normal"/>
    <w:link w:val="HeaderChar"/>
    <w:uiPriority w:val="99"/>
    <w:unhideWhenUsed/>
    <w:rsid w:val="002B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7B"/>
  </w:style>
  <w:style w:type="paragraph" w:styleId="Footer">
    <w:name w:val="footer"/>
    <w:basedOn w:val="Normal"/>
    <w:link w:val="FooterChar"/>
    <w:uiPriority w:val="99"/>
    <w:unhideWhenUsed/>
    <w:rsid w:val="002B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7B"/>
  </w:style>
  <w:style w:type="character" w:styleId="CommentReference">
    <w:name w:val="annotation reference"/>
    <w:basedOn w:val="DefaultParagraphFont"/>
    <w:uiPriority w:val="99"/>
    <w:semiHidden/>
    <w:unhideWhenUsed/>
    <w:rsid w:val="0048447D"/>
    <w:rPr>
      <w:sz w:val="16"/>
      <w:szCs w:val="16"/>
    </w:rPr>
  </w:style>
  <w:style w:type="paragraph" w:styleId="CommentText">
    <w:name w:val="annotation text"/>
    <w:basedOn w:val="Normal"/>
    <w:link w:val="CommentTextChar"/>
    <w:uiPriority w:val="99"/>
    <w:semiHidden/>
    <w:unhideWhenUsed/>
    <w:rsid w:val="0048447D"/>
    <w:pPr>
      <w:spacing w:line="240" w:lineRule="auto"/>
    </w:pPr>
    <w:rPr>
      <w:sz w:val="20"/>
      <w:szCs w:val="20"/>
    </w:rPr>
  </w:style>
  <w:style w:type="character" w:customStyle="1" w:styleId="CommentTextChar">
    <w:name w:val="Comment Text Char"/>
    <w:basedOn w:val="DefaultParagraphFont"/>
    <w:link w:val="CommentText"/>
    <w:uiPriority w:val="99"/>
    <w:semiHidden/>
    <w:rsid w:val="0048447D"/>
    <w:rPr>
      <w:sz w:val="20"/>
      <w:szCs w:val="20"/>
    </w:rPr>
  </w:style>
  <w:style w:type="paragraph" w:styleId="CommentSubject">
    <w:name w:val="annotation subject"/>
    <w:basedOn w:val="CommentText"/>
    <w:next w:val="CommentText"/>
    <w:link w:val="CommentSubjectChar"/>
    <w:uiPriority w:val="99"/>
    <w:semiHidden/>
    <w:unhideWhenUsed/>
    <w:rsid w:val="0048447D"/>
    <w:rPr>
      <w:b/>
      <w:bCs/>
    </w:rPr>
  </w:style>
  <w:style w:type="character" w:customStyle="1" w:styleId="CommentSubjectChar">
    <w:name w:val="Comment Subject Char"/>
    <w:basedOn w:val="CommentTextChar"/>
    <w:link w:val="CommentSubject"/>
    <w:uiPriority w:val="99"/>
    <w:semiHidden/>
    <w:rsid w:val="0048447D"/>
    <w:rPr>
      <w:b/>
      <w:bCs/>
      <w:sz w:val="20"/>
      <w:szCs w:val="20"/>
    </w:rPr>
  </w:style>
  <w:style w:type="paragraph" w:styleId="BalloonText">
    <w:name w:val="Balloon Text"/>
    <w:basedOn w:val="Normal"/>
    <w:link w:val="BalloonTextChar"/>
    <w:uiPriority w:val="99"/>
    <w:semiHidden/>
    <w:unhideWhenUsed/>
    <w:rsid w:val="0048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7D"/>
    <w:rPr>
      <w:rFonts w:ascii="Tahoma"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8468A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8A7"/>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8468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6D4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6D45"/>
    <w:rPr>
      <w:rFonts w:ascii="Calibri" w:hAnsi="Calibri"/>
      <w:szCs w:val="21"/>
    </w:rPr>
  </w:style>
  <w:style w:type="paragraph" w:styleId="ListParagraph">
    <w:name w:val="List Paragraph"/>
    <w:basedOn w:val="Normal"/>
    <w:uiPriority w:val="34"/>
    <w:qFormat/>
    <w:rsid w:val="00546D45"/>
    <w:pPr>
      <w:ind w:left="720"/>
      <w:contextualSpacing/>
    </w:pPr>
  </w:style>
  <w:style w:type="character" w:styleId="FootnoteReference">
    <w:name w:val="footnote reference"/>
    <w:aliases w:val="Style 124,Appel note de bas de p,Style 12,(NECG) Footnote Reference,o,fr,Style 3,Style 17,FR,Style 13,Footnote Reference/,Style 6,Style 7,Style 4,Footnote Reference1"/>
    <w:basedOn w:val="DefaultParagraphFont"/>
    <w:qFormat/>
    <w:rsid w:val="00546D45"/>
    <w:rPr>
      <w:rFonts w:ascii="Times New Roman" w:hAnsi="Times New Roman" w:cs="Times New Roman"/>
      <w:color w:val="auto"/>
      <w:sz w:val="20"/>
      <w:vertAlign w:val="superscript"/>
    </w:rPr>
  </w:style>
  <w:style w:type="paragraph" w:styleId="Header">
    <w:name w:val="header"/>
    <w:basedOn w:val="Normal"/>
    <w:link w:val="HeaderChar"/>
    <w:uiPriority w:val="99"/>
    <w:unhideWhenUsed/>
    <w:rsid w:val="002B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37B"/>
  </w:style>
  <w:style w:type="paragraph" w:styleId="Footer">
    <w:name w:val="footer"/>
    <w:basedOn w:val="Normal"/>
    <w:link w:val="FooterChar"/>
    <w:uiPriority w:val="99"/>
    <w:unhideWhenUsed/>
    <w:rsid w:val="002B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37B"/>
  </w:style>
  <w:style w:type="character" w:styleId="CommentReference">
    <w:name w:val="annotation reference"/>
    <w:basedOn w:val="DefaultParagraphFont"/>
    <w:uiPriority w:val="99"/>
    <w:semiHidden/>
    <w:unhideWhenUsed/>
    <w:rsid w:val="0048447D"/>
    <w:rPr>
      <w:sz w:val="16"/>
      <w:szCs w:val="16"/>
    </w:rPr>
  </w:style>
  <w:style w:type="paragraph" w:styleId="CommentText">
    <w:name w:val="annotation text"/>
    <w:basedOn w:val="Normal"/>
    <w:link w:val="CommentTextChar"/>
    <w:uiPriority w:val="99"/>
    <w:semiHidden/>
    <w:unhideWhenUsed/>
    <w:rsid w:val="0048447D"/>
    <w:pPr>
      <w:spacing w:line="240" w:lineRule="auto"/>
    </w:pPr>
    <w:rPr>
      <w:sz w:val="20"/>
      <w:szCs w:val="20"/>
    </w:rPr>
  </w:style>
  <w:style w:type="character" w:customStyle="1" w:styleId="CommentTextChar">
    <w:name w:val="Comment Text Char"/>
    <w:basedOn w:val="DefaultParagraphFont"/>
    <w:link w:val="CommentText"/>
    <w:uiPriority w:val="99"/>
    <w:semiHidden/>
    <w:rsid w:val="0048447D"/>
    <w:rPr>
      <w:sz w:val="20"/>
      <w:szCs w:val="20"/>
    </w:rPr>
  </w:style>
  <w:style w:type="paragraph" w:styleId="CommentSubject">
    <w:name w:val="annotation subject"/>
    <w:basedOn w:val="CommentText"/>
    <w:next w:val="CommentText"/>
    <w:link w:val="CommentSubjectChar"/>
    <w:uiPriority w:val="99"/>
    <w:semiHidden/>
    <w:unhideWhenUsed/>
    <w:rsid w:val="0048447D"/>
    <w:rPr>
      <w:b/>
      <w:bCs/>
    </w:rPr>
  </w:style>
  <w:style w:type="character" w:customStyle="1" w:styleId="CommentSubjectChar">
    <w:name w:val="Comment Subject Char"/>
    <w:basedOn w:val="CommentTextChar"/>
    <w:link w:val="CommentSubject"/>
    <w:uiPriority w:val="99"/>
    <w:semiHidden/>
    <w:rsid w:val="0048447D"/>
    <w:rPr>
      <w:b/>
      <w:bCs/>
      <w:sz w:val="20"/>
      <w:szCs w:val="20"/>
    </w:rPr>
  </w:style>
  <w:style w:type="paragraph" w:styleId="BalloonText">
    <w:name w:val="Balloon Text"/>
    <w:basedOn w:val="Normal"/>
    <w:link w:val="BalloonTextChar"/>
    <w:uiPriority w:val="99"/>
    <w:semiHidden/>
    <w:unhideWhenUsed/>
    <w:rsid w:val="0048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47D"/>
    <w:rPr>
      <w:rFonts w:ascii="Tahoma" w:hAnsi="Tahoma" w:cs="Tahoma"/>
      <w:sz w:val="16"/>
      <w:szCs w:val="16"/>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
    <w:link w:val="FootnoteTextChar1"/>
    <w:rsid w:val="008468A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468A7"/>
    <w:rPr>
      <w:sz w:val="20"/>
      <w:szCs w:val="20"/>
    </w:rPr>
  </w:style>
  <w:style w:type="character" w:customStyle="1" w:styleId="FootnoteTextChar1">
    <w:name w:val="Footnote Text Char1"/>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8468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6764</Characters>
  <Application>Microsoft Office Word</Application>
  <DocSecurity>0</DocSecurity>
  <Lines>137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2014-05-15T15:19:00Z</cp:lastPrinted>
  <dcterms:created xsi:type="dcterms:W3CDTF">2014-05-15T17:29:00Z</dcterms:created>
  <dcterms:modified xsi:type="dcterms:W3CDTF">2014-05-15T17:29:00Z</dcterms:modified>
  <cp:category> </cp:category>
  <cp:contentStatus> </cp:contentStatus>
</cp:coreProperties>
</file>