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F97089" w:rsidP="007115F7">
            <w:pPr>
              <w:tabs>
                <w:tab w:val="center" w:pos="4680"/>
              </w:tabs>
              <w:suppressAutoHyphens/>
              <w:rPr>
                <w:spacing w:val="-2"/>
              </w:rPr>
            </w:pPr>
            <w:r w:rsidRPr="00616049">
              <w:rPr>
                <w:spacing w:val="-2"/>
              </w:rPr>
              <w:t>Amendment of the Commission’s Rules with Regard to Commercial Operations in the 1695-1710 MHz, 1755-1780 MHz, and 2155-2180 MHz Bands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92DD1"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97089">
            <w:pPr>
              <w:tabs>
                <w:tab w:val="center" w:pos="4680"/>
              </w:tabs>
              <w:suppressAutoHyphens/>
              <w:rPr>
                <w:spacing w:val="-2"/>
              </w:rPr>
            </w:pPr>
            <w:r w:rsidRPr="00616049">
              <w:rPr>
                <w:spacing w:val="-2"/>
              </w:rPr>
              <w:t>GN Docket No. 13-185</w:t>
            </w:r>
          </w:p>
        </w:tc>
      </w:tr>
    </w:tbl>
    <w:p w:rsidR="004C2EE3" w:rsidRDefault="004C2EE3" w:rsidP="0070224F"/>
    <w:p w:rsidR="004C2A61" w:rsidRDefault="004C2A61" w:rsidP="0070224F"/>
    <w:p w:rsidR="00841AB1" w:rsidRDefault="00DB59C2" w:rsidP="00F021FA">
      <w:pPr>
        <w:pStyle w:val="StyleBoldCentered"/>
      </w:pPr>
      <w:r>
        <w:t>E</w:t>
      </w:r>
      <w:r w:rsidR="00636D3C">
        <w:t>rratum</w:t>
      </w:r>
    </w:p>
    <w:p w:rsidR="004C2EE3" w:rsidRDefault="004C2EE3">
      <w:pPr>
        <w:tabs>
          <w:tab w:val="left" w:pos="-720"/>
        </w:tabs>
        <w:suppressAutoHyphens/>
        <w:spacing w:line="227" w:lineRule="auto"/>
        <w:rPr>
          <w:spacing w:val="-2"/>
        </w:rPr>
      </w:pPr>
    </w:p>
    <w:p w:rsidR="004C2EE3" w:rsidRDefault="007A25C3" w:rsidP="00133F79">
      <w:pPr>
        <w:tabs>
          <w:tab w:val="left" w:pos="720"/>
          <w:tab w:val="right" w:pos="9360"/>
        </w:tabs>
        <w:suppressAutoHyphens/>
        <w:spacing w:line="227" w:lineRule="auto"/>
        <w:rPr>
          <w:spacing w:val="-2"/>
        </w:rPr>
      </w:pPr>
      <w:r>
        <w:rPr>
          <w:b/>
          <w:spacing w:val="-2"/>
        </w:rPr>
        <w:tab/>
      </w:r>
      <w:r w:rsidR="004C2EE3">
        <w:rPr>
          <w:b/>
          <w:spacing w:val="-2"/>
        </w:rPr>
        <w:tab/>
      </w:r>
      <w:r w:rsidR="00822CE0">
        <w:rPr>
          <w:b/>
          <w:spacing w:val="-2"/>
        </w:rPr>
        <w:t>Released</w:t>
      </w:r>
      <w:r w:rsidR="004C2EE3">
        <w:rPr>
          <w:b/>
          <w:spacing w:val="-2"/>
        </w:rPr>
        <w:t>:</w:t>
      </w:r>
      <w:r w:rsidR="00822CE0">
        <w:rPr>
          <w:b/>
          <w:spacing w:val="-2"/>
        </w:rPr>
        <w:t xml:space="preserve"> </w:t>
      </w:r>
      <w:r w:rsidR="004C2EE3">
        <w:rPr>
          <w:b/>
          <w:spacing w:val="-2"/>
        </w:rPr>
        <w:t xml:space="preserve"> </w:t>
      </w:r>
      <w:r w:rsidR="002F2B5B">
        <w:rPr>
          <w:b/>
          <w:spacing w:val="-2"/>
        </w:rPr>
        <w:t xml:space="preserve">May </w:t>
      </w:r>
      <w:r w:rsidR="00EB2A8C">
        <w:rPr>
          <w:b/>
          <w:spacing w:val="-2"/>
        </w:rPr>
        <w:t>6</w:t>
      </w:r>
      <w:r w:rsidR="002F2B5B">
        <w:rPr>
          <w:b/>
          <w:spacing w:val="-2"/>
        </w:rPr>
        <w:t>, 2014</w:t>
      </w:r>
    </w:p>
    <w:p w:rsidR="00822CE0" w:rsidRDefault="00822CE0"/>
    <w:p w:rsidR="004C2EE3" w:rsidRDefault="004C2EE3">
      <w:pPr>
        <w:rPr>
          <w:spacing w:val="-2"/>
        </w:rPr>
      </w:pPr>
      <w:r>
        <w:t xml:space="preserve">By </w:t>
      </w:r>
      <w:r w:rsidR="004E4A22">
        <w:t>the</w:t>
      </w:r>
      <w:r w:rsidR="00244CBC">
        <w:t xml:space="preserve"> </w:t>
      </w:r>
      <w:r w:rsidR="00AF54EA">
        <w:t xml:space="preserve">Chief, </w:t>
      </w:r>
      <w:r w:rsidR="00244CBC">
        <w:t>Wireless Telecommunications Bureau</w:t>
      </w:r>
      <w:r>
        <w:rPr>
          <w:spacing w:val="-2"/>
        </w:rPr>
        <w:t>:</w:t>
      </w:r>
    </w:p>
    <w:p w:rsidR="00412FC5" w:rsidRDefault="00412FC5" w:rsidP="00412FC5"/>
    <w:p w:rsidR="001C0FE8" w:rsidRDefault="00907911" w:rsidP="00DC41E1">
      <w:pPr>
        <w:ind w:firstLine="720"/>
      </w:pPr>
      <w:r w:rsidRPr="008202BE">
        <w:t xml:space="preserve">On March 31, 2014, the Commission </w:t>
      </w:r>
      <w:r w:rsidR="00E15F95">
        <w:t xml:space="preserve">adopted and </w:t>
      </w:r>
      <w:r w:rsidRPr="008202BE">
        <w:t xml:space="preserve">released a </w:t>
      </w:r>
      <w:r w:rsidRPr="008202BE">
        <w:rPr>
          <w:i/>
        </w:rPr>
        <w:t>Report and Order</w:t>
      </w:r>
      <w:r w:rsidRPr="008202BE">
        <w:t xml:space="preserve"> </w:t>
      </w:r>
      <w:r w:rsidR="00F17BF1" w:rsidRPr="008202BE">
        <w:t>(</w:t>
      </w:r>
      <w:r w:rsidR="00F17BF1" w:rsidRPr="008202BE">
        <w:rPr>
          <w:i/>
        </w:rPr>
        <w:t>AWS-3 R&amp;O</w:t>
      </w:r>
      <w:r w:rsidR="008C4DB6">
        <w:t>), FCC 14-31, in the above-</w:t>
      </w:r>
      <w:r w:rsidR="00F17BF1" w:rsidRPr="008202BE">
        <w:t>captioned proceeding.</w:t>
      </w:r>
      <w:r w:rsidR="00695AF5">
        <w:rPr>
          <w:rStyle w:val="FootnoteReference"/>
        </w:rPr>
        <w:footnoteReference w:id="2"/>
      </w:r>
      <w:r w:rsidR="00F17BF1" w:rsidRPr="008202BE">
        <w:t xml:space="preserve">  This </w:t>
      </w:r>
      <w:r w:rsidR="00F17BF1" w:rsidRPr="005855EA">
        <w:t>Erratum</w:t>
      </w:r>
      <w:r w:rsidR="00F17BF1" w:rsidRPr="00C20D9F">
        <w:t xml:space="preserve"> </w:t>
      </w:r>
      <w:r w:rsidR="00F17BF1" w:rsidRPr="008202BE">
        <w:t xml:space="preserve">amends </w:t>
      </w:r>
      <w:r w:rsidR="00D82D19" w:rsidRPr="008202BE">
        <w:t xml:space="preserve">the </w:t>
      </w:r>
      <w:r w:rsidR="00D82D19" w:rsidRPr="008202BE">
        <w:rPr>
          <w:i/>
        </w:rPr>
        <w:t>AWS-</w:t>
      </w:r>
      <w:r w:rsidR="00D82D19" w:rsidRPr="0006019A">
        <w:rPr>
          <w:i/>
        </w:rPr>
        <w:t>3 R&amp;O</w:t>
      </w:r>
      <w:r w:rsidR="00D82D19" w:rsidRPr="0006019A">
        <w:t xml:space="preserve"> as indicated below</w:t>
      </w:r>
      <w:r w:rsidR="00C20D9F">
        <w:t>:</w:t>
      </w:r>
      <w:r w:rsidR="00D82D19" w:rsidRPr="0006019A">
        <w:t xml:space="preserve">  </w:t>
      </w:r>
    </w:p>
    <w:p w:rsidR="00DC41E1" w:rsidRPr="0006019A" w:rsidRDefault="00DC41E1" w:rsidP="00DC41E1">
      <w:pPr>
        <w:ind w:firstLine="720"/>
      </w:pPr>
    </w:p>
    <w:p w:rsidR="00BB2381" w:rsidRPr="0006019A" w:rsidRDefault="00F856A2" w:rsidP="005855EA">
      <w:pPr>
        <w:pStyle w:val="ParaNum"/>
      </w:pPr>
      <w:r w:rsidRPr="0006019A">
        <w:t xml:space="preserve">In paragraph 151, </w:t>
      </w:r>
      <w:r w:rsidR="00047C9C" w:rsidRPr="0006019A">
        <w:t xml:space="preserve">in the </w:t>
      </w:r>
      <w:r w:rsidR="00047C9C">
        <w:t xml:space="preserve">last </w:t>
      </w:r>
      <w:r w:rsidR="00047C9C" w:rsidRPr="0006019A">
        <w:t>sentence</w:t>
      </w:r>
      <w:r w:rsidR="00047C9C">
        <w:t>,</w:t>
      </w:r>
      <w:r w:rsidR="00047C9C" w:rsidRPr="0006019A">
        <w:t xml:space="preserve"> </w:t>
      </w:r>
      <w:r w:rsidR="00047C9C">
        <w:t>replace “note 462, supra,” with “</w:t>
      </w:r>
      <w:r w:rsidR="00047C9C" w:rsidRPr="0006019A">
        <w:t>paragraph 154 below</w:t>
      </w:r>
      <w:r w:rsidR="00047C9C">
        <w:t>.”</w:t>
      </w:r>
    </w:p>
    <w:p w:rsidR="00667D8A" w:rsidRDefault="00F60BC5" w:rsidP="00C20D9F">
      <w:pPr>
        <w:pStyle w:val="ParaNum"/>
      </w:pPr>
      <w:r>
        <w:t xml:space="preserve">In paragraph 165, </w:t>
      </w:r>
      <w:r w:rsidR="00D66727">
        <w:t xml:space="preserve">the </w:t>
      </w:r>
      <w:r w:rsidR="00C20D9F">
        <w:t xml:space="preserve">beginning of the </w:t>
      </w:r>
      <w:r w:rsidR="00D66727">
        <w:t>first sentence</w:t>
      </w:r>
      <w:r w:rsidR="00FF1BA0">
        <w:t xml:space="preserve"> </w:t>
      </w:r>
      <w:r w:rsidR="00576882">
        <w:t xml:space="preserve">is corrected </w:t>
      </w:r>
      <w:r w:rsidR="00C20D9F">
        <w:t xml:space="preserve">to read as </w:t>
      </w:r>
      <w:r w:rsidR="003E48CD">
        <w:t>“</w:t>
      </w:r>
      <w:r w:rsidR="00C20D9F">
        <w:t xml:space="preserve">We </w:t>
      </w:r>
      <w:r w:rsidR="003E48CD">
        <w:t>adopt the Commission’s proposal and</w:t>
      </w:r>
      <w:r w:rsidR="00C20D9F">
        <w:t xml:space="preserve"> determine that….</w:t>
      </w:r>
      <w:r w:rsidR="003E48CD">
        <w:t>”</w:t>
      </w:r>
      <w:r w:rsidR="00C20D9F">
        <w:t>.</w:t>
      </w:r>
    </w:p>
    <w:p w:rsidR="00DD282A" w:rsidRDefault="0016656A" w:rsidP="00C20D9F">
      <w:pPr>
        <w:pStyle w:val="ParaNum"/>
        <w:numPr>
          <w:ilvl w:val="0"/>
          <w:numId w:val="15"/>
        </w:numPr>
      </w:pPr>
      <w:r>
        <w:t>Footnote 495 is corrected to read as follows:</w:t>
      </w:r>
    </w:p>
    <w:p w:rsidR="00DD282A" w:rsidRDefault="00C20D9F" w:rsidP="005855EA">
      <w:pPr>
        <w:ind w:left="1080" w:firstLine="360"/>
      </w:pPr>
      <w:r>
        <w:rPr>
          <w:i/>
        </w:rPr>
        <w:t>“</w:t>
      </w:r>
      <w:r w:rsidR="000F6C60" w:rsidRPr="002A22C0">
        <w:rPr>
          <w:i/>
        </w:rPr>
        <w:t xml:space="preserve">See </w:t>
      </w:r>
      <w:r w:rsidR="000F6C60" w:rsidRPr="002A22C0">
        <w:t xml:space="preserve">47 C.F.R. § 1.955(a)(3).  </w:t>
      </w:r>
      <w:r w:rsidR="000F6C60">
        <w:t xml:space="preserve">As the Commission has previously explained, the operation of so-called channel keepers, </w:t>
      </w:r>
      <w:r w:rsidR="000F6C60">
        <w:rPr>
          <w:i/>
          <w:iCs/>
        </w:rPr>
        <w:t>e.g.</w:t>
      </w:r>
      <w:r w:rsidR="000F6C60">
        <w:t xml:space="preserve">, devices that transmit test signals, tones, and/or color bars, do not constitute “operation” under Section 1.955(a)(3) or the Commission’s other permanent discontinuance rules.  </w:t>
      </w:r>
      <w:r w:rsidR="000F6C60" w:rsidRPr="00C473CE">
        <w:rPr>
          <w:i/>
          <w:iCs/>
        </w:rPr>
        <w:t xml:space="preserve">See </w:t>
      </w:r>
      <w:r w:rsidR="000F6C60" w:rsidRPr="00C473CE">
        <w:t>Appl</w:t>
      </w:r>
      <w:r w:rsidR="000F6C60">
        <w:t>ication of San Diego MDS Co.</w:t>
      </w:r>
      <w:r w:rsidR="000F6C60" w:rsidRPr="00C473CE">
        <w:t xml:space="preserve">, </w:t>
      </w:r>
      <w:r w:rsidR="000F6C60" w:rsidRPr="00C473CE">
        <w:rPr>
          <w:i/>
          <w:iCs/>
        </w:rPr>
        <w:t>Memorandum Opinion and Order</w:t>
      </w:r>
      <w:r w:rsidR="000F6C60" w:rsidRPr="00C473CE">
        <w:t xml:space="preserve">, 19 FCC Rcd 23120, 23124 ¶ 10 (2004) </w:t>
      </w:r>
      <w:r w:rsidR="00840DCB" w:rsidRPr="00C473CE">
        <w:t>(</w:t>
      </w:r>
      <w:r w:rsidR="00840DCB" w:rsidRPr="00734897">
        <w:rPr>
          <w:i/>
          <w:iCs/>
        </w:rPr>
        <w:t>San Diego MDS</w:t>
      </w:r>
      <w:r w:rsidR="00840DCB" w:rsidRPr="00734897">
        <w:t>)</w:t>
      </w:r>
      <w:r w:rsidR="00840DCB" w:rsidRPr="00C473CE">
        <w:t xml:space="preserve"> </w:t>
      </w:r>
      <w:r w:rsidR="000F6C60" w:rsidRPr="00C473CE">
        <w:t>(“</w:t>
      </w:r>
      <w:r w:rsidR="00840DCB">
        <w:t>[I]</w:t>
      </w:r>
      <w:r w:rsidR="000F6C60" w:rsidRPr="00C473CE">
        <w:t>n order to provide a service a provider would, at a minimum, need a customer or other person to serve</w:t>
      </w:r>
      <w:r w:rsidR="00840DCB">
        <w:t>.</w:t>
      </w:r>
      <w:r w:rsidR="000F6C60" w:rsidRPr="00C473CE">
        <w:t>”)</w:t>
      </w:r>
      <w:r w:rsidR="000F6C60" w:rsidRPr="00734897">
        <w:t xml:space="preserve">; </w:t>
      </w:r>
      <w:r w:rsidR="000F6C60" w:rsidRPr="00734897">
        <w:rPr>
          <w:color w:val="000000"/>
          <w:shd w:val="clear" w:color="auto" w:fill="FFFFFF"/>
        </w:rPr>
        <w:t>Amendment of Parts 1, 21, 73, 74 and 101 of the Commission’s Rules to Facilitate the Provision of Fixed and Mobile Broadband Access, Educations and Other Advanced Services in the 2150-2162 and 2500-2690 MHz Bands</w:t>
      </w:r>
      <w:r w:rsidR="000F6C60" w:rsidRPr="00734897">
        <w:t xml:space="preserve">, WT Docket Nos. 03-66, 03-67, 02-68, 00-230, MM Docket No. 97-217, IB Docket No. 02-364, ET Docket No. 00-258, </w:t>
      </w:r>
      <w:r w:rsidR="00840DCB">
        <w:rPr>
          <w:i/>
        </w:rPr>
        <w:t>Order on Reconsideration and Fifth Memorandum Opinion and Order and Third Memorandum Opinion and Order and Second Report and Order</w:t>
      </w:r>
      <w:r w:rsidR="00840DCB">
        <w:t>,</w:t>
      </w:r>
      <w:r w:rsidR="00840DCB">
        <w:rPr>
          <w:i/>
        </w:rPr>
        <w:t xml:space="preserve"> </w:t>
      </w:r>
      <w:r w:rsidR="000F6C60" w:rsidRPr="00734897">
        <w:t>21 FCC Rcd 5606, 5731 ¶ 297 (2006) (</w:t>
      </w:r>
      <w:r w:rsidR="000F6C60" w:rsidRPr="00734897">
        <w:rPr>
          <w:i/>
          <w:iCs/>
        </w:rPr>
        <w:t>BRS/EBS 3rd MO&amp;O</w:t>
      </w:r>
      <w:r w:rsidR="000F6C60" w:rsidRPr="009E5DCB">
        <w:t xml:space="preserve">) (favorably citing </w:t>
      </w:r>
      <w:r w:rsidR="000F6C60" w:rsidRPr="00452807">
        <w:rPr>
          <w:i/>
          <w:iCs/>
        </w:rPr>
        <w:t xml:space="preserve">San Diego MDS </w:t>
      </w:r>
      <w:r w:rsidR="000F6C60" w:rsidRPr="00452807">
        <w:t xml:space="preserve">when affirming that “transmission of test signals and/or color bars by a BRS/EBS licensee or lessee does not constitute substantial service”); </w:t>
      </w:r>
      <w:r w:rsidR="000F6C60" w:rsidRPr="00777B59">
        <w:rPr>
          <w:i/>
        </w:rPr>
        <w:t>AWS-4 Report and Order</w:t>
      </w:r>
      <w:r w:rsidR="000F6C60" w:rsidRPr="00777B59">
        <w:rPr>
          <w:iCs/>
        </w:rPr>
        <w:t>,</w:t>
      </w:r>
      <w:r w:rsidR="000F6C60" w:rsidRPr="00777B59">
        <w:rPr>
          <w:i/>
          <w:iCs/>
        </w:rPr>
        <w:t xml:space="preserve"> </w:t>
      </w:r>
      <w:r w:rsidR="000F6C60" w:rsidRPr="00777B59">
        <w:rPr>
          <w:iCs/>
        </w:rPr>
        <w:t>27 FCC Rcd</w:t>
      </w:r>
      <w:r w:rsidR="000F6C60" w:rsidRPr="00777B59">
        <w:rPr>
          <w:i/>
        </w:rPr>
        <w:t xml:space="preserve"> </w:t>
      </w:r>
      <w:r w:rsidR="000F6C60" w:rsidRPr="00777B59">
        <w:t xml:space="preserve">at 16203 </w:t>
      </w:r>
      <w:r w:rsidR="000F6C60" w:rsidRPr="00777B59">
        <w:rPr>
          <w:iCs/>
        </w:rPr>
        <w:t>¶ 276</w:t>
      </w:r>
      <w:r w:rsidR="000F6C60" w:rsidRPr="00777B59">
        <w:t>;</w:t>
      </w:r>
      <w:r w:rsidR="000F6C60" w:rsidRPr="00777B59">
        <w:rPr>
          <w:i/>
          <w:iCs/>
        </w:rPr>
        <w:t xml:space="preserve"> </w:t>
      </w:r>
      <w:r w:rsidR="000F6C60">
        <w:rPr>
          <w:i/>
          <w:iCs/>
        </w:rPr>
        <w:t xml:space="preserve">H Block Report and Order, </w:t>
      </w:r>
      <w:r w:rsidR="000F6C60" w:rsidRPr="00575FE0">
        <w:t xml:space="preserve">28 FCC Rcd </w:t>
      </w:r>
      <w:r w:rsidR="000F6C60">
        <w:t xml:space="preserve">at 9571 ¶ 233; </w:t>
      </w:r>
      <w:r w:rsidR="000F6C60" w:rsidRPr="00AA7C77">
        <w:rPr>
          <w:i/>
        </w:rPr>
        <w:t>see also</w:t>
      </w:r>
      <w:r w:rsidR="000F6C60">
        <w:t xml:space="preserve"> </w:t>
      </w:r>
      <w:r w:rsidR="000F6C60" w:rsidRPr="00777B59">
        <w:rPr>
          <w:i/>
          <w:iCs/>
        </w:rPr>
        <w:t xml:space="preserve">WRS Renewals NPRM and Order, </w:t>
      </w:r>
      <w:r w:rsidR="000F6C60" w:rsidRPr="00134CC1">
        <w:t>25 FCC Rcd at 7019 ¶ 59.</w:t>
      </w:r>
      <w:r>
        <w:t>”</w:t>
      </w:r>
      <w:r w:rsidR="000F6C60" w:rsidRPr="00134CC1">
        <w:t xml:space="preserve"> </w:t>
      </w:r>
    </w:p>
    <w:p w:rsidR="004C2A61" w:rsidRDefault="004C2A61" w:rsidP="00C20D9F">
      <w:pPr>
        <w:tabs>
          <w:tab w:val="num" w:pos="1080"/>
        </w:tabs>
      </w:pPr>
    </w:p>
    <w:p w:rsidR="005A4B6B" w:rsidRDefault="009B695A" w:rsidP="005855EA">
      <w:pPr>
        <w:pStyle w:val="ParaNum"/>
        <w:keepNext/>
        <w:widowControl/>
        <w:numPr>
          <w:ilvl w:val="0"/>
          <w:numId w:val="15"/>
        </w:numPr>
      </w:pPr>
      <w:r>
        <w:lastRenderedPageBreak/>
        <w:t>P</w:t>
      </w:r>
      <w:r w:rsidR="00830872" w:rsidRPr="0006019A">
        <w:t xml:space="preserve">aragraph </w:t>
      </w:r>
      <w:r w:rsidR="00830872">
        <w:t>244</w:t>
      </w:r>
      <w:r>
        <w:t xml:space="preserve"> is corrected to read as follows:</w:t>
      </w:r>
      <w:r w:rsidR="00A0737D">
        <w:t xml:space="preserve"> </w:t>
      </w:r>
    </w:p>
    <w:p w:rsidR="008409FC" w:rsidRDefault="00CA3D2C" w:rsidP="005855EA">
      <w:pPr>
        <w:pStyle w:val="ParaNum"/>
        <w:widowControl/>
        <w:numPr>
          <w:ilvl w:val="0"/>
          <w:numId w:val="0"/>
        </w:numPr>
        <w:ind w:left="1080" w:firstLine="360"/>
      </w:pPr>
      <w:r>
        <w:t>“</w:t>
      </w:r>
      <w:r w:rsidR="008409FC">
        <w:t xml:space="preserve">IT IS FURTHER ORDERED that the amendments, adopted above and specified in Appendix A, </w:t>
      </w:r>
      <w:r w:rsidR="008409FC" w:rsidRPr="00081378">
        <w:t xml:space="preserve">to sections 2.1033(c)(19)(i)-(ii); 27.14(k), (s); 27.17(c); 27.50(d)(3); 27.1131; 27.1132; 27.1134(c), (f) of the Commission’s rules, 47 C.F.R. §§ 2.1033(c)(19)(i)-(ii); </w:t>
      </w:r>
      <w:r w:rsidR="00337AF0">
        <w:t>27.14</w:t>
      </w:r>
      <w:r w:rsidR="008409FC" w:rsidRPr="00081378">
        <w:t>(k), (s); 27.17(c); 27.50(d)(3); 27.1131; 27.1132; 27.1134(c), (f), which contain new or modified information collection requirements that require approval by the Office of Management and Budget under the Paperwork Reduction Act, WILL BECOME EFFECTIVE after the Commission publishes a notice in the Federal Register announcing such approval and the relevant effective date.</w:t>
      </w:r>
      <w:r>
        <w:t>”</w:t>
      </w:r>
      <w:r w:rsidR="008409FC">
        <w:t xml:space="preserve">  </w:t>
      </w:r>
    </w:p>
    <w:p w:rsidR="00D43055" w:rsidRDefault="00CA3D2C" w:rsidP="00C20D9F">
      <w:pPr>
        <w:pStyle w:val="ParaNum"/>
        <w:numPr>
          <w:ilvl w:val="0"/>
          <w:numId w:val="15"/>
        </w:numPr>
      </w:pPr>
      <w:r>
        <w:t>In p</w:t>
      </w:r>
      <w:r w:rsidR="001A6FFA">
        <w:t>aragraph 245</w:t>
      </w:r>
      <w:r>
        <w:t xml:space="preserve">, </w:t>
      </w:r>
      <w:r w:rsidR="001A6FFA">
        <w:t xml:space="preserve">add the phrase </w:t>
      </w:r>
      <w:r w:rsidR="00CB5357">
        <w:t>“for the 2025-2110 MHz band</w:t>
      </w:r>
      <w:r w:rsidR="002D59A9">
        <w:t>”</w:t>
      </w:r>
      <w:r w:rsidR="0094002E">
        <w:t xml:space="preserve"> </w:t>
      </w:r>
      <w:r>
        <w:t>after the word “allocations.”</w:t>
      </w:r>
    </w:p>
    <w:p w:rsidR="00240930" w:rsidRPr="00240930" w:rsidRDefault="00240930" w:rsidP="000C4E54">
      <w:pPr>
        <w:pStyle w:val="ParaNum"/>
        <w:numPr>
          <w:ilvl w:val="0"/>
          <w:numId w:val="0"/>
        </w:numPr>
        <w:ind w:left="720"/>
      </w:pPr>
      <w:r>
        <w:t xml:space="preserve">This Erratum also amends Appendix A of the </w:t>
      </w:r>
      <w:r w:rsidRPr="008202BE">
        <w:rPr>
          <w:i/>
        </w:rPr>
        <w:t>AWS-3 R&amp;O</w:t>
      </w:r>
      <w:r>
        <w:t xml:space="preserve"> as indicated below:</w:t>
      </w:r>
    </w:p>
    <w:p w:rsidR="00240930" w:rsidRDefault="00240930" w:rsidP="00C74489">
      <w:pPr>
        <w:pStyle w:val="ParaNum"/>
        <w:numPr>
          <w:ilvl w:val="0"/>
          <w:numId w:val="15"/>
        </w:numPr>
      </w:pPr>
      <w:r>
        <w:t>Section 27.17 is corrected to add paragraph number 14 and remaining paragraphs are renumbered accordingly.</w:t>
      </w:r>
    </w:p>
    <w:p w:rsidR="001A1FBB" w:rsidRDefault="001A1FBB" w:rsidP="001A1FBB">
      <w:pPr>
        <w:pStyle w:val="ParaNum"/>
        <w:numPr>
          <w:ilvl w:val="0"/>
          <w:numId w:val="15"/>
        </w:numPr>
      </w:pPr>
      <w:r>
        <w:t>A new paragraph 25 is added to read as follows:</w:t>
      </w:r>
    </w:p>
    <w:p w:rsidR="001A1FBB" w:rsidRDefault="001A1FBB" w:rsidP="001A1FBB">
      <w:pPr>
        <w:spacing w:line="480" w:lineRule="auto"/>
        <w:ind w:left="1080"/>
      </w:pPr>
      <w:r>
        <w:t xml:space="preserve">“25.  Section 27.1111 is revised to read as follows:  </w:t>
      </w:r>
    </w:p>
    <w:p w:rsidR="001A1FBB" w:rsidRPr="00EB2A8C" w:rsidRDefault="001A1FBB" w:rsidP="001A1FBB">
      <w:pPr>
        <w:spacing w:line="480" w:lineRule="auto"/>
        <w:ind w:left="1080"/>
        <w:rPr>
          <w:b/>
          <w:u w:val="single"/>
        </w:rPr>
      </w:pPr>
      <w:r w:rsidRPr="00EB2A8C">
        <w:rPr>
          <w:b/>
          <w:u w:val="single"/>
        </w:rPr>
        <w:t>§27.1111   Relocation of fixed microwave service licensees in the 2110-2150 and 2160-2200 MHz bands.</w:t>
      </w:r>
    </w:p>
    <w:p w:rsidR="001A1FBB" w:rsidRDefault="001A1FBB" w:rsidP="000C4E54">
      <w:pPr>
        <w:spacing w:line="480" w:lineRule="auto"/>
        <w:ind w:left="1080" w:firstLine="360"/>
      </w:pPr>
      <w:r>
        <w:t>Part 22, subpart E and part 101, subpart B of this chapter contain provisions governing the relocation of incumbent fixed microwave service licensees in the 2110-2150 MHz and 2160-2200 MHz bands.”</w:t>
      </w:r>
    </w:p>
    <w:p w:rsidR="001A1FBB" w:rsidRDefault="001A1FBB" w:rsidP="000C4E54">
      <w:pPr>
        <w:pStyle w:val="ParaNum"/>
        <w:numPr>
          <w:ilvl w:val="0"/>
          <w:numId w:val="15"/>
        </w:numPr>
      </w:pPr>
      <w:r>
        <w:t>In section</w:t>
      </w:r>
      <w:r w:rsidR="002A7E16">
        <w:t xml:space="preserve"> 27.1131, </w:t>
      </w:r>
      <w:r>
        <w:t xml:space="preserve">which is now paragraph 26, </w:t>
      </w:r>
      <w:r w:rsidR="002A7E16">
        <w:t>replace “2110-2180 MHz band” with “2110-2150 MHz and 2160-2200 MHz bands</w:t>
      </w:r>
      <w:r>
        <w:t>.</w:t>
      </w:r>
      <w:r w:rsidR="002A7E16">
        <w:t>”</w:t>
      </w:r>
    </w:p>
    <w:p w:rsidR="001A1FBB" w:rsidRDefault="001A1FBB" w:rsidP="000C4E54">
      <w:pPr>
        <w:pStyle w:val="ParaNum"/>
        <w:numPr>
          <w:ilvl w:val="0"/>
          <w:numId w:val="0"/>
        </w:numPr>
      </w:pPr>
    </w:p>
    <w:p w:rsidR="005B5473" w:rsidRDefault="005B5473" w:rsidP="000C4E54">
      <w:pPr>
        <w:pStyle w:val="ParaNum"/>
        <w:numPr>
          <w:ilvl w:val="0"/>
          <w:numId w:val="0"/>
        </w:numPr>
      </w:pPr>
      <w:r>
        <w:tab/>
      </w:r>
      <w:r>
        <w:tab/>
      </w:r>
      <w:r>
        <w:tab/>
      </w:r>
      <w:r>
        <w:tab/>
      </w:r>
      <w:r>
        <w:tab/>
      </w:r>
      <w:r>
        <w:tab/>
        <w:t>FEDERAL COMMUNICATIONS COMMISSION</w:t>
      </w:r>
    </w:p>
    <w:p w:rsidR="005B5473" w:rsidRDefault="005B5473" w:rsidP="0017296B"/>
    <w:p w:rsidR="005B5473" w:rsidRDefault="005B5473" w:rsidP="0017296B"/>
    <w:p w:rsidR="005B5473" w:rsidRDefault="005B5473" w:rsidP="0017296B"/>
    <w:p w:rsidR="005B5473" w:rsidRDefault="005B5473" w:rsidP="0017296B"/>
    <w:p w:rsidR="005B5473" w:rsidRDefault="005B5473" w:rsidP="0017296B">
      <w:r>
        <w:tab/>
      </w:r>
      <w:r>
        <w:tab/>
      </w:r>
      <w:r>
        <w:tab/>
      </w:r>
      <w:r>
        <w:tab/>
      </w:r>
      <w:r>
        <w:tab/>
      </w:r>
      <w:r>
        <w:tab/>
      </w:r>
      <w:r w:rsidR="00AF54EA">
        <w:t xml:space="preserve">Roger </w:t>
      </w:r>
      <w:r w:rsidR="00C74637">
        <w:t xml:space="preserve">C. </w:t>
      </w:r>
      <w:r w:rsidR="00AF54EA">
        <w:t>Sherman</w:t>
      </w:r>
    </w:p>
    <w:p w:rsidR="00C74637" w:rsidRDefault="005B5473" w:rsidP="00C74637">
      <w:r>
        <w:tab/>
      </w:r>
      <w:r>
        <w:tab/>
      </w:r>
      <w:r>
        <w:tab/>
      </w:r>
      <w:r>
        <w:tab/>
      </w:r>
      <w:r>
        <w:tab/>
      </w:r>
      <w:r>
        <w:tab/>
      </w:r>
      <w:r w:rsidR="00C74637">
        <w:t>Chief</w:t>
      </w:r>
    </w:p>
    <w:p w:rsidR="001C0FE8" w:rsidRPr="00DA3E4F" w:rsidRDefault="00C74637" w:rsidP="00C74637">
      <w:pPr>
        <w:rPr>
          <w:b/>
          <w:caps/>
          <w:spacing w:val="-2"/>
        </w:rPr>
      </w:pPr>
      <w:r>
        <w:tab/>
      </w:r>
      <w:r>
        <w:tab/>
      </w:r>
      <w:r>
        <w:tab/>
      </w:r>
      <w:r>
        <w:tab/>
      </w:r>
      <w:r>
        <w:tab/>
      </w:r>
      <w:r>
        <w:tab/>
      </w:r>
      <w:r w:rsidR="00560E4C">
        <w:t>Wireless Telecommunications Bureau</w:t>
      </w:r>
    </w:p>
    <w:sectPr w:rsidR="001C0FE8" w:rsidRPr="00DA3E4F"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51" w:rsidRDefault="00CD3D51">
      <w:pPr>
        <w:spacing w:line="20" w:lineRule="exact"/>
      </w:pPr>
    </w:p>
  </w:endnote>
  <w:endnote w:type="continuationSeparator" w:id="0">
    <w:p w:rsidR="00CD3D51" w:rsidRDefault="00CD3D51">
      <w:r>
        <w:t xml:space="preserve"> </w:t>
      </w:r>
    </w:p>
  </w:endnote>
  <w:endnote w:type="continuationNotice" w:id="1">
    <w:p w:rsidR="00CD3D51" w:rsidRDefault="00CD3D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A75E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BB" w:rsidRDefault="00DC3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51" w:rsidRDefault="00CD3D51">
      <w:r>
        <w:separator/>
      </w:r>
    </w:p>
  </w:footnote>
  <w:footnote w:type="continuationSeparator" w:id="0">
    <w:p w:rsidR="00CD3D51" w:rsidRDefault="00CD3D51" w:rsidP="00C721AC">
      <w:pPr>
        <w:spacing w:before="120"/>
        <w:rPr>
          <w:sz w:val="20"/>
        </w:rPr>
      </w:pPr>
      <w:r>
        <w:rPr>
          <w:sz w:val="20"/>
        </w:rPr>
        <w:t xml:space="preserve">(Continued from previous page)  </w:t>
      </w:r>
      <w:r>
        <w:rPr>
          <w:sz w:val="20"/>
        </w:rPr>
        <w:separator/>
      </w:r>
    </w:p>
  </w:footnote>
  <w:footnote w:type="continuationNotice" w:id="1">
    <w:p w:rsidR="00CD3D51" w:rsidRDefault="00CD3D51" w:rsidP="00C721AC">
      <w:pPr>
        <w:jc w:val="right"/>
        <w:rPr>
          <w:sz w:val="20"/>
        </w:rPr>
      </w:pPr>
      <w:r>
        <w:rPr>
          <w:sz w:val="20"/>
        </w:rPr>
        <w:t>(continued….)</w:t>
      </w:r>
    </w:p>
  </w:footnote>
  <w:footnote w:id="2">
    <w:p w:rsidR="00695AF5" w:rsidRDefault="00695AF5" w:rsidP="00695AF5">
      <w:pPr>
        <w:pStyle w:val="FootnoteText"/>
      </w:pPr>
      <w:r>
        <w:rPr>
          <w:rStyle w:val="FootnoteReference"/>
        </w:rPr>
        <w:footnoteRef/>
      </w:r>
      <w:r>
        <w:t xml:space="preserve"> The corrected version will be published in the FCC Record. </w:t>
      </w:r>
      <w:r w:rsidR="007A25C3">
        <w:t xml:space="preserve"> </w:t>
      </w:r>
      <w:r>
        <w:t>In addition, the corrected version will be posted on the Commission’s website.</w:t>
      </w:r>
      <w:r w:rsidR="007A25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BB" w:rsidRDefault="00DC3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p>
  <w:p w:rsidR="00D25FB5" w:rsidRDefault="0070565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D340EBC" wp14:editId="512645A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0565B"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33A45C9"/>
    <w:multiLevelType w:val="hybridMultilevel"/>
    <w:tmpl w:val="B9D83C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num>
  <w:num w:numId="8">
    <w:abstractNumId w:val="5"/>
  </w:num>
  <w:num w:numId="9">
    <w:abstractNumId w:val="6"/>
    <w:lvlOverride w:ilvl="0">
      <w:startOverride w:val="244"/>
    </w:lvlOverride>
  </w:num>
  <w:num w:numId="10">
    <w:abstractNumId w:val="6"/>
    <w:lvlOverride w:ilvl="0">
      <w:startOverride w:val="165"/>
    </w:lvlOverride>
  </w:num>
  <w:num w:numId="11">
    <w:abstractNumId w:val="6"/>
    <w:lvlOverride w:ilvl="0">
      <w:startOverride w:val="3"/>
    </w:lvlOverride>
  </w:num>
  <w:num w:numId="12">
    <w:abstractNumId w:val="6"/>
  </w:num>
  <w:num w:numId="13">
    <w:abstractNumId w:val="6"/>
    <w:lvlOverride w:ilvl="0">
      <w:startOverride w:val="3"/>
    </w:lvlOverride>
  </w:num>
  <w:num w:numId="14">
    <w:abstractNumId w:val="6"/>
  </w:num>
  <w:num w:numId="15">
    <w:abstractNumId w:val="6"/>
    <w:lvlOverride w:ilvl="0">
      <w:startOverride w:val="3"/>
    </w:lvlOverride>
  </w:num>
  <w:num w:numId="16">
    <w:abstractNumId w:val="6"/>
  </w:num>
  <w:num w:numId="17">
    <w:abstractNumId w:val="6"/>
  </w:num>
  <w:num w:numId="18">
    <w:abstractNumId w:val="6"/>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1AE9"/>
    <w:rsid w:val="00011F6B"/>
    <w:rsid w:val="00026C30"/>
    <w:rsid w:val="00027DC7"/>
    <w:rsid w:val="00036039"/>
    <w:rsid w:val="00037F90"/>
    <w:rsid w:val="00047C9C"/>
    <w:rsid w:val="0006019A"/>
    <w:rsid w:val="00067BEF"/>
    <w:rsid w:val="0008065D"/>
    <w:rsid w:val="000875BF"/>
    <w:rsid w:val="00096D8C"/>
    <w:rsid w:val="000C0B65"/>
    <w:rsid w:val="000C4E54"/>
    <w:rsid w:val="000E05FE"/>
    <w:rsid w:val="000E3D42"/>
    <w:rsid w:val="000F6C60"/>
    <w:rsid w:val="00122BD5"/>
    <w:rsid w:val="00133F79"/>
    <w:rsid w:val="001563DE"/>
    <w:rsid w:val="0016656A"/>
    <w:rsid w:val="00172349"/>
    <w:rsid w:val="0017637B"/>
    <w:rsid w:val="00194A66"/>
    <w:rsid w:val="001A1FBB"/>
    <w:rsid w:val="001A437A"/>
    <w:rsid w:val="001A6FFA"/>
    <w:rsid w:val="001C0FE8"/>
    <w:rsid w:val="001D31C6"/>
    <w:rsid w:val="001D6BCF"/>
    <w:rsid w:val="001E0133"/>
    <w:rsid w:val="001E01CA"/>
    <w:rsid w:val="001E0B8D"/>
    <w:rsid w:val="001E157B"/>
    <w:rsid w:val="002161F3"/>
    <w:rsid w:val="00224B2E"/>
    <w:rsid w:val="00231235"/>
    <w:rsid w:val="00240930"/>
    <w:rsid w:val="00244CBC"/>
    <w:rsid w:val="002461DF"/>
    <w:rsid w:val="00261C9E"/>
    <w:rsid w:val="00275CF5"/>
    <w:rsid w:val="0028301F"/>
    <w:rsid w:val="00284176"/>
    <w:rsid w:val="00285017"/>
    <w:rsid w:val="00292DD1"/>
    <w:rsid w:val="002A2D2E"/>
    <w:rsid w:val="002A7E16"/>
    <w:rsid w:val="002B3233"/>
    <w:rsid w:val="002B516E"/>
    <w:rsid w:val="002C00E8"/>
    <w:rsid w:val="002C26C7"/>
    <w:rsid w:val="002D49D8"/>
    <w:rsid w:val="002D59A9"/>
    <w:rsid w:val="002E3FF1"/>
    <w:rsid w:val="002E71F3"/>
    <w:rsid w:val="002F2B5B"/>
    <w:rsid w:val="00301356"/>
    <w:rsid w:val="00337AF0"/>
    <w:rsid w:val="00343749"/>
    <w:rsid w:val="003660ED"/>
    <w:rsid w:val="00367F2C"/>
    <w:rsid w:val="003830EC"/>
    <w:rsid w:val="003A75E0"/>
    <w:rsid w:val="003B0550"/>
    <w:rsid w:val="003B694F"/>
    <w:rsid w:val="003E48CD"/>
    <w:rsid w:val="003F171C"/>
    <w:rsid w:val="00412FC5"/>
    <w:rsid w:val="00422276"/>
    <w:rsid w:val="004242F1"/>
    <w:rsid w:val="00445044"/>
    <w:rsid w:val="00445A00"/>
    <w:rsid w:val="00446228"/>
    <w:rsid w:val="00451B0F"/>
    <w:rsid w:val="00462BFC"/>
    <w:rsid w:val="00483665"/>
    <w:rsid w:val="0049002F"/>
    <w:rsid w:val="00491BB2"/>
    <w:rsid w:val="0049285F"/>
    <w:rsid w:val="00497C0F"/>
    <w:rsid w:val="004C2A61"/>
    <w:rsid w:val="004C2EE3"/>
    <w:rsid w:val="004E4A22"/>
    <w:rsid w:val="00505A65"/>
    <w:rsid w:val="00506A8A"/>
    <w:rsid w:val="00511968"/>
    <w:rsid w:val="0055614C"/>
    <w:rsid w:val="00560E4C"/>
    <w:rsid w:val="00576882"/>
    <w:rsid w:val="005769D0"/>
    <w:rsid w:val="005855EA"/>
    <w:rsid w:val="005966C1"/>
    <w:rsid w:val="005A04CF"/>
    <w:rsid w:val="005A4B6B"/>
    <w:rsid w:val="005B3F49"/>
    <w:rsid w:val="005B4FF7"/>
    <w:rsid w:val="005B5473"/>
    <w:rsid w:val="005C31F7"/>
    <w:rsid w:val="005E14C2"/>
    <w:rsid w:val="005F7011"/>
    <w:rsid w:val="00607871"/>
    <w:rsid w:val="00607BA5"/>
    <w:rsid w:val="0061180A"/>
    <w:rsid w:val="00617C8C"/>
    <w:rsid w:val="00620B4B"/>
    <w:rsid w:val="00626EB6"/>
    <w:rsid w:val="00636D3C"/>
    <w:rsid w:val="00655D03"/>
    <w:rsid w:val="00667D8A"/>
    <w:rsid w:val="00683388"/>
    <w:rsid w:val="00683F84"/>
    <w:rsid w:val="00691607"/>
    <w:rsid w:val="00692852"/>
    <w:rsid w:val="00695AF5"/>
    <w:rsid w:val="006A3DD9"/>
    <w:rsid w:val="006A6A81"/>
    <w:rsid w:val="006B1DBC"/>
    <w:rsid w:val="006B2203"/>
    <w:rsid w:val="006D61B1"/>
    <w:rsid w:val="006F180B"/>
    <w:rsid w:val="006F7393"/>
    <w:rsid w:val="00701BA5"/>
    <w:rsid w:val="0070224F"/>
    <w:rsid w:val="0070565B"/>
    <w:rsid w:val="00706BF8"/>
    <w:rsid w:val="007115F7"/>
    <w:rsid w:val="00725EA9"/>
    <w:rsid w:val="00753464"/>
    <w:rsid w:val="00771597"/>
    <w:rsid w:val="00774A10"/>
    <w:rsid w:val="00776CC4"/>
    <w:rsid w:val="00777271"/>
    <w:rsid w:val="007806DD"/>
    <w:rsid w:val="00785689"/>
    <w:rsid w:val="0078580A"/>
    <w:rsid w:val="00791667"/>
    <w:rsid w:val="00792A1E"/>
    <w:rsid w:val="00793A3D"/>
    <w:rsid w:val="0079754B"/>
    <w:rsid w:val="007978C9"/>
    <w:rsid w:val="007A0FCC"/>
    <w:rsid w:val="007A1E6D"/>
    <w:rsid w:val="007A25C3"/>
    <w:rsid w:val="007A2FF5"/>
    <w:rsid w:val="007B0EB2"/>
    <w:rsid w:val="007B3A5A"/>
    <w:rsid w:val="007C51CD"/>
    <w:rsid w:val="007D0CA2"/>
    <w:rsid w:val="007E5500"/>
    <w:rsid w:val="00803BAE"/>
    <w:rsid w:val="00810B6F"/>
    <w:rsid w:val="008202BE"/>
    <w:rsid w:val="00822CE0"/>
    <w:rsid w:val="00830872"/>
    <w:rsid w:val="008336B9"/>
    <w:rsid w:val="00840504"/>
    <w:rsid w:val="008409FC"/>
    <w:rsid w:val="00840DCB"/>
    <w:rsid w:val="00841AB1"/>
    <w:rsid w:val="00842AC3"/>
    <w:rsid w:val="0087095B"/>
    <w:rsid w:val="008A74B8"/>
    <w:rsid w:val="008C4DB6"/>
    <w:rsid w:val="008C68F1"/>
    <w:rsid w:val="008D0CDA"/>
    <w:rsid w:val="008D510B"/>
    <w:rsid w:val="00907911"/>
    <w:rsid w:val="009151BA"/>
    <w:rsid w:val="00915A62"/>
    <w:rsid w:val="00921803"/>
    <w:rsid w:val="00926503"/>
    <w:rsid w:val="00932CDC"/>
    <w:rsid w:val="00936EBF"/>
    <w:rsid w:val="0094002E"/>
    <w:rsid w:val="00943856"/>
    <w:rsid w:val="009726D8"/>
    <w:rsid w:val="009B695A"/>
    <w:rsid w:val="009E303E"/>
    <w:rsid w:val="009F76DB"/>
    <w:rsid w:val="00A0737D"/>
    <w:rsid w:val="00A30D49"/>
    <w:rsid w:val="00A3273F"/>
    <w:rsid w:val="00A32C3B"/>
    <w:rsid w:val="00A34EF2"/>
    <w:rsid w:val="00A434DE"/>
    <w:rsid w:val="00A45F4F"/>
    <w:rsid w:val="00A600A9"/>
    <w:rsid w:val="00AA55B7"/>
    <w:rsid w:val="00AA5B9E"/>
    <w:rsid w:val="00AA7C77"/>
    <w:rsid w:val="00AB2407"/>
    <w:rsid w:val="00AB53DF"/>
    <w:rsid w:val="00AF54EA"/>
    <w:rsid w:val="00AF6BAF"/>
    <w:rsid w:val="00B07E5C"/>
    <w:rsid w:val="00B74692"/>
    <w:rsid w:val="00B811F7"/>
    <w:rsid w:val="00B929DE"/>
    <w:rsid w:val="00BA03A4"/>
    <w:rsid w:val="00BA5DC6"/>
    <w:rsid w:val="00BA6196"/>
    <w:rsid w:val="00BB2381"/>
    <w:rsid w:val="00BB2D14"/>
    <w:rsid w:val="00BC6D8C"/>
    <w:rsid w:val="00C15AD9"/>
    <w:rsid w:val="00C20D9F"/>
    <w:rsid w:val="00C34006"/>
    <w:rsid w:val="00C426B1"/>
    <w:rsid w:val="00C4607B"/>
    <w:rsid w:val="00C52471"/>
    <w:rsid w:val="00C535BE"/>
    <w:rsid w:val="00C56518"/>
    <w:rsid w:val="00C56CC2"/>
    <w:rsid w:val="00C66160"/>
    <w:rsid w:val="00C721AC"/>
    <w:rsid w:val="00C74489"/>
    <w:rsid w:val="00C74637"/>
    <w:rsid w:val="00C815C4"/>
    <w:rsid w:val="00C84CBC"/>
    <w:rsid w:val="00C90D6A"/>
    <w:rsid w:val="00CA247E"/>
    <w:rsid w:val="00CA3D2C"/>
    <w:rsid w:val="00CB1138"/>
    <w:rsid w:val="00CB5357"/>
    <w:rsid w:val="00CC032B"/>
    <w:rsid w:val="00CC68E4"/>
    <w:rsid w:val="00CC72B6"/>
    <w:rsid w:val="00CD3D51"/>
    <w:rsid w:val="00CD5222"/>
    <w:rsid w:val="00CF0F12"/>
    <w:rsid w:val="00CF3C8A"/>
    <w:rsid w:val="00D0218D"/>
    <w:rsid w:val="00D0550A"/>
    <w:rsid w:val="00D138D3"/>
    <w:rsid w:val="00D24121"/>
    <w:rsid w:val="00D24CEF"/>
    <w:rsid w:val="00D25FB5"/>
    <w:rsid w:val="00D43055"/>
    <w:rsid w:val="00D44223"/>
    <w:rsid w:val="00D46375"/>
    <w:rsid w:val="00D545C9"/>
    <w:rsid w:val="00D57BD8"/>
    <w:rsid w:val="00D6004B"/>
    <w:rsid w:val="00D64CA6"/>
    <w:rsid w:val="00D66727"/>
    <w:rsid w:val="00D8281A"/>
    <w:rsid w:val="00D82985"/>
    <w:rsid w:val="00D82D19"/>
    <w:rsid w:val="00D84833"/>
    <w:rsid w:val="00D92118"/>
    <w:rsid w:val="00DA2529"/>
    <w:rsid w:val="00DB130A"/>
    <w:rsid w:val="00DB2EBB"/>
    <w:rsid w:val="00DB59C2"/>
    <w:rsid w:val="00DC10A1"/>
    <w:rsid w:val="00DC238D"/>
    <w:rsid w:val="00DC39BB"/>
    <w:rsid w:val="00DC41E1"/>
    <w:rsid w:val="00DC655F"/>
    <w:rsid w:val="00DD0B59"/>
    <w:rsid w:val="00DD282A"/>
    <w:rsid w:val="00DD7EBD"/>
    <w:rsid w:val="00DE456E"/>
    <w:rsid w:val="00DF62B6"/>
    <w:rsid w:val="00E07225"/>
    <w:rsid w:val="00E07B73"/>
    <w:rsid w:val="00E15F95"/>
    <w:rsid w:val="00E31F48"/>
    <w:rsid w:val="00E5409F"/>
    <w:rsid w:val="00E6654C"/>
    <w:rsid w:val="00E714A0"/>
    <w:rsid w:val="00E97068"/>
    <w:rsid w:val="00EA1120"/>
    <w:rsid w:val="00EB2A8C"/>
    <w:rsid w:val="00EB673D"/>
    <w:rsid w:val="00ED4483"/>
    <w:rsid w:val="00EE416F"/>
    <w:rsid w:val="00EE6488"/>
    <w:rsid w:val="00EF6522"/>
    <w:rsid w:val="00F021FA"/>
    <w:rsid w:val="00F02E50"/>
    <w:rsid w:val="00F13779"/>
    <w:rsid w:val="00F17BF1"/>
    <w:rsid w:val="00F47BD5"/>
    <w:rsid w:val="00F57603"/>
    <w:rsid w:val="00F60BC5"/>
    <w:rsid w:val="00F62E97"/>
    <w:rsid w:val="00F64209"/>
    <w:rsid w:val="00F7453B"/>
    <w:rsid w:val="00F856A2"/>
    <w:rsid w:val="00F91CCB"/>
    <w:rsid w:val="00F93BF5"/>
    <w:rsid w:val="00F97089"/>
    <w:rsid w:val="00FA27AF"/>
    <w:rsid w:val="00FA647B"/>
    <w:rsid w:val="00FA6E05"/>
    <w:rsid w:val="00FC47F6"/>
    <w:rsid w:val="00FF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1C6"/>
    <w:pPr>
      <w:widowControl w:val="0"/>
    </w:pPr>
    <w:rPr>
      <w:snapToGrid w:val="0"/>
      <w:kern w:val="28"/>
      <w:sz w:val="22"/>
    </w:rPr>
  </w:style>
  <w:style w:type="paragraph" w:styleId="Heading1">
    <w:name w:val="heading 1"/>
    <w:basedOn w:val="Normal"/>
    <w:next w:val="ParaNum"/>
    <w:qFormat/>
    <w:rsid w:val="001D31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31C6"/>
    <w:pPr>
      <w:keepNext/>
      <w:numPr>
        <w:ilvl w:val="1"/>
        <w:numId w:val="3"/>
      </w:numPr>
      <w:spacing w:after="120"/>
      <w:outlineLvl w:val="1"/>
    </w:pPr>
    <w:rPr>
      <w:b/>
    </w:rPr>
  </w:style>
  <w:style w:type="paragraph" w:styleId="Heading3">
    <w:name w:val="heading 3"/>
    <w:basedOn w:val="Normal"/>
    <w:next w:val="ParaNum"/>
    <w:qFormat/>
    <w:rsid w:val="001D31C6"/>
    <w:pPr>
      <w:keepNext/>
      <w:numPr>
        <w:ilvl w:val="2"/>
        <w:numId w:val="3"/>
      </w:numPr>
      <w:tabs>
        <w:tab w:val="left" w:pos="2160"/>
      </w:tabs>
      <w:spacing w:after="120"/>
      <w:outlineLvl w:val="2"/>
    </w:pPr>
    <w:rPr>
      <w:b/>
    </w:rPr>
  </w:style>
  <w:style w:type="paragraph" w:styleId="Heading4">
    <w:name w:val="heading 4"/>
    <w:basedOn w:val="Normal"/>
    <w:next w:val="ParaNum"/>
    <w:qFormat/>
    <w:rsid w:val="001D31C6"/>
    <w:pPr>
      <w:keepNext/>
      <w:numPr>
        <w:ilvl w:val="3"/>
        <w:numId w:val="3"/>
      </w:numPr>
      <w:tabs>
        <w:tab w:val="left" w:pos="2880"/>
      </w:tabs>
      <w:spacing w:after="120"/>
      <w:outlineLvl w:val="3"/>
    </w:pPr>
    <w:rPr>
      <w:b/>
    </w:rPr>
  </w:style>
  <w:style w:type="paragraph" w:styleId="Heading5">
    <w:name w:val="heading 5"/>
    <w:basedOn w:val="Normal"/>
    <w:next w:val="ParaNum"/>
    <w:qFormat/>
    <w:rsid w:val="001D31C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31C6"/>
    <w:pPr>
      <w:numPr>
        <w:ilvl w:val="5"/>
        <w:numId w:val="3"/>
      </w:numPr>
      <w:tabs>
        <w:tab w:val="left" w:pos="4320"/>
      </w:tabs>
      <w:spacing w:after="120"/>
      <w:outlineLvl w:val="5"/>
    </w:pPr>
    <w:rPr>
      <w:b/>
    </w:rPr>
  </w:style>
  <w:style w:type="paragraph" w:styleId="Heading7">
    <w:name w:val="heading 7"/>
    <w:basedOn w:val="Normal"/>
    <w:next w:val="ParaNum"/>
    <w:qFormat/>
    <w:rsid w:val="001D31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31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31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D31C6"/>
    <w:pPr>
      <w:numPr>
        <w:numId w:val="2"/>
      </w:numPr>
      <w:spacing w:after="120"/>
    </w:pPr>
  </w:style>
  <w:style w:type="paragraph" w:styleId="EndnoteText">
    <w:name w:val="endnote text"/>
    <w:basedOn w:val="Normal"/>
    <w:semiHidden/>
    <w:rsid w:val="001D31C6"/>
    <w:rPr>
      <w:sz w:val="20"/>
    </w:rPr>
  </w:style>
  <w:style w:type="character" w:styleId="EndnoteReference">
    <w:name w:val="endnote reference"/>
    <w:semiHidden/>
    <w:rsid w:val="001D31C6"/>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1D31C6"/>
    <w:pPr>
      <w:spacing w:after="120"/>
    </w:pPr>
  </w:style>
  <w:style w:type="character" w:styleId="FootnoteReference">
    <w:name w:val="footnote reference"/>
    <w:aliases w:val="Style 124,Appel note de bas de p,Style 12,(NECG) Footnote Reference,o,fr,Style 3,Style 17,FR,Style 13,Footnote Reference/,Style 6,Style 4"/>
    <w:rsid w:val="001D31C6"/>
    <w:rPr>
      <w:rFonts w:ascii="Times New Roman" w:hAnsi="Times New Roman"/>
      <w:dstrike w:val="0"/>
      <w:color w:val="auto"/>
      <w:sz w:val="20"/>
      <w:vertAlign w:val="superscript"/>
    </w:rPr>
  </w:style>
  <w:style w:type="paragraph" w:styleId="TOC1">
    <w:name w:val="toc 1"/>
    <w:basedOn w:val="Normal"/>
    <w:next w:val="Normal"/>
    <w:semiHidden/>
    <w:rsid w:val="001D31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31C6"/>
    <w:pPr>
      <w:tabs>
        <w:tab w:val="left" w:pos="720"/>
        <w:tab w:val="right" w:leader="dot" w:pos="9360"/>
      </w:tabs>
      <w:suppressAutoHyphens/>
      <w:ind w:left="720" w:right="720" w:hanging="360"/>
    </w:pPr>
    <w:rPr>
      <w:noProof/>
    </w:rPr>
  </w:style>
  <w:style w:type="paragraph" w:styleId="TOC3">
    <w:name w:val="toc 3"/>
    <w:basedOn w:val="Normal"/>
    <w:next w:val="Normal"/>
    <w:semiHidden/>
    <w:rsid w:val="001D31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31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31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31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31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31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31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31C6"/>
    <w:pPr>
      <w:tabs>
        <w:tab w:val="right" w:pos="9360"/>
      </w:tabs>
      <w:suppressAutoHyphens/>
    </w:pPr>
  </w:style>
  <w:style w:type="character" w:customStyle="1" w:styleId="EquationCaption">
    <w:name w:val="_Equation Caption"/>
    <w:rsid w:val="001D31C6"/>
  </w:style>
  <w:style w:type="paragraph" w:styleId="Header">
    <w:name w:val="header"/>
    <w:basedOn w:val="Normal"/>
    <w:autoRedefine/>
    <w:rsid w:val="001D31C6"/>
    <w:pPr>
      <w:tabs>
        <w:tab w:val="center" w:pos="4680"/>
        <w:tab w:val="right" w:pos="9360"/>
      </w:tabs>
    </w:pPr>
    <w:rPr>
      <w:b/>
    </w:rPr>
  </w:style>
  <w:style w:type="paragraph" w:styleId="Footer">
    <w:name w:val="footer"/>
    <w:basedOn w:val="Normal"/>
    <w:rsid w:val="001D31C6"/>
    <w:pPr>
      <w:tabs>
        <w:tab w:val="center" w:pos="4320"/>
        <w:tab w:val="right" w:pos="8640"/>
      </w:tabs>
    </w:pPr>
  </w:style>
  <w:style w:type="character" w:styleId="PageNumber">
    <w:name w:val="page number"/>
    <w:basedOn w:val="DefaultParagraphFont"/>
    <w:rsid w:val="001D31C6"/>
  </w:style>
  <w:style w:type="paragraph" w:styleId="BlockText">
    <w:name w:val="Block Text"/>
    <w:basedOn w:val="Normal"/>
    <w:rsid w:val="001D31C6"/>
    <w:pPr>
      <w:spacing w:after="240"/>
      <w:ind w:left="1440" w:right="1440"/>
    </w:pPr>
  </w:style>
  <w:style w:type="paragraph" w:customStyle="1" w:styleId="Paratitle">
    <w:name w:val="Para title"/>
    <w:basedOn w:val="Normal"/>
    <w:rsid w:val="001D31C6"/>
    <w:pPr>
      <w:tabs>
        <w:tab w:val="center" w:pos="9270"/>
      </w:tabs>
      <w:spacing w:after="240"/>
    </w:pPr>
    <w:rPr>
      <w:spacing w:val="-2"/>
    </w:rPr>
  </w:style>
  <w:style w:type="paragraph" w:customStyle="1" w:styleId="Bullet">
    <w:name w:val="Bullet"/>
    <w:basedOn w:val="Normal"/>
    <w:rsid w:val="001D31C6"/>
    <w:pPr>
      <w:tabs>
        <w:tab w:val="left" w:pos="2160"/>
      </w:tabs>
      <w:spacing w:after="220"/>
      <w:ind w:left="2160" w:hanging="720"/>
    </w:pPr>
  </w:style>
  <w:style w:type="paragraph" w:customStyle="1" w:styleId="TableFormat">
    <w:name w:val="TableFormat"/>
    <w:basedOn w:val="Bullet"/>
    <w:rsid w:val="001D31C6"/>
    <w:pPr>
      <w:tabs>
        <w:tab w:val="clear" w:pos="2160"/>
        <w:tab w:val="left" w:pos="5040"/>
      </w:tabs>
      <w:ind w:left="5040" w:hanging="3600"/>
    </w:pPr>
  </w:style>
  <w:style w:type="paragraph" w:customStyle="1" w:styleId="TOCTitle">
    <w:name w:val="TOC Title"/>
    <w:basedOn w:val="Normal"/>
    <w:rsid w:val="001D31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31C6"/>
    <w:pPr>
      <w:jc w:val="center"/>
    </w:pPr>
    <w:rPr>
      <w:rFonts w:ascii="Times New Roman Bold" w:hAnsi="Times New Roman Bold"/>
      <w:b/>
      <w:bCs/>
      <w:caps/>
      <w:szCs w:val="22"/>
    </w:rPr>
  </w:style>
  <w:style w:type="character" w:styleId="Hyperlink">
    <w:name w:val="Hyperlink"/>
    <w:rsid w:val="001D31C6"/>
    <w:rPr>
      <w:color w:val="0000FF"/>
      <w:u w:val="single"/>
    </w:rPr>
  </w:style>
  <w:style w:type="paragraph" w:customStyle="1" w:styleId="paranum0">
    <w:name w:val="paranum"/>
    <w:basedOn w:val="Normal"/>
    <w:rsid w:val="00BB2381"/>
    <w:pPr>
      <w:widowControl/>
    </w:pPr>
    <w:rPr>
      <w:snapToGrid/>
      <w:kern w:val="0"/>
      <w:sz w:val="24"/>
      <w:szCs w:val="24"/>
    </w:rPr>
  </w:style>
  <w:style w:type="character" w:styleId="Strong">
    <w:name w:val="Strong"/>
    <w:basedOn w:val="DefaultParagraphFont"/>
    <w:uiPriority w:val="22"/>
    <w:qFormat/>
    <w:rsid w:val="00BB2381"/>
    <w:rPr>
      <w:b/>
      <w:bCs/>
    </w:rPr>
  </w:style>
  <w:style w:type="character" w:customStyle="1" w:styleId="ParaNumChar">
    <w:name w:val="ParaNum Char"/>
    <w:link w:val="ParaNum"/>
    <w:rsid w:val="008409FC"/>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667D8A"/>
  </w:style>
  <w:style w:type="paragraph" w:styleId="BalloonText">
    <w:name w:val="Balloon Text"/>
    <w:basedOn w:val="Normal"/>
    <w:link w:val="BalloonTextChar"/>
    <w:rsid w:val="00E07B73"/>
    <w:rPr>
      <w:rFonts w:ascii="Tahoma" w:hAnsi="Tahoma" w:cs="Tahoma"/>
      <w:sz w:val="16"/>
      <w:szCs w:val="16"/>
    </w:rPr>
  </w:style>
  <w:style w:type="character" w:customStyle="1" w:styleId="BalloonTextChar">
    <w:name w:val="Balloon Text Char"/>
    <w:basedOn w:val="DefaultParagraphFont"/>
    <w:link w:val="BalloonText"/>
    <w:rsid w:val="00E07B73"/>
    <w:rPr>
      <w:rFonts w:ascii="Tahoma" w:hAnsi="Tahoma" w:cs="Tahoma"/>
      <w:snapToGrid w:val="0"/>
      <w:kern w:val="28"/>
      <w:sz w:val="16"/>
      <w:szCs w:val="16"/>
    </w:rPr>
  </w:style>
  <w:style w:type="character" w:styleId="CommentReference">
    <w:name w:val="annotation reference"/>
    <w:basedOn w:val="DefaultParagraphFont"/>
    <w:rsid w:val="00E15F95"/>
    <w:rPr>
      <w:sz w:val="16"/>
      <w:szCs w:val="16"/>
    </w:rPr>
  </w:style>
  <w:style w:type="paragraph" w:styleId="CommentText">
    <w:name w:val="annotation text"/>
    <w:basedOn w:val="Normal"/>
    <w:link w:val="CommentTextChar"/>
    <w:rsid w:val="00E15F95"/>
    <w:rPr>
      <w:sz w:val="20"/>
    </w:rPr>
  </w:style>
  <w:style w:type="character" w:customStyle="1" w:styleId="CommentTextChar">
    <w:name w:val="Comment Text Char"/>
    <w:basedOn w:val="DefaultParagraphFont"/>
    <w:link w:val="CommentText"/>
    <w:rsid w:val="00E15F95"/>
    <w:rPr>
      <w:snapToGrid w:val="0"/>
      <w:kern w:val="28"/>
    </w:rPr>
  </w:style>
  <w:style w:type="paragraph" w:styleId="CommentSubject">
    <w:name w:val="annotation subject"/>
    <w:basedOn w:val="CommentText"/>
    <w:next w:val="CommentText"/>
    <w:link w:val="CommentSubjectChar"/>
    <w:rsid w:val="00E15F95"/>
    <w:rPr>
      <w:b/>
      <w:bCs/>
    </w:rPr>
  </w:style>
  <w:style w:type="character" w:customStyle="1" w:styleId="CommentSubjectChar">
    <w:name w:val="Comment Subject Char"/>
    <w:basedOn w:val="CommentTextChar"/>
    <w:link w:val="CommentSubject"/>
    <w:rsid w:val="00E15F9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1C6"/>
    <w:pPr>
      <w:widowControl w:val="0"/>
    </w:pPr>
    <w:rPr>
      <w:snapToGrid w:val="0"/>
      <w:kern w:val="28"/>
      <w:sz w:val="22"/>
    </w:rPr>
  </w:style>
  <w:style w:type="paragraph" w:styleId="Heading1">
    <w:name w:val="heading 1"/>
    <w:basedOn w:val="Normal"/>
    <w:next w:val="ParaNum"/>
    <w:qFormat/>
    <w:rsid w:val="001D31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31C6"/>
    <w:pPr>
      <w:keepNext/>
      <w:numPr>
        <w:ilvl w:val="1"/>
        <w:numId w:val="3"/>
      </w:numPr>
      <w:spacing w:after="120"/>
      <w:outlineLvl w:val="1"/>
    </w:pPr>
    <w:rPr>
      <w:b/>
    </w:rPr>
  </w:style>
  <w:style w:type="paragraph" w:styleId="Heading3">
    <w:name w:val="heading 3"/>
    <w:basedOn w:val="Normal"/>
    <w:next w:val="ParaNum"/>
    <w:qFormat/>
    <w:rsid w:val="001D31C6"/>
    <w:pPr>
      <w:keepNext/>
      <w:numPr>
        <w:ilvl w:val="2"/>
        <w:numId w:val="3"/>
      </w:numPr>
      <w:tabs>
        <w:tab w:val="left" w:pos="2160"/>
      </w:tabs>
      <w:spacing w:after="120"/>
      <w:outlineLvl w:val="2"/>
    </w:pPr>
    <w:rPr>
      <w:b/>
    </w:rPr>
  </w:style>
  <w:style w:type="paragraph" w:styleId="Heading4">
    <w:name w:val="heading 4"/>
    <w:basedOn w:val="Normal"/>
    <w:next w:val="ParaNum"/>
    <w:qFormat/>
    <w:rsid w:val="001D31C6"/>
    <w:pPr>
      <w:keepNext/>
      <w:numPr>
        <w:ilvl w:val="3"/>
        <w:numId w:val="3"/>
      </w:numPr>
      <w:tabs>
        <w:tab w:val="left" w:pos="2880"/>
      </w:tabs>
      <w:spacing w:after="120"/>
      <w:outlineLvl w:val="3"/>
    </w:pPr>
    <w:rPr>
      <w:b/>
    </w:rPr>
  </w:style>
  <w:style w:type="paragraph" w:styleId="Heading5">
    <w:name w:val="heading 5"/>
    <w:basedOn w:val="Normal"/>
    <w:next w:val="ParaNum"/>
    <w:qFormat/>
    <w:rsid w:val="001D31C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31C6"/>
    <w:pPr>
      <w:numPr>
        <w:ilvl w:val="5"/>
        <w:numId w:val="3"/>
      </w:numPr>
      <w:tabs>
        <w:tab w:val="left" w:pos="4320"/>
      </w:tabs>
      <w:spacing w:after="120"/>
      <w:outlineLvl w:val="5"/>
    </w:pPr>
    <w:rPr>
      <w:b/>
    </w:rPr>
  </w:style>
  <w:style w:type="paragraph" w:styleId="Heading7">
    <w:name w:val="heading 7"/>
    <w:basedOn w:val="Normal"/>
    <w:next w:val="ParaNum"/>
    <w:qFormat/>
    <w:rsid w:val="001D31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31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31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D31C6"/>
    <w:pPr>
      <w:numPr>
        <w:numId w:val="2"/>
      </w:numPr>
      <w:spacing w:after="120"/>
    </w:pPr>
  </w:style>
  <w:style w:type="paragraph" w:styleId="EndnoteText">
    <w:name w:val="endnote text"/>
    <w:basedOn w:val="Normal"/>
    <w:semiHidden/>
    <w:rsid w:val="001D31C6"/>
    <w:rPr>
      <w:sz w:val="20"/>
    </w:rPr>
  </w:style>
  <w:style w:type="character" w:styleId="EndnoteReference">
    <w:name w:val="endnote reference"/>
    <w:semiHidden/>
    <w:rsid w:val="001D31C6"/>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1D31C6"/>
    <w:pPr>
      <w:spacing w:after="120"/>
    </w:pPr>
  </w:style>
  <w:style w:type="character" w:styleId="FootnoteReference">
    <w:name w:val="footnote reference"/>
    <w:aliases w:val="Style 124,Appel note de bas de p,Style 12,(NECG) Footnote Reference,o,fr,Style 3,Style 17,FR,Style 13,Footnote Reference/,Style 6,Style 4"/>
    <w:rsid w:val="001D31C6"/>
    <w:rPr>
      <w:rFonts w:ascii="Times New Roman" w:hAnsi="Times New Roman"/>
      <w:dstrike w:val="0"/>
      <w:color w:val="auto"/>
      <w:sz w:val="20"/>
      <w:vertAlign w:val="superscript"/>
    </w:rPr>
  </w:style>
  <w:style w:type="paragraph" w:styleId="TOC1">
    <w:name w:val="toc 1"/>
    <w:basedOn w:val="Normal"/>
    <w:next w:val="Normal"/>
    <w:semiHidden/>
    <w:rsid w:val="001D31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31C6"/>
    <w:pPr>
      <w:tabs>
        <w:tab w:val="left" w:pos="720"/>
        <w:tab w:val="right" w:leader="dot" w:pos="9360"/>
      </w:tabs>
      <w:suppressAutoHyphens/>
      <w:ind w:left="720" w:right="720" w:hanging="360"/>
    </w:pPr>
    <w:rPr>
      <w:noProof/>
    </w:rPr>
  </w:style>
  <w:style w:type="paragraph" w:styleId="TOC3">
    <w:name w:val="toc 3"/>
    <w:basedOn w:val="Normal"/>
    <w:next w:val="Normal"/>
    <w:semiHidden/>
    <w:rsid w:val="001D31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31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31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31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31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31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31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31C6"/>
    <w:pPr>
      <w:tabs>
        <w:tab w:val="right" w:pos="9360"/>
      </w:tabs>
      <w:suppressAutoHyphens/>
    </w:pPr>
  </w:style>
  <w:style w:type="character" w:customStyle="1" w:styleId="EquationCaption">
    <w:name w:val="_Equation Caption"/>
    <w:rsid w:val="001D31C6"/>
  </w:style>
  <w:style w:type="paragraph" w:styleId="Header">
    <w:name w:val="header"/>
    <w:basedOn w:val="Normal"/>
    <w:autoRedefine/>
    <w:rsid w:val="001D31C6"/>
    <w:pPr>
      <w:tabs>
        <w:tab w:val="center" w:pos="4680"/>
        <w:tab w:val="right" w:pos="9360"/>
      </w:tabs>
    </w:pPr>
    <w:rPr>
      <w:b/>
    </w:rPr>
  </w:style>
  <w:style w:type="paragraph" w:styleId="Footer">
    <w:name w:val="footer"/>
    <w:basedOn w:val="Normal"/>
    <w:rsid w:val="001D31C6"/>
    <w:pPr>
      <w:tabs>
        <w:tab w:val="center" w:pos="4320"/>
        <w:tab w:val="right" w:pos="8640"/>
      </w:tabs>
    </w:pPr>
  </w:style>
  <w:style w:type="character" w:styleId="PageNumber">
    <w:name w:val="page number"/>
    <w:basedOn w:val="DefaultParagraphFont"/>
    <w:rsid w:val="001D31C6"/>
  </w:style>
  <w:style w:type="paragraph" w:styleId="BlockText">
    <w:name w:val="Block Text"/>
    <w:basedOn w:val="Normal"/>
    <w:rsid w:val="001D31C6"/>
    <w:pPr>
      <w:spacing w:after="240"/>
      <w:ind w:left="1440" w:right="1440"/>
    </w:pPr>
  </w:style>
  <w:style w:type="paragraph" w:customStyle="1" w:styleId="Paratitle">
    <w:name w:val="Para title"/>
    <w:basedOn w:val="Normal"/>
    <w:rsid w:val="001D31C6"/>
    <w:pPr>
      <w:tabs>
        <w:tab w:val="center" w:pos="9270"/>
      </w:tabs>
      <w:spacing w:after="240"/>
    </w:pPr>
    <w:rPr>
      <w:spacing w:val="-2"/>
    </w:rPr>
  </w:style>
  <w:style w:type="paragraph" w:customStyle="1" w:styleId="Bullet">
    <w:name w:val="Bullet"/>
    <w:basedOn w:val="Normal"/>
    <w:rsid w:val="001D31C6"/>
    <w:pPr>
      <w:tabs>
        <w:tab w:val="left" w:pos="2160"/>
      </w:tabs>
      <w:spacing w:after="220"/>
      <w:ind w:left="2160" w:hanging="720"/>
    </w:pPr>
  </w:style>
  <w:style w:type="paragraph" w:customStyle="1" w:styleId="TableFormat">
    <w:name w:val="TableFormat"/>
    <w:basedOn w:val="Bullet"/>
    <w:rsid w:val="001D31C6"/>
    <w:pPr>
      <w:tabs>
        <w:tab w:val="clear" w:pos="2160"/>
        <w:tab w:val="left" w:pos="5040"/>
      </w:tabs>
      <w:ind w:left="5040" w:hanging="3600"/>
    </w:pPr>
  </w:style>
  <w:style w:type="paragraph" w:customStyle="1" w:styleId="TOCTitle">
    <w:name w:val="TOC Title"/>
    <w:basedOn w:val="Normal"/>
    <w:rsid w:val="001D31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31C6"/>
    <w:pPr>
      <w:jc w:val="center"/>
    </w:pPr>
    <w:rPr>
      <w:rFonts w:ascii="Times New Roman Bold" w:hAnsi="Times New Roman Bold"/>
      <w:b/>
      <w:bCs/>
      <w:caps/>
      <w:szCs w:val="22"/>
    </w:rPr>
  </w:style>
  <w:style w:type="character" w:styleId="Hyperlink">
    <w:name w:val="Hyperlink"/>
    <w:rsid w:val="001D31C6"/>
    <w:rPr>
      <w:color w:val="0000FF"/>
      <w:u w:val="single"/>
    </w:rPr>
  </w:style>
  <w:style w:type="paragraph" w:customStyle="1" w:styleId="paranum0">
    <w:name w:val="paranum"/>
    <w:basedOn w:val="Normal"/>
    <w:rsid w:val="00BB2381"/>
    <w:pPr>
      <w:widowControl/>
    </w:pPr>
    <w:rPr>
      <w:snapToGrid/>
      <w:kern w:val="0"/>
      <w:sz w:val="24"/>
      <w:szCs w:val="24"/>
    </w:rPr>
  </w:style>
  <w:style w:type="character" w:styleId="Strong">
    <w:name w:val="Strong"/>
    <w:basedOn w:val="DefaultParagraphFont"/>
    <w:uiPriority w:val="22"/>
    <w:qFormat/>
    <w:rsid w:val="00BB2381"/>
    <w:rPr>
      <w:b/>
      <w:bCs/>
    </w:rPr>
  </w:style>
  <w:style w:type="character" w:customStyle="1" w:styleId="ParaNumChar">
    <w:name w:val="ParaNum Char"/>
    <w:link w:val="ParaNum"/>
    <w:rsid w:val="008409FC"/>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667D8A"/>
  </w:style>
  <w:style w:type="paragraph" w:styleId="BalloonText">
    <w:name w:val="Balloon Text"/>
    <w:basedOn w:val="Normal"/>
    <w:link w:val="BalloonTextChar"/>
    <w:rsid w:val="00E07B73"/>
    <w:rPr>
      <w:rFonts w:ascii="Tahoma" w:hAnsi="Tahoma" w:cs="Tahoma"/>
      <w:sz w:val="16"/>
      <w:szCs w:val="16"/>
    </w:rPr>
  </w:style>
  <w:style w:type="character" w:customStyle="1" w:styleId="BalloonTextChar">
    <w:name w:val="Balloon Text Char"/>
    <w:basedOn w:val="DefaultParagraphFont"/>
    <w:link w:val="BalloonText"/>
    <w:rsid w:val="00E07B73"/>
    <w:rPr>
      <w:rFonts w:ascii="Tahoma" w:hAnsi="Tahoma" w:cs="Tahoma"/>
      <w:snapToGrid w:val="0"/>
      <w:kern w:val="28"/>
      <w:sz w:val="16"/>
      <w:szCs w:val="16"/>
    </w:rPr>
  </w:style>
  <w:style w:type="character" w:styleId="CommentReference">
    <w:name w:val="annotation reference"/>
    <w:basedOn w:val="DefaultParagraphFont"/>
    <w:rsid w:val="00E15F95"/>
    <w:rPr>
      <w:sz w:val="16"/>
      <w:szCs w:val="16"/>
    </w:rPr>
  </w:style>
  <w:style w:type="paragraph" w:styleId="CommentText">
    <w:name w:val="annotation text"/>
    <w:basedOn w:val="Normal"/>
    <w:link w:val="CommentTextChar"/>
    <w:rsid w:val="00E15F95"/>
    <w:rPr>
      <w:sz w:val="20"/>
    </w:rPr>
  </w:style>
  <w:style w:type="character" w:customStyle="1" w:styleId="CommentTextChar">
    <w:name w:val="Comment Text Char"/>
    <w:basedOn w:val="DefaultParagraphFont"/>
    <w:link w:val="CommentText"/>
    <w:rsid w:val="00E15F95"/>
    <w:rPr>
      <w:snapToGrid w:val="0"/>
      <w:kern w:val="28"/>
    </w:rPr>
  </w:style>
  <w:style w:type="paragraph" w:styleId="CommentSubject">
    <w:name w:val="annotation subject"/>
    <w:basedOn w:val="CommentText"/>
    <w:next w:val="CommentText"/>
    <w:link w:val="CommentSubjectChar"/>
    <w:rsid w:val="00E15F95"/>
    <w:rPr>
      <w:b/>
      <w:bCs/>
    </w:rPr>
  </w:style>
  <w:style w:type="character" w:customStyle="1" w:styleId="CommentSubjectChar">
    <w:name w:val="Comment Subject Char"/>
    <w:basedOn w:val="CommentTextChar"/>
    <w:link w:val="CommentSubject"/>
    <w:rsid w:val="00E15F9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612">
      <w:bodyDiv w:val="1"/>
      <w:marLeft w:val="0"/>
      <w:marRight w:val="0"/>
      <w:marTop w:val="0"/>
      <w:marBottom w:val="0"/>
      <w:divBdr>
        <w:top w:val="none" w:sz="0" w:space="0" w:color="auto"/>
        <w:left w:val="none" w:sz="0" w:space="0" w:color="auto"/>
        <w:bottom w:val="none" w:sz="0" w:space="0" w:color="auto"/>
        <w:right w:val="none" w:sz="0" w:space="0" w:color="auto"/>
      </w:divBdr>
      <w:divsChild>
        <w:div w:id="1779711307">
          <w:marLeft w:val="0"/>
          <w:marRight w:val="0"/>
          <w:marTop w:val="0"/>
          <w:marBottom w:val="0"/>
          <w:divBdr>
            <w:top w:val="none" w:sz="0" w:space="0" w:color="auto"/>
            <w:left w:val="none" w:sz="0" w:space="0" w:color="auto"/>
            <w:bottom w:val="none" w:sz="0" w:space="0" w:color="auto"/>
            <w:right w:val="none" w:sz="0" w:space="0" w:color="auto"/>
          </w:divBdr>
          <w:divsChild>
            <w:div w:id="2108965608">
              <w:marLeft w:val="0"/>
              <w:marRight w:val="0"/>
              <w:marTop w:val="0"/>
              <w:marBottom w:val="0"/>
              <w:divBdr>
                <w:top w:val="none" w:sz="0" w:space="0" w:color="auto"/>
                <w:left w:val="none" w:sz="0" w:space="0" w:color="auto"/>
                <w:bottom w:val="none" w:sz="0" w:space="0" w:color="auto"/>
                <w:right w:val="none" w:sz="0" w:space="0" w:color="auto"/>
              </w:divBdr>
              <w:divsChild>
                <w:div w:id="1906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9864">
      <w:bodyDiv w:val="1"/>
      <w:marLeft w:val="0"/>
      <w:marRight w:val="0"/>
      <w:marTop w:val="30"/>
      <w:marBottom w:val="750"/>
      <w:divBdr>
        <w:top w:val="none" w:sz="0" w:space="0" w:color="auto"/>
        <w:left w:val="none" w:sz="0" w:space="0" w:color="auto"/>
        <w:bottom w:val="none" w:sz="0" w:space="0" w:color="auto"/>
        <w:right w:val="none" w:sz="0" w:space="0" w:color="auto"/>
      </w:divBdr>
      <w:divsChild>
        <w:div w:id="156444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d\AppData\Roaming\Microsoft\Template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596</Words>
  <Characters>3175</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2014-05-06T19:44:00Z</cp:lastPrinted>
  <dcterms:created xsi:type="dcterms:W3CDTF">2014-05-06T19:51:00Z</dcterms:created>
  <dcterms:modified xsi:type="dcterms:W3CDTF">2014-05-06T19:51:00Z</dcterms:modified>
  <cp:category> </cp:category>
  <cp:contentStatus> </cp:contentStatus>
</cp:coreProperties>
</file>