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DB" w:rsidRPr="009B161C" w:rsidRDefault="006C40DB" w:rsidP="006C40DB">
      <w:pPr>
        <w:spacing w:after="120" w:line="240" w:lineRule="auto"/>
        <w:jc w:val="center"/>
        <w:rPr>
          <w:rFonts w:cs="Times New Roman"/>
          <w:b/>
          <w:szCs w:val="24"/>
        </w:rPr>
      </w:pPr>
      <w:bookmarkStart w:id="0" w:name="_GoBack"/>
      <w:bookmarkEnd w:id="0"/>
      <w:r w:rsidRPr="009B161C">
        <w:rPr>
          <w:rFonts w:cs="Times New Roman"/>
          <w:b/>
          <w:szCs w:val="24"/>
        </w:rPr>
        <w:t>STATEMENT OF</w:t>
      </w:r>
      <w:r>
        <w:rPr>
          <w:rFonts w:cs="Times New Roman"/>
          <w:b/>
          <w:szCs w:val="24"/>
        </w:rPr>
        <w:br/>
        <w:t xml:space="preserve">COMMISSIONER </w:t>
      </w:r>
      <w:r w:rsidRPr="009B161C">
        <w:rPr>
          <w:rFonts w:cs="Times New Roman"/>
          <w:b/>
          <w:szCs w:val="24"/>
        </w:rPr>
        <w:t>AJIT PAI</w:t>
      </w:r>
    </w:p>
    <w:p w:rsidR="006C40DB" w:rsidRPr="009B161C" w:rsidRDefault="006C40DB" w:rsidP="006C40DB">
      <w:pPr>
        <w:spacing w:after="120" w:line="240" w:lineRule="auto"/>
        <w:ind w:left="720" w:hanging="720"/>
        <w:rPr>
          <w:rFonts w:cs="Times New Roman"/>
          <w:szCs w:val="24"/>
        </w:rPr>
      </w:pPr>
      <w:r w:rsidRPr="009B161C">
        <w:rPr>
          <w:rFonts w:cs="Times New Roman"/>
          <w:szCs w:val="24"/>
        </w:rPr>
        <w:t>Re:</w:t>
      </w:r>
      <w:r w:rsidRPr="009B161C">
        <w:rPr>
          <w:rFonts w:cs="Times New Roman"/>
          <w:szCs w:val="24"/>
        </w:rPr>
        <w:tab/>
      </w:r>
      <w:r w:rsidRPr="009B161C">
        <w:rPr>
          <w:rFonts w:cs="Times New Roman"/>
          <w:i/>
          <w:szCs w:val="24"/>
        </w:rPr>
        <w:t>Revision of Part 15 of the Commission’s Rules to Permit Unlicensed National Information Infrastructure (U-NII) Devices in the 5 GHz band</w:t>
      </w:r>
      <w:r w:rsidR="005D1A34">
        <w:rPr>
          <w:rFonts w:cs="Times New Roman"/>
          <w:szCs w:val="24"/>
        </w:rPr>
        <w:t>, ET Docket No. 13-49</w:t>
      </w:r>
      <w:r>
        <w:rPr>
          <w:rFonts w:cs="Times New Roman"/>
          <w:szCs w:val="24"/>
        </w:rPr>
        <w:t>.</w:t>
      </w:r>
    </w:p>
    <w:p w:rsid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t xml:space="preserve">Flexible unlicensed spectrum use was one of this country’s great innovations in the 1980s.  The Commission expanded several so-called “junk” bands to permit additional unlicensed uses and streamlined the Part 15 rules accordingly.  Unlicensed </w:t>
      </w:r>
      <w:r w:rsidRPr="009B161C">
        <w:rPr>
          <w:rFonts w:cs="Times New Roman"/>
          <w:szCs w:val="24"/>
        </w:rPr>
        <w:t xml:space="preserve">spectrum in the 2.4 GHz and 5 GHz bands </w:t>
      </w:r>
      <w:r>
        <w:rPr>
          <w:rFonts w:cs="Times New Roman"/>
          <w:szCs w:val="24"/>
        </w:rPr>
        <w:t xml:space="preserve">is now </w:t>
      </w:r>
      <w:r w:rsidRPr="009B161C">
        <w:rPr>
          <w:rFonts w:cs="Times New Roman"/>
          <w:szCs w:val="24"/>
        </w:rPr>
        <w:t xml:space="preserve">some of the most valuable </w:t>
      </w:r>
      <w:r>
        <w:rPr>
          <w:rFonts w:cs="Times New Roman"/>
          <w:szCs w:val="24"/>
        </w:rPr>
        <w:t xml:space="preserve">spectrum </w:t>
      </w:r>
      <w:r w:rsidRPr="009B161C">
        <w:rPr>
          <w:rFonts w:cs="Times New Roman"/>
          <w:szCs w:val="24"/>
        </w:rPr>
        <w:t xml:space="preserve">in the </w:t>
      </w:r>
      <w:r>
        <w:rPr>
          <w:rFonts w:cs="Times New Roman"/>
          <w:szCs w:val="24"/>
        </w:rPr>
        <w:t xml:space="preserve">world </w:t>
      </w:r>
      <w:r w:rsidRPr="009B161C">
        <w:rPr>
          <w:rFonts w:cs="Times New Roman"/>
          <w:szCs w:val="24"/>
        </w:rPr>
        <w:t>for broadband</w:t>
      </w:r>
      <w:r>
        <w:rPr>
          <w:rFonts w:cs="Times New Roman"/>
          <w:szCs w:val="24"/>
        </w:rPr>
        <w:t xml:space="preserve">.  And consumers are the ultimate beneficiaries of unlicensed-use technologies such as Wi-Fi and Bluetooth.  Millions of Americans rely on Wi-Fi every day to connect their laptops, their smartphones, and their tablets to the Internet.  And in the words of </w:t>
      </w:r>
      <w:r w:rsidRPr="00624B3A">
        <w:rPr>
          <w:rFonts w:cs="Times New Roman"/>
          <w:i/>
          <w:szCs w:val="24"/>
        </w:rPr>
        <w:t>The</w:t>
      </w:r>
      <w:r>
        <w:rPr>
          <w:rFonts w:cs="Times New Roman"/>
          <w:szCs w:val="24"/>
        </w:rPr>
        <w:t xml:space="preserve"> </w:t>
      </w:r>
      <w:r>
        <w:rPr>
          <w:rFonts w:cs="Times New Roman"/>
          <w:i/>
          <w:szCs w:val="24"/>
        </w:rPr>
        <w:t>Big Bang Theory</w:t>
      </w:r>
      <w:r>
        <w:rPr>
          <w:rFonts w:cs="Times New Roman"/>
          <w:szCs w:val="24"/>
        </w:rPr>
        <w:t>’s Sheldon Cooper:  “Everything is better with Bluetooth.”</w:t>
      </w:r>
    </w:p>
    <w:p w:rsid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t xml:space="preserve">What excites me about today’s Notice of Proposed Rulemaking is that we are building on these past successes and using spectrum ideally suited for unlicensed use.  The short-range propagation characteristics of 5 GHz spectrum enable localized reuse with minimal risk of interference.  The next-generation Wi-Fi standard, IEEE 802.11ac, will be finalized soon.  Manufacturers are already building devices to work on 5 GHz spectrum.  And enhancing the contiguity </w:t>
      </w:r>
      <w:r w:rsidRPr="00B52570">
        <w:rPr>
          <w:rFonts w:cs="Times New Roman"/>
          <w:szCs w:val="24"/>
        </w:rPr>
        <w:t>and size of the 5 GHz blocks</w:t>
      </w:r>
      <w:r>
        <w:rPr>
          <w:rFonts w:cs="Times New Roman"/>
          <w:szCs w:val="24"/>
        </w:rPr>
        <w:t xml:space="preserve"> contemplated in the item should allow wider channels for higher bandwidth transmissions.  For example, </w:t>
      </w:r>
      <w:r w:rsidRPr="007B649B">
        <w:rPr>
          <w:rFonts w:cs="Times New Roman"/>
          <w:szCs w:val="24"/>
        </w:rPr>
        <w:t>a 160 MHz</w:t>
      </w:r>
      <w:r>
        <w:rPr>
          <w:rFonts w:cs="Times New Roman"/>
          <w:szCs w:val="24"/>
        </w:rPr>
        <w:t>-</w:t>
      </w:r>
      <w:r w:rsidRPr="007B649B">
        <w:rPr>
          <w:rFonts w:cs="Times New Roman"/>
          <w:szCs w:val="24"/>
        </w:rPr>
        <w:t xml:space="preserve">wide channel </w:t>
      </w:r>
      <w:r>
        <w:rPr>
          <w:rFonts w:cs="Times New Roman"/>
          <w:szCs w:val="24"/>
        </w:rPr>
        <w:t>could</w:t>
      </w:r>
      <w:r w:rsidRPr="007B649B">
        <w:rPr>
          <w:rFonts w:cs="Times New Roman"/>
          <w:szCs w:val="24"/>
        </w:rPr>
        <w:t xml:space="preserve"> deliver 1</w:t>
      </w:r>
      <w:r>
        <w:rPr>
          <w:rFonts w:cs="Times New Roman"/>
          <w:szCs w:val="24"/>
        </w:rPr>
        <w:t xml:space="preserve"> gigabit of data per second.  </w:t>
      </w:r>
      <w:r w:rsidRPr="00BC5379">
        <w:rPr>
          <w:rFonts w:cs="Times New Roman"/>
          <w:i/>
          <w:szCs w:val="24"/>
        </w:rPr>
        <w:t xml:space="preserve">That’s </w:t>
      </w:r>
      <w:r w:rsidRPr="007B649B">
        <w:rPr>
          <w:rFonts w:cs="Times New Roman"/>
          <w:szCs w:val="24"/>
        </w:rPr>
        <w:t>“Super Wi-Fi.</w:t>
      </w:r>
      <w:r>
        <w:rPr>
          <w:rFonts w:cs="Times New Roman"/>
          <w:szCs w:val="24"/>
        </w:rPr>
        <w:t>”</w:t>
      </w:r>
      <w:r w:rsidRPr="007B649B">
        <w:rPr>
          <w:rFonts w:cs="Times New Roman"/>
          <w:szCs w:val="24"/>
        </w:rPr>
        <w:t xml:space="preserve">  </w:t>
      </w:r>
    </w:p>
    <w:p w:rsid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t>I am most pleased that today we are teeing up the expansion of unlicensed use by a full 195 MHz in the 5 GHz band.  I have called on the Commission to do so since October.</w:t>
      </w:r>
      <w:r>
        <w:rPr>
          <w:rStyle w:val="FootnoteReference"/>
          <w:rFonts w:cs="Times New Roman"/>
          <w:szCs w:val="24"/>
        </w:rPr>
        <w:footnoteReference w:id="1"/>
      </w:r>
      <w:r>
        <w:rPr>
          <w:rFonts w:cs="Times New Roman"/>
          <w:szCs w:val="24"/>
        </w:rPr>
        <w:t xml:space="preserve">  We were not obligated to go this far—the Spectrum Act only required that we commence a proceeding on opening up 120 MHz</w:t>
      </w:r>
      <w:r>
        <w:rPr>
          <w:rStyle w:val="FootnoteReference"/>
          <w:rFonts w:cs="Times New Roman"/>
          <w:szCs w:val="24"/>
        </w:rPr>
        <w:footnoteReference w:id="2"/>
      </w:r>
      <w:r>
        <w:rPr>
          <w:rFonts w:cs="Times New Roman"/>
          <w:szCs w:val="24"/>
        </w:rPr>
        <w:t xml:space="preserve">—but taking this step just makes sense.  </w:t>
      </w:r>
      <w:r w:rsidRPr="00573173">
        <w:rPr>
          <w:rFonts w:cs="Times New Roman"/>
          <w:szCs w:val="24"/>
        </w:rPr>
        <w:t>More</w:t>
      </w:r>
      <w:r>
        <w:rPr>
          <w:rFonts w:cs="Times New Roman"/>
          <w:szCs w:val="24"/>
        </w:rPr>
        <w:t xml:space="preserve"> spectrum will allow higher-speed, higher-capacity connections and will mean less congestion in apartment buildings and coffee shops, libraries and offices.  For all these reasons, putting these bands to better commercial use could have tremendous benefits.</w:t>
      </w:r>
    </w:p>
    <w:p w:rsidR="006C40DB" w:rsidRPr="00CC22F8" w:rsidRDefault="006C40DB" w:rsidP="006C40DB">
      <w:pPr>
        <w:autoSpaceDE w:val="0"/>
        <w:autoSpaceDN w:val="0"/>
        <w:adjustRightInd w:val="0"/>
        <w:spacing w:after="120" w:line="240" w:lineRule="auto"/>
        <w:ind w:firstLine="720"/>
        <w:rPr>
          <w:rFonts w:cs="Times New Roman"/>
          <w:szCs w:val="24"/>
        </w:rPr>
      </w:pPr>
      <w:r w:rsidRPr="009B161C">
        <w:rPr>
          <w:rFonts w:cs="Times New Roman"/>
          <w:szCs w:val="24"/>
        </w:rPr>
        <w:t xml:space="preserve">Achieving this vision </w:t>
      </w:r>
      <w:r>
        <w:rPr>
          <w:rFonts w:cs="Times New Roman"/>
          <w:szCs w:val="24"/>
        </w:rPr>
        <w:t xml:space="preserve">will </w:t>
      </w:r>
      <w:r w:rsidRPr="009B161C">
        <w:rPr>
          <w:rFonts w:cs="Times New Roman"/>
          <w:szCs w:val="24"/>
        </w:rPr>
        <w:t xml:space="preserve">not </w:t>
      </w:r>
      <w:r>
        <w:rPr>
          <w:rFonts w:cs="Times New Roman"/>
          <w:szCs w:val="24"/>
        </w:rPr>
        <w:t xml:space="preserve">be </w:t>
      </w:r>
      <w:r w:rsidRPr="009B161C">
        <w:rPr>
          <w:rFonts w:cs="Times New Roman"/>
          <w:szCs w:val="24"/>
        </w:rPr>
        <w:t xml:space="preserve">without </w:t>
      </w:r>
      <w:r>
        <w:rPr>
          <w:rFonts w:cs="Times New Roman"/>
          <w:szCs w:val="24"/>
        </w:rPr>
        <w:t xml:space="preserve">its </w:t>
      </w:r>
      <w:r w:rsidRPr="009B161C">
        <w:rPr>
          <w:rFonts w:cs="Times New Roman"/>
          <w:szCs w:val="24"/>
        </w:rPr>
        <w:t xml:space="preserve">challenges.  </w:t>
      </w:r>
      <w:r>
        <w:rPr>
          <w:rFonts w:cs="Times New Roman"/>
          <w:szCs w:val="24"/>
        </w:rPr>
        <w:t>The statute lets us expand unlicensed use into the 5350–5470 MHz band only if we determine that “licensed users will be protected by technical solutions, including use of existing, modified, or new spectrum-sharing technologies and solutions.”  We also must find that “the primary mission of Federal spectrum users . . . will not be compromised by the introduction of unlicensed devices.”</w:t>
      </w:r>
      <w:r>
        <w:rPr>
          <w:rStyle w:val="FootnoteReference"/>
          <w:rFonts w:cs="Times New Roman"/>
          <w:szCs w:val="24"/>
        </w:rPr>
        <w:footnoteReference w:id="3"/>
      </w:r>
      <w:r>
        <w:rPr>
          <w:rFonts w:cs="Times New Roman"/>
          <w:szCs w:val="24"/>
        </w:rPr>
        <w:t xml:space="preserve">  To help us in these tasks, the National Telecommunications and Information Administration (NTIA) has reported on the potential impacts to federal government users from expanding unlicensed use.</w:t>
      </w:r>
      <w:r w:rsidRPr="009B161C">
        <w:rPr>
          <w:rStyle w:val="FootnoteReference"/>
          <w:rFonts w:cs="Times New Roman"/>
          <w:szCs w:val="24"/>
        </w:rPr>
        <w:footnoteReference w:id="4"/>
      </w:r>
      <w:r>
        <w:rPr>
          <w:rFonts w:cs="Times New Roman"/>
          <w:szCs w:val="24"/>
        </w:rPr>
        <w:t xml:space="preserve">  And I appreciate their work.  But Congress gave the FCC the ultimate responsibility, so I look forward to reviewing comments with an open mind.  Given the wide swaths of spectrum already allocated to the federal government, I hope that we will consider whether Federal users </w:t>
      </w:r>
      <w:r>
        <w:rPr>
          <w:rFonts w:cs="Times New Roman"/>
          <w:i/>
          <w:szCs w:val="24"/>
        </w:rPr>
        <w:t>should</w:t>
      </w:r>
      <w:r>
        <w:rPr>
          <w:rFonts w:cs="Times New Roman"/>
          <w:szCs w:val="24"/>
        </w:rPr>
        <w:t xml:space="preserve"> alter their systems or operations to accommodate unlicensed devices in this spectrum</w:t>
      </w:r>
      <w:r>
        <w:rPr>
          <w:rStyle w:val="FootnoteReference"/>
          <w:rFonts w:cs="Times New Roman"/>
          <w:szCs w:val="24"/>
        </w:rPr>
        <w:footnoteReference w:id="5"/>
      </w:r>
      <w:r>
        <w:rPr>
          <w:rFonts w:cs="Times New Roman"/>
          <w:szCs w:val="24"/>
        </w:rPr>
        <w:t xml:space="preserve"> and what solutions will work, keeping in mind the costs and benefits of all potential options.</w:t>
      </w:r>
    </w:p>
    <w:p w:rsidR="008417D6" w:rsidRP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lastRenderedPageBreak/>
        <w:t xml:space="preserve">Today’s Notice is just the beginning of what will surely be a highly technical process.  Suffice it to say that the Commission could not do it without the support of </w:t>
      </w:r>
      <w:r w:rsidRPr="009B161C">
        <w:rPr>
          <w:rFonts w:cs="Times New Roman"/>
          <w:szCs w:val="24"/>
        </w:rPr>
        <w:t xml:space="preserve">the Office of Engineering Technology, especially Julius Knapp, Bruce Romano, Aole Wilkins, Geraldine Matise, Mark Settle, Karen Ansari, </w:t>
      </w:r>
      <w:r>
        <w:rPr>
          <w:rFonts w:cs="Times New Roman"/>
          <w:szCs w:val="24"/>
        </w:rPr>
        <w:t xml:space="preserve">and </w:t>
      </w:r>
      <w:r w:rsidRPr="009B161C">
        <w:rPr>
          <w:rFonts w:cs="Times New Roman"/>
          <w:szCs w:val="24"/>
        </w:rPr>
        <w:t>Navid Golshahi</w:t>
      </w:r>
      <w:r>
        <w:rPr>
          <w:rFonts w:cs="Times New Roman"/>
          <w:szCs w:val="24"/>
        </w:rPr>
        <w:t>.</w:t>
      </w:r>
      <w:r w:rsidRPr="009B161C">
        <w:rPr>
          <w:rFonts w:cs="Times New Roman"/>
          <w:szCs w:val="24"/>
        </w:rPr>
        <w:t xml:space="preserve"> </w:t>
      </w:r>
      <w:r>
        <w:rPr>
          <w:rFonts w:cs="Times New Roman"/>
          <w:szCs w:val="24"/>
        </w:rPr>
        <w:t xml:space="preserve"> Thank you for your work on this item and for all the work you do each day to advance the FCC’s mission.</w:t>
      </w:r>
    </w:p>
    <w:sectPr w:rsidR="008417D6" w:rsidRPr="006C40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9F" w:rsidRDefault="00C21D9F" w:rsidP="006C40DB">
      <w:pPr>
        <w:spacing w:after="0" w:line="240" w:lineRule="auto"/>
      </w:pPr>
      <w:r>
        <w:separator/>
      </w:r>
    </w:p>
  </w:endnote>
  <w:endnote w:type="continuationSeparator" w:id="0">
    <w:p w:rsidR="00C21D9F" w:rsidRDefault="00C21D9F" w:rsidP="006C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8E" w:rsidRDefault="00C43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8E" w:rsidRDefault="00C43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8E" w:rsidRDefault="00C4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9F" w:rsidRDefault="00C21D9F" w:rsidP="006C40DB">
      <w:pPr>
        <w:spacing w:after="0" w:line="240" w:lineRule="auto"/>
      </w:pPr>
      <w:r>
        <w:separator/>
      </w:r>
    </w:p>
  </w:footnote>
  <w:footnote w:type="continuationSeparator" w:id="0">
    <w:p w:rsidR="00C21D9F" w:rsidRDefault="00C21D9F" w:rsidP="006C40DB">
      <w:pPr>
        <w:spacing w:after="0" w:line="240" w:lineRule="auto"/>
      </w:pPr>
      <w:r>
        <w:continuationSeparator/>
      </w:r>
    </w:p>
  </w:footnote>
  <w:footnote w:id="1">
    <w:p w:rsidR="006C40DB" w:rsidRDefault="006C40DB" w:rsidP="006C40DB">
      <w:pPr>
        <w:pStyle w:val="FootnoteText"/>
        <w:spacing w:after="120"/>
      </w:pPr>
      <w:r>
        <w:rPr>
          <w:rStyle w:val="FootnoteReference"/>
        </w:rPr>
        <w:footnoteRef/>
      </w:r>
      <w:r>
        <w:t xml:space="preserve"> Remarks of Commissioner Ajit Pai at CTIA’s MobileCon (Oct. 10, 2012), </w:t>
      </w:r>
      <w:r w:rsidRPr="00624B3A">
        <w:t>http://go.usa.gov/4tkA</w:t>
      </w:r>
      <w:r>
        <w:t xml:space="preserve">; </w:t>
      </w:r>
      <w:r>
        <w:rPr>
          <w:i/>
        </w:rPr>
        <w:t>see also</w:t>
      </w:r>
      <w:r>
        <w:t xml:space="preserve"> Statement of Ajit Pai, Commissioner, Federal Communications Commission, Hearing before the Subcommittee on Communications and Technology of the U.S. House of Representatives Committee on Energy and Commerce (Dec. 12, 2012), </w:t>
      </w:r>
      <w:r w:rsidRPr="00624B3A">
        <w:t>http://go.usa.gov/4t8Q</w:t>
      </w:r>
      <w:r>
        <w:t>.</w:t>
      </w:r>
    </w:p>
  </w:footnote>
  <w:footnote w:id="2">
    <w:p w:rsidR="006C40DB" w:rsidRDefault="006C40DB" w:rsidP="006C40DB">
      <w:pPr>
        <w:pStyle w:val="FootnoteText"/>
        <w:spacing w:after="120"/>
      </w:pPr>
      <w:r>
        <w:rPr>
          <w:rStyle w:val="FootnoteReference"/>
        </w:rPr>
        <w:footnoteRef/>
      </w:r>
      <w:r>
        <w:t xml:space="preserve"> Middle Class Tax Relief and Job Creation Act of 2012, </w:t>
      </w:r>
      <w:r>
        <w:rPr>
          <w:rFonts w:cs="Times New Roman"/>
        </w:rPr>
        <w:t>§</w:t>
      </w:r>
      <w:r>
        <w:t> 6406(a)(1).</w:t>
      </w:r>
    </w:p>
  </w:footnote>
  <w:footnote w:id="3">
    <w:p w:rsidR="006C40DB" w:rsidRPr="00B84323" w:rsidRDefault="006C40DB" w:rsidP="006C40DB">
      <w:pPr>
        <w:pStyle w:val="FootnoteText"/>
        <w:spacing w:after="120"/>
      </w:pPr>
      <w:r>
        <w:rPr>
          <w:rStyle w:val="FootnoteReference"/>
        </w:rPr>
        <w:footnoteRef/>
      </w:r>
      <w:r>
        <w:t xml:space="preserve"> </w:t>
      </w:r>
      <w:r>
        <w:rPr>
          <w:i/>
        </w:rPr>
        <w:t>Id</w:t>
      </w:r>
      <w:r>
        <w:t xml:space="preserve">. </w:t>
      </w:r>
      <w:r>
        <w:rPr>
          <w:rFonts w:cs="Times New Roman"/>
        </w:rPr>
        <w:t>§</w:t>
      </w:r>
      <w:r>
        <w:t> 6406(a)(2).</w:t>
      </w:r>
    </w:p>
  </w:footnote>
  <w:footnote w:id="4">
    <w:p w:rsidR="006C40DB" w:rsidRPr="009B161C" w:rsidRDefault="006C40DB" w:rsidP="006C40DB">
      <w:pPr>
        <w:pStyle w:val="FootnoteText"/>
        <w:spacing w:after="120"/>
        <w:rPr>
          <w:rFonts w:cs="Times New Roman"/>
        </w:rPr>
      </w:pPr>
      <w:r w:rsidRPr="009B161C">
        <w:rPr>
          <w:rStyle w:val="FootnoteReference"/>
          <w:rFonts w:cs="Times New Roman"/>
        </w:rPr>
        <w:footnoteRef/>
      </w:r>
      <w:r w:rsidRPr="009B161C">
        <w:rPr>
          <w:rFonts w:cs="Times New Roman"/>
        </w:rPr>
        <w:t xml:space="preserve"> </w:t>
      </w:r>
      <w:r>
        <w:rPr>
          <w:rFonts w:cs="Times New Roman"/>
        </w:rPr>
        <w:t>NTIA, Evaluation of the 5350–</w:t>
      </w:r>
      <w:r w:rsidRPr="009B161C">
        <w:rPr>
          <w:rFonts w:cs="Times New Roman"/>
        </w:rPr>
        <w:t>5470 M</w:t>
      </w:r>
      <w:r>
        <w:rPr>
          <w:rFonts w:cs="Times New Roman"/>
        </w:rPr>
        <w:t>H</w:t>
      </w:r>
      <w:r w:rsidRPr="009B161C">
        <w:rPr>
          <w:rFonts w:cs="Times New Roman"/>
        </w:rPr>
        <w:t xml:space="preserve">z </w:t>
      </w:r>
      <w:r>
        <w:rPr>
          <w:rFonts w:cs="Times New Roman"/>
        </w:rPr>
        <w:t>and 5850–5925 MH</w:t>
      </w:r>
      <w:r w:rsidRPr="009B161C">
        <w:rPr>
          <w:rFonts w:cs="Times New Roman"/>
        </w:rPr>
        <w:t xml:space="preserve">z Bands Pursuant </w:t>
      </w:r>
      <w:r>
        <w:rPr>
          <w:rFonts w:cs="Times New Roman"/>
        </w:rPr>
        <w:t>t</w:t>
      </w:r>
      <w:r w:rsidRPr="009B161C">
        <w:rPr>
          <w:rFonts w:cs="Times New Roman"/>
        </w:rPr>
        <w:t>o Section 6406(</w:t>
      </w:r>
      <w:r>
        <w:rPr>
          <w:rFonts w:cs="Times New Roman"/>
        </w:rPr>
        <w:t>b</w:t>
      </w:r>
      <w:r w:rsidRPr="009B161C">
        <w:rPr>
          <w:rFonts w:cs="Times New Roman"/>
        </w:rPr>
        <w:t xml:space="preserve">) </w:t>
      </w:r>
      <w:r>
        <w:rPr>
          <w:rFonts w:cs="Times New Roman"/>
        </w:rPr>
        <w:t>o</w:t>
      </w:r>
      <w:r w:rsidRPr="009B161C">
        <w:rPr>
          <w:rFonts w:cs="Times New Roman"/>
        </w:rPr>
        <w:t xml:space="preserve">f </w:t>
      </w:r>
      <w:r>
        <w:rPr>
          <w:rFonts w:cs="Times New Roman"/>
        </w:rPr>
        <w:t>t</w:t>
      </w:r>
      <w:r w:rsidRPr="009B161C">
        <w:rPr>
          <w:rFonts w:cs="Times New Roman"/>
        </w:rPr>
        <w:t xml:space="preserve">he Middle Class Tax Relief </w:t>
      </w:r>
      <w:r>
        <w:rPr>
          <w:rFonts w:cs="Times New Roman"/>
        </w:rPr>
        <w:t>a</w:t>
      </w:r>
      <w:r w:rsidRPr="009B161C">
        <w:rPr>
          <w:rFonts w:cs="Times New Roman"/>
        </w:rPr>
        <w:t xml:space="preserve">nd Job Creation Act </w:t>
      </w:r>
      <w:r>
        <w:rPr>
          <w:rFonts w:cs="Times New Roman"/>
        </w:rPr>
        <w:t>o</w:t>
      </w:r>
      <w:r w:rsidRPr="009B161C">
        <w:rPr>
          <w:rFonts w:cs="Times New Roman"/>
        </w:rPr>
        <w:t>f 2012</w:t>
      </w:r>
      <w:r>
        <w:rPr>
          <w:rFonts w:cs="Times New Roman"/>
        </w:rPr>
        <w:t xml:space="preserve"> (Jan. 2013), </w:t>
      </w:r>
      <w:r w:rsidRPr="009B161C">
        <w:rPr>
          <w:rFonts w:cs="Times New Roman"/>
          <w:i/>
        </w:rPr>
        <w:t xml:space="preserve">available at </w:t>
      </w:r>
      <w:r w:rsidRPr="00624B3A">
        <w:rPr>
          <w:rFonts w:cs="Times New Roman"/>
        </w:rPr>
        <w:t>http://go.usa.gov/4tZH</w:t>
      </w:r>
      <w:r>
        <w:rPr>
          <w:rFonts w:cs="Times New Roman"/>
        </w:rPr>
        <w:t>.</w:t>
      </w:r>
    </w:p>
  </w:footnote>
  <w:footnote w:id="5">
    <w:p w:rsidR="006C40DB" w:rsidRPr="00CC22F8" w:rsidRDefault="006C40DB" w:rsidP="006C40DB">
      <w:pPr>
        <w:pStyle w:val="FootnoteText"/>
        <w:spacing w:after="120"/>
      </w:pPr>
      <w:r>
        <w:rPr>
          <w:rStyle w:val="FootnoteReference"/>
        </w:rPr>
        <w:footnoteRef/>
      </w:r>
      <w:r>
        <w:t xml:space="preserve"> </w:t>
      </w:r>
      <w:r>
        <w:rPr>
          <w:i/>
        </w:rPr>
        <w:t>See</w:t>
      </w:r>
      <w:r>
        <w:t xml:space="preserve"> </w:t>
      </w:r>
      <w:r>
        <w:rPr>
          <w:i/>
        </w:rPr>
        <w:t>id.</w:t>
      </w:r>
      <w:r>
        <w:t xml:space="preserve"> at ii (“</w:t>
      </w:r>
      <w:r w:rsidRPr="00CC22F8">
        <w:t>NTIA assumed that the federal agencies will not alter their systems or operations to accommodate U-NII devices on a shared basis in the potential 5 GHz expansion bands.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8E" w:rsidRDefault="00C4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8E" w:rsidRDefault="00C43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8E" w:rsidRDefault="00C43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DB"/>
    <w:rsid w:val="00030D29"/>
    <w:rsid w:val="002C2002"/>
    <w:rsid w:val="00322CA4"/>
    <w:rsid w:val="005D1A34"/>
    <w:rsid w:val="006C2F6C"/>
    <w:rsid w:val="006C40DB"/>
    <w:rsid w:val="007E43D3"/>
    <w:rsid w:val="00A11F5D"/>
    <w:rsid w:val="00AA0F54"/>
    <w:rsid w:val="00AA2CB3"/>
    <w:rsid w:val="00B11964"/>
    <w:rsid w:val="00C21D9F"/>
    <w:rsid w:val="00C43A8E"/>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0DB"/>
    <w:rPr>
      <w:rFonts w:ascii="Times New Roman" w:hAnsi="Times New Roman"/>
      <w:sz w:val="20"/>
      <w:szCs w:val="20"/>
    </w:rPr>
  </w:style>
  <w:style w:type="character" w:styleId="FootnoteReference">
    <w:name w:val="footnote reference"/>
    <w:basedOn w:val="DefaultParagraphFont"/>
    <w:uiPriority w:val="99"/>
    <w:semiHidden/>
    <w:unhideWhenUsed/>
    <w:rsid w:val="006C40DB"/>
    <w:rPr>
      <w:vertAlign w:val="superscript"/>
    </w:rPr>
  </w:style>
  <w:style w:type="paragraph" w:styleId="Header">
    <w:name w:val="header"/>
    <w:basedOn w:val="Normal"/>
    <w:link w:val="HeaderChar"/>
    <w:uiPriority w:val="99"/>
    <w:unhideWhenUsed/>
    <w:rsid w:val="00AA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B3"/>
    <w:rPr>
      <w:rFonts w:ascii="Times New Roman" w:hAnsi="Times New Roman"/>
    </w:rPr>
  </w:style>
  <w:style w:type="paragraph" w:styleId="Footer">
    <w:name w:val="footer"/>
    <w:basedOn w:val="Normal"/>
    <w:link w:val="FooterChar"/>
    <w:uiPriority w:val="99"/>
    <w:unhideWhenUsed/>
    <w:rsid w:val="00AA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B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0DB"/>
    <w:rPr>
      <w:rFonts w:ascii="Times New Roman" w:hAnsi="Times New Roman"/>
      <w:sz w:val="20"/>
      <w:szCs w:val="20"/>
    </w:rPr>
  </w:style>
  <w:style w:type="character" w:styleId="FootnoteReference">
    <w:name w:val="footnote reference"/>
    <w:basedOn w:val="DefaultParagraphFont"/>
    <w:uiPriority w:val="99"/>
    <w:semiHidden/>
    <w:unhideWhenUsed/>
    <w:rsid w:val="006C40DB"/>
    <w:rPr>
      <w:vertAlign w:val="superscript"/>
    </w:rPr>
  </w:style>
  <w:style w:type="paragraph" w:styleId="Header">
    <w:name w:val="header"/>
    <w:basedOn w:val="Normal"/>
    <w:link w:val="HeaderChar"/>
    <w:uiPriority w:val="99"/>
    <w:unhideWhenUsed/>
    <w:rsid w:val="00AA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B3"/>
    <w:rPr>
      <w:rFonts w:ascii="Times New Roman" w:hAnsi="Times New Roman"/>
    </w:rPr>
  </w:style>
  <w:style w:type="paragraph" w:styleId="Footer">
    <w:name w:val="footer"/>
    <w:basedOn w:val="Normal"/>
    <w:link w:val="FooterChar"/>
    <w:uiPriority w:val="99"/>
    <w:unhideWhenUsed/>
    <w:rsid w:val="00AA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B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3090</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2013-02-20T20:48:00Z</dcterms:created>
  <dcterms:modified xsi:type="dcterms:W3CDTF">2013-02-20T20:48:00Z</dcterms:modified>
  <cp:category> </cp:category>
  <cp:contentStatus> </cp:contentStatus>
</cp:coreProperties>
</file>