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7BA4" w:rsidP="00E47BA4" w14:paraId="4C8A2CD1" w14:textId="77777777">
      <w:pPr>
        <w:jc w:val="center"/>
        <w:rPr>
          <w:b/>
        </w:rPr>
      </w:pPr>
      <w:r w:rsidRPr="0070224F">
        <w:rPr>
          <w:rFonts w:ascii="Times New Roman Bold" w:hAnsi="Times New Roman Bold"/>
          <w:b/>
          <w:kern w:val="0"/>
          <w:szCs w:val="22"/>
        </w:rPr>
        <w:t>Before</w:t>
      </w:r>
      <w:r>
        <w:rPr>
          <w:b/>
        </w:rPr>
        <w:t xml:space="preserve"> the</w:t>
      </w:r>
    </w:p>
    <w:p w:rsidR="00E47BA4" w:rsidP="00E47BA4" w14:paraId="6BE624EA" w14:textId="77777777">
      <w:pPr>
        <w:pStyle w:val="StyleBoldCentered"/>
      </w:pPr>
      <w:r>
        <w:t>F</w:t>
      </w:r>
      <w:r>
        <w:rPr>
          <w:caps w:val="0"/>
        </w:rPr>
        <w:t>ederal Communications Commission</w:t>
      </w:r>
    </w:p>
    <w:p w:rsidR="00E47BA4" w:rsidP="00E47BA4" w14:paraId="772320C9" w14:textId="77777777">
      <w:pPr>
        <w:pStyle w:val="StyleBoldCentered"/>
      </w:pPr>
      <w:r>
        <w:rPr>
          <w:caps w:val="0"/>
        </w:rPr>
        <w:t>Washington, D.C. 20554</w:t>
      </w:r>
    </w:p>
    <w:p w:rsidR="00E47BA4" w:rsidP="00E47BA4" w14:paraId="19ADC1EC" w14:textId="77777777"/>
    <w:p w:rsidR="00E47BA4" w:rsidP="00E47BA4" w14:paraId="39F53ACC" w14:textId="77777777"/>
    <w:tbl>
      <w:tblPr>
        <w:tblW w:w="0" w:type="auto"/>
        <w:tblLayout w:type="fixed"/>
        <w:tblLook w:val="0000"/>
      </w:tblPr>
      <w:tblGrid>
        <w:gridCol w:w="4698"/>
        <w:gridCol w:w="630"/>
        <w:gridCol w:w="4248"/>
      </w:tblGrid>
      <w:tr w14:paraId="246B2523" w14:textId="77777777" w:rsidTr="00C06C49">
        <w:tblPrEx>
          <w:tblW w:w="0" w:type="auto"/>
          <w:tblLayout w:type="fixed"/>
          <w:tblLook w:val="0000"/>
        </w:tblPrEx>
        <w:tc>
          <w:tcPr>
            <w:tcW w:w="4698" w:type="dxa"/>
          </w:tcPr>
          <w:p w:rsidR="00E47BA4" w:rsidP="00C06C49" w14:paraId="0FDD8991" w14:textId="77777777">
            <w:pPr>
              <w:tabs>
                <w:tab w:val="center" w:pos="4680"/>
              </w:tabs>
              <w:suppressAutoHyphens/>
              <w:rPr>
                <w:spacing w:val="-2"/>
              </w:rPr>
            </w:pPr>
            <w:r>
              <w:rPr>
                <w:spacing w:val="-2"/>
              </w:rPr>
              <w:t>In the Matter of</w:t>
            </w:r>
          </w:p>
          <w:p w:rsidR="00E47BA4" w:rsidP="00C06C49" w14:paraId="40F330E7" w14:textId="77777777">
            <w:pPr>
              <w:tabs>
                <w:tab w:val="center" w:pos="4680"/>
              </w:tabs>
              <w:suppressAutoHyphens/>
              <w:rPr>
                <w:spacing w:val="-2"/>
              </w:rPr>
            </w:pPr>
          </w:p>
          <w:p w:rsidR="00E47BA4" w:rsidP="00C06C49" w14:paraId="4CA7F4B8" w14:textId="77777777">
            <w:pPr>
              <w:tabs>
                <w:tab w:val="center" w:pos="4680"/>
              </w:tabs>
              <w:suppressAutoHyphens/>
            </w:pPr>
            <w:r>
              <w:rPr>
                <w:spacing w:val="-2"/>
              </w:rPr>
              <w:t>Connect America Fund—Alaska Plan</w:t>
            </w:r>
          </w:p>
          <w:p w:rsidR="00E47BA4" w:rsidP="00C06C49" w14:paraId="626418C6" w14:textId="77777777">
            <w:pPr>
              <w:tabs>
                <w:tab w:val="center" w:pos="4680"/>
              </w:tabs>
              <w:suppressAutoHyphens/>
            </w:pPr>
          </w:p>
          <w:p w:rsidR="00E47BA4" w:rsidP="00C06C49" w14:paraId="35174D48" w14:textId="77777777">
            <w:pPr>
              <w:tabs>
                <w:tab w:val="center" w:pos="4680"/>
              </w:tabs>
              <w:suppressAutoHyphens/>
            </w:pPr>
            <w:r>
              <w:t>GCI Communication Corp. Petition for Limited, Expedited Waiver in the Alaska Plan for Drive-Test Data Collection</w:t>
            </w:r>
          </w:p>
          <w:p w:rsidR="00960BB2" w:rsidP="00C06C49" w14:paraId="1CDC359C" w14:textId="77777777">
            <w:pPr>
              <w:tabs>
                <w:tab w:val="center" w:pos="4680"/>
              </w:tabs>
              <w:suppressAutoHyphens/>
            </w:pPr>
          </w:p>
          <w:p w:rsidR="00960BB2" w:rsidP="00C06C49" w14:paraId="214A60A3" w14:textId="41C66F2E">
            <w:pPr>
              <w:tabs>
                <w:tab w:val="center" w:pos="4680"/>
              </w:tabs>
              <w:suppressAutoHyphens/>
            </w:pPr>
            <w:r>
              <w:t xml:space="preserve">GCI Communication Corp. Request for Limited Waiver of 47 CFR </w:t>
            </w:r>
            <w:r w:rsidR="008739E7">
              <w:t xml:space="preserve">§ </w:t>
            </w:r>
            <w:r>
              <w:t>22.925</w:t>
            </w:r>
          </w:p>
          <w:p w:rsidR="00E47BA4" w:rsidRPr="007115F7" w:rsidP="00C06C49" w14:paraId="59FC8577" w14:textId="77777777">
            <w:pPr>
              <w:tabs>
                <w:tab w:val="center" w:pos="4680"/>
              </w:tabs>
              <w:suppressAutoHyphens/>
              <w:rPr>
                <w:spacing w:val="-2"/>
              </w:rPr>
            </w:pPr>
          </w:p>
        </w:tc>
        <w:tc>
          <w:tcPr>
            <w:tcW w:w="630" w:type="dxa"/>
          </w:tcPr>
          <w:p w:rsidR="00E47BA4" w:rsidP="00C06C49" w14:paraId="47991CEB" w14:textId="77777777">
            <w:pPr>
              <w:tabs>
                <w:tab w:val="center" w:pos="4680"/>
              </w:tabs>
              <w:suppressAutoHyphens/>
              <w:rPr>
                <w:b/>
                <w:spacing w:val="-2"/>
              </w:rPr>
            </w:pPr>
            <w:r>
              <w:rPr>
                <w:b/>
                <w:spacing w:val="-2"/>
              </w:rPr>
              <w:t>)</w:t>
            </w:r>
          </w:p>
          <w:p w:rsidR="00E47BA4" w:rsidP="00C06C49" w14:paraId="57F7326B" w14:textId="77777777">
            <w:pPr>
              <w:tabs>
                <w:tab w:val="center" w:pos="4680"/>
              </w:tabs>
              <w:suppressAutoHyphens/>
              <w:rPr>
                <w:b/>
                <w:spacing w:val="-2"/>
              </w:rPr>
            </w:pPr>
            <w:r>
              <w:rPr>
                <w:b/>
                <w:spacing w:val="-2"/>
              </w:rPr>
              <w:t>)</w:t>
            </w:r>
          </w:p>
          <w:p w:rsidR="00E47BA4" w:rsidP="00C06C49" w14:paraId="415624EA" w14:textId="77777777">
            <w:pPr>
              <w:tabs>
                <w:tab w:val="center" w:pos="4680"/>
              </w:tabs>
              <w:suppressAutoHyphens/>
              <w:rPr>
                <w:b/>
                <w:spacing w:val="-2"/>
              </w:rPr>
            </w:pPr>
            <w:r>
              <w:rPr>
                <w:b/>
                <w:spacing w:val="-2"/>
              </w:rPr>
              <w:t>)</w:t>
            </w:r>
          </w:p>
          <w:p w:rsidR="00E47BA4" w:rsidP="00C06C49" w14:paraId="20D2EA05" w14:textId="77777777">
            <w:pPr>
              <w:tabs>
                <w:tab w:val="center" w:pos="4680"/>
              </w:tabs>
              <w:suppressAutoHyphens/>
              <w:rPr>
                <w:b/>
                <w:spacing w:val="-2"/>
              </w:rPr>
            </w:pPr>
            <w:r>
              <w:rPr>
                <w:b/>
                <w:spacing w:val="-2"/>
              </w:rPr>
              <w:t>)</w:t>
            </w:r>
          </w:p>
          <w:p w:rsidR="00E47BA4" w:rsidP="00C06C49" w14:paraId="56688075" w14:textId="77777777">
            <w:pPr>
              <w:tabs>
                <w:tab w:val="center" w:pos="4680"/>
              </w:tabs>
              <w:suppressAutoHyphens/>
              <w:rPr>
                <w:b/>
                <w:spacing w:val="-2"/>
              </w:rPr>
            </w:pPr>
            <w:r>
              <w:rPr>
                <w:b/>
                <w:spacing w:val="-2"/>
              </w:rPr>
              <w:t>)</w:t>
            </w:r>
          </w:p>
          <w:p w:rsidR="00E47BA4" w:rsidP="00C06C49" w14:paraId="0214DCA7" w14:textId="77777777">
            <w:pPr>
              <w:tabs>
                <w:tab w:val="center" w:pos="4680"/>
              </w:tabs>
              <w:suppressAutoHyphens/>
              <w:rPr>
                <w:b/>
                <w:spacing w:val="-2"/>
              </w:rPr>
            </w:pPr>
            <w:r>
              <w:rPr>
                <w:b/>
                <w:spacing w:val="-2"/>
              </w:rPr>
              <w:t>)</w:t>
            </w:r>
          </w:p>
          <w:p w:rsidR="00E47BA4" w:rsidP="00C06C49" w14:paraId="7561A577" w14:textId="77777777">
            <w:pPr>
              <w:tabs>
                <w:tab w:val="center" w:pos="4680"/>
              </w:tabs>
              <w:suppressAutoHyphens/>
              <w:rPr>
                <w:b/>
                <w:spacing w:val="-2"/>
              </w:rPr>
            </w:pPr>
            <w:r>
              <w:rPr>
                <w:b/>
                <w:spacing w:val="-2"/>
              </w:rPr>
              <w:t>)</w:t>
            </w:r>
          </w:p>
          <w:p w:rsidR="00E47BA4" w:rsidP="00C06C49" w14:paraId="3E15CC48" w14:textId="72BEEFA5">
            <w:pPr>
              <w:tabs>
                <w:tab w:val="center" w:pos="4680"/>
              </w:tabs>
              <w:suppressAutoHyphens/>
              <w:rPr>
                <w:b/>
                <w:spacing w:val="-2"/>
              </w:rPr>
            </w:pPr>
            <w:r>
              <w:rPr>
                <w:b/>
                <w:spacing w:val="-2"/>
              </w:rPr>
              <w:t>)</w:t>
            </w:r>
          </w:p>
          <w:p w:rsidR="00E47BA4" w:rsidP="00C06C49" w14:paraId="654AAEE9" w14:textId="03B59DE6">
            <w:pPr>
              <w:tabs>
                <w:tab w:val="center" w:pos="4680"/>
              </w:tabs>
              <w:suppressAutoHyphens/>
              <w:rPr>
                <w:b/>
                <w:spacing w:val="-2"/>
              </w:rPr>
            </w:pPr>
            <w:r>
              <w:rPr>
                <w:b/>
                <w:spacing w:val="-2"/>
              </w:rPr>
              <w:t>)</w:t>
            </w:r>
          </w:p>
          <w:p w:rsidR="00E47BA4" w:rsidP="00C06C49" w14:paraId="6775F1E8" w14:textId="77777777">
            <w:pPr>
              <w:tabs>
                <w:tab w:val="center" w:pos="4680"/>
              </w:tabs>
              <w:suppressAutoHyphens/>
              <w:rPr>
                <w:spacing w:val="-2"/>
              </w:rPr>
            </w:pPr>
            <w:r>
              <w:rPr>
                <w:spacing w:val="-2"/>
              </w:rPr>
              <w:t>)</w:t>
            </w:r>
          </w:p>
          <w:p w:rsidR="008739E7" w:rsidP="00C06C49" w14:paraId="3C5CDA9A" w14:textId="77777777">
            <w:pPr>
              <w:tabs>
                <w:tab w:val="center" w:pos="4680"/>
              </w:tabs>
              <w:suppressAutoHyphens/>
              <w:rPr>
                <w:spacing w:val="-2"/>
              </w:rPr>
            </w:pPr>
          </w:p>
          <w:p w:rsidR="008739E7" w:rsidP="00C06C49" w14:paraId="10CF4005" w14:textId="457CB8D4">
            <w:pPr>
              <w:tabs>
                <w:tab w:val="center" w:pos="4680"/>
              </w:tabs>
              <w:suppressAutoHyphens/>
              <w:rPr>
                <w:spacing w:val="-2"/>
              </w:rPr>
            </w:pPr>
          </w:p>
        </w:tc>
        <w:tc>
          <w:tcPr>
            <w:tcW w:w="4248" w:type="dxa"/>
          </w:tcPr>
          <w:p w:rsidR="00E47BA4" w:rsidP="00C06C49" w14:paraId="79D7C56C" w14:textId="77777777">
            <w:pPr>
              <w:tabs>
                <w:tab w:val="center" w:pos="4680"/>
              </w:tabs>
              <w:suppressAutoHyphens/>
              <w:rPr>
                <w:spacing w:val="-2"/>
              </w:rPr>
            </w:pPr>
          </w:p>
          <w:p w:rsidR="00E47BA4" w:rsidP="00C06C49" w14:paraId="65BDB69E" w14:textId="77777777">
            <w:pPr>
              <w:pStyle w:val="TOAHeading"/>
              <w:tabs>
                <w:tab w:val="center" w:pos="4680"/>
                <w:tab w:val="clear" w:pos="9360"/>
              </w:tabs>
              <w:rPr>
                <w:spacing w:val="-2"/>
              </w:rPr>
            </w:pPr>
          </w:p>
          <w:p w:rsidR="00E47BA4" w:rsidP="00C06C49" w14:paraId="3A13CB4D" w14:textId="77777777">
            <w:pPr>
              <w:tabs>
                <w:tab w:val="center" w:pos="4680"/>
              </w:tabs>
              <w:suppressAutoHyphens/>
              <w:rPr>
                <w:spacing w:val="-2"/>
              </w:rPr>
            </w:pPr>
            <w:r>
              <w:rPr>
                <w:spacing w:val="-2"/>
              </w:rPr>
              <w:t>WC Docket No. 16-271</w:t>
            </w:r>
          </w:p>
        </w:tc>
      </w:tr>
    </w:tbl>
    <w:p w:rsidR="00E47BA4" w:rsidP="00E47BA4" w14:paraId="6A5D44CB" w14:textId="77777777">
      <w:pPr>
        <w:pStyle w:val="StyleBoldCentered"/>
      </w:pPr>
      <w:r>
        <w:t>ORDER</w:t>
      </w:r>
    </w:p>
    <w:p w:rsidR="00E47BA4" w:rsidP="00E47BA4" w14:paraId="17251FF4" w14:textId="77777777">
      <w:pPr>
        <w:tabs>
          <w:tab w:val="left" w:pos="-720"/>
        </w:tabs>
        <w:suppressAutoHyphens/>
        <w:spacing w:line="227" w:lineRule="auto"/>
        <w:rPr>
          <w:spacing w:val="-2"/>
        </w:rPr>
      </w:pPr>
    </w:p>
    <w:p w:rsidR="00E47BA4" w:rsidP="00E47BA4" w14:paraId="06477EF4" w14:textId="32EDBDC4">
      <w:pPr>
        <w:tabs>
          <w:tab w:val="left" w:pos="720"/>
          <w:tab w:val="right" w:pos="9360"/>
        </w:tabs>
        <w:suppressAutoHyphens/>
        <w:spacing w:line="227" w:lineRule="auto"/>
        <w:rPr>
          <w:spacing w:val="-2"/>
        </w:rPr>
      </w:pPr>
      <w:r>
        <w:rPr>
          <w:b/>
          <w:spacing w:val="-2"/>
        </w:rPr>
        <w:t xml:space="preserve">Adopted:  </w:t>
      </w:r>
      <w:r w:rsidR="007050C2">
        <w:rPr>
          <w:b/>
          <w:spacing w:val="-2"/>
        </w:rPr>
        <w:t xml:space="preserve">September </w:t>
      </w:r>
      <w:r w:rsidR="00D11022">
        <w:rPr>
          <w:b/>
          <w:spacing w:val="-2"/>
        </w:rPr>
        <w:t>29</w:t>
      </w:r>
      <w:r>
        <w:rPr>
          <w:b/>
          <w:spacing w:val="-2"/>
        </w:rPr>
        <w:t>, 2023</w:t>
      </w:r>
      <w:r>
        <w:rPr>
          <w:b/>
          <w:spacing w:val="-2"/>
        </w:rPr>
        <w:tab/>
        <w:t xml:space="preserve">Released:  </w:t>
      </w:r>
      <w:r w:rsidR="007050C2">
        <w:rPr>
          <w:b/>
          <w:spacing w:val="-2"/>
        </w:rPr>
        <w:t>September</w:t>
      </w:r>
      <w:r>
        <w:rPr>
          <w:b/>
          <w:spacing w:val="-2"/>
        </w:rPr>
        <w:t xml:space="preserve"> </w:t>
      </w:r>
      <w:r w:rsidR="00D11022">
        <w:rPr>
          <w:b/>
          <w:spacing w:val="-2"/>
        </w:rPr>
        <w:t>29</w:t>
      </w:r>
      <w:r>
        <w:rPr>
          <w:b/>
          <w:spacing w:val="-2"/>
        </w:rPr>
        <w:t>, 2023</w:t>
      </w:r>
    </w:p>
    <w:p w:rsidR="00E47BA4" w:rsidP="00E47BA4" w14:paraId="7FDE09AA" w14:textId="77777777"/>
    <w:p w:rsidR="00E47BA4" w:rsidP="00E47BA4" w14:paraId="0425B35A" w14:textId="77777777">
      <w:pPr>
        <w:rPr>
          <w:spacing w:val="-2"/>
        </w:rPr>
      </w:pPr>
      <w:r>
        <w:t xml:space="preserve">By the </w:t>
      </w:r>
      <w:r w:rsidRPr="00050D8D">
        <w:rPr>
          <w:spacing w:val="-2"/>
        </w:rPr>
        <w:t xml:space="preserve">Chief, </w:t>
      </w:r>
      <w:r>
        <w:rPr>
          <w:spacing w:val="-2"/>
        </w:rPr>
        <w:t>Wireless Telecommunications Bureau</w:t>
      </w:r>
      <w:r w:rsidRPr="00050D8D">
        <w:rPr>
          <w:spacing w:val="-2"/>
        </w:rPr>
        <w:t>:</w:t>
      </w:r>
    </w:p>
    <w:p w:rsidR="00E47BA4" w:rsidP="00E47BA4" w14:paraId="355E2916" w14:textId="77777777">
      <w:pPr>
        <w:rPr>
          <w:spacing w:val="-2"/>
        </w:rPr>
      </w:pPr>
    </w:p>
    <w:p w:rsidR="00E47BA4" w:rsidP="00E47BA4" w14:paraId="785AFCF7" w14:textId="77777777">
      <w:pPr>
        <w:pStyle w:val="Heading1"/>
      </w:pPr>
      <w:r>
        <w:t>introduction</w:t>
      </w:r>
    </w:p>
    <w:p w:rsidR="00A71DBC" w:rsidP="00120C06" w14:paraId="0C17853D" w14:textId="29282321">
      <w:pPr>
        <w:pStyle w:val="ParaNum"/>
        <w:numPr>
          <w:ilvl w:val="0"/>
          <w:numId w:val="7"/>
        </w:numPr>
        <w:tabs>
          <w:tab w:val="clear" w:pos="1080"/>
          <w:tab w:val="num" w:pos="1440"/>
        </w:tabs>
      </w:pPr>
      <w:r>
        <w:t xml:space="preserve">By this Order, the Wireless </w:t>
      </w:r>
      <w:r w:rsidRPr="00DA75EC">
        <w:t xml:space="preserve">Telecommunications Bureau (Bureau) </w:t>
      </w:r>
      <w:r w:rsidRPr="00DA75EC" w:rsidR="007050C2">
        <w:t>partially grants GCI</w:t>
      </w:r>
      <w:r w:rsidR="002478F4">
        <w:t>’</w:t>
      </w:r>
      <w:r w:rsidRPr="00DA75EC" w:rsidR="007050C2">
        <w:t xml:space="preserve">s Second Supplemental Waiver Petition </w:t>
      </w:r>
      <w:r w:rsidRPr="00DA75EC">
        <w:t>(</w:t>
      </w:r>
      <w:r w:rsidRPr="00DA75EC" w:rsidR="007050C2">
        <w:t xml:space="preserve">Second Supplemental </w:t>
      </w:r>
      <w:r w:rsidRPr="00DA75EC">
        <w:t xml:space="preserve">Petition) </w:t>
      </w:r>
      <w:r w:rsidR="00207248">
        <w:t>and Third Supplemental Waiver Petition</w:t>
      </w:r>
      <w:r w:rsidR="00D82E49">
        <w:t xml:space="preserve"> (Third Supplemental Petition</w:t>
      </w:r>
      <w:r w:rsidR="000E5C88">
        <w:t>)</w:t>
      </w:r>
      <w:r>
        <w:rPr>
          <w:rStyle w:val="FootnoteReference"/>
        </w:rPr>
        <w:footnoteReference w:id="3"/>
      </w:r>
      <w:r w:rsidR="00320026">
        <w:t xml:space="preserve"> for </w:t>
      </w:r>
      <w:r w:rsidR="00AA35B3">
        <w:t xml:space="preserve">GCI’s </w:t>
      </w:r>
      <w:r w:rsidR="001E4263">
        <w:t>drive testing,</w:t>
      </w:r>
      <w:r w:rsidRPr="00DA75EC">
        <w:t xml:space="preserve"> as specified below.  Specifically, </w:t>
      </w:r>
      <w:r w:rsidR="00EE0F0D">
        <w:t xml:space="preserve">for all but </w:t>
      </w:r>
      <w:r w:rsidR="000930D9">
        <w:t xml:space="preserve">four </w:t>
      </w:r>
      <w:r w:rsidR="00EE0F0D">
        <w:t>grid cell</w:t>
      </w:r>
      <w:r w:rsidR="000930D9">
        <w:t>s</w:t>
      </w:r>
      <w:r w:rsidR="00EE0F0D">
        <w:t xml:space="preserve"> raised in GCI’s second and third </w:t>
      </w:r>
      <w:r w:rsidR="00D82E49">
        <w:t xml:space="preserve">supplemental </w:t>
      </w:r>
      <w:r w:rsidR="00EE0F0D">
        <w:t xml:space="preserve">petitions, </w:t>
      </w:r>
      <w:r w:rsidRPr="00DA75EC">
        <w:t xml:space="preserve">we </w:t>
      </w:r>
      <w:r w:rsidR="00884870">
        <w:t xml:space="preserve">waive </w:t>
      </w:r>
      <w:r w:rsidRPr="00DA75EC">
        <w:t xml:space="preserve">the 15 mph </w:t>
      </w:r>
      <w:r w:rsidRPr="00AC012E">
        <w:t>threshold for in-motion drive tests</w:t>
      </w:r>
      <w:r w:rsidRPr="00AC012E" w:rsidR="00F00F12">
        <w:t xml:space="preserve">.  </w:t>
      </w:r>
      <w:r w:rsidR="00DF7D9E">
        <w:t>For those 2</w:t>
      </w:r>
      <w:r w:rsidR="00177425">
        <w:t>5</w:t>
      </w:r>
      <w:r w:rsidR="00DF7D9E">
        <w:t xml:space="preserve"> grid cells, we </w:t>
      </w:r>
      <w:r w:rsidR="000C60EE">
        <w:t xml:space="preserve">will accept GCI’s original drive test results.  </w:t>
      </w:r>
      <w:r w:rsidR="000B1ED3">
        <w:t xml:space="preserve">For </w:t>
      </w:r>
      <w:r w:rsidR="006A49D0">
        <w:t>one</w:t>
      </w:r>
      <w:r w:rsidR="000B1ED3">
        <w:t xml:space="preserve"> grid cell</w:t>
      </w:r>
      <w:r w:rsidR="006A49D0">
        <w:t xml:space="preserve"> on Adak Island</w:t>
      </w:r>
      <w:r w:rsidR="000B1ED3">
        <w:t xml:space="preserve">, we </w:t>
      </w:r>
      <w:r w:rsidR="00C07243">
        <w:t xml:space="preserve">allow GCI to </w:t>
      </w:r>
      <w:r w:rsidR="00F32B91">
        <w:t xml:space="preserve">perform testing in a proxy </w:t>
      </w:r>
      <w:r w:rsidR="005E4534">
        <w:t xml:space="preserve">grid cell. </w:t>
      </w:r>
      <w:r w:rsidR="00881459">
        <w:t xml:space="preserve"> </w:t>
      </w:r>
      <w:r w:rsidR="00EE0F0D">
        <w:t xml:space="preserve">Because we </w:t>
      </w:r>
      <w:r w:rsidR="00881459">
        <w:t>grant the aforementioned relief for all grid cells raised</w:t>
      </w:r>
      <w:r w:rsidR="00D82E49">
        <w:t xml:space="preserve"> in</w:t>
      </w:r>
      <w:r w:rsidR="00881459">
        <w:t xml:space="preserve"> the Second Su</w:t>
      </w:r>
      <w:r w:rsidR="00D82E49">
        <w:t>p</w:t>
      </w:r>
      <w:r w:rsidR="00881459">
        <w:t>plemental Petition and Third Supplemental Petition</w:t>
      </w:r>
      <w:r w:rsidR="000B1ED3">
        <w:t>, w</w:t>
      </w:r>
      <w:r w:rsidR="00916856">
        <w:t>e dismiss as moot</w:t>
      </w:r>
      <w:r w:rsidR="00881459">
        <w:t xml:space="preserve"> </w:t>
      </w:r>
      <w:r w:rsidRPr="00AC012E" w:rsidR="001035E0">
        <w:t>GC</w:t>
      </w:r>
      <w:r w:rsidR="001035E0">
        <w:t>I</w:t>
      </w:r>
      <w:r w:rsidRPr="00AC012E" w:rsidR="001035E0">
        <w:t xml:space="preserve">’s </w:t>
      </w:r>
      <w:r w:rsidRPr="00AC012E" w:rsidR="00AE0761">
        <w:t xml:space="preserve">request for a waiver to permit </w:t>
      </w:r>
      <w:r w:rsidR="00D82E49">
        <w:t>u</w:t>
      </w:r>
      <w:r w:rsidRPr="00AC012E" w:rsidR="00D82E49">
        <w:t xml:space="preserve">nmanned </w:t>
      </w:r>
      <w:r w:rsidRPr="00AC012E" w:rsidR="00396D4C">
        <w:t>aircraft system (UAS) testing</w:t>
      </w:r>
      <w:r w:rsidRPr="00AC012E" w:rsidR="00AE0761">
        <w:t xml:space="preserve"> in two grid cells</w:t>
      </w:r>
      <w:r w:rsidR="00196C84">
        <w:t xml:space="preserve">.  </w:t>
      </w:r>
      <w:r w:rsidRPr="00120C06" w:rsidR="00120C06">
        <w:t>We also</w:t>
      </w:r>
      <w:r w:rsidR="00120C06">
        <w:t xml:space="preserve"> </w:t>
      </w:r>
      <w:r w:rsidRPr="00120C06" w:rsidR="00120C06">
        <w:t xml:space="preserve">grant an extension of GCI’s deadline for completing drive retesting </w:t>
      </w:r>
      <w:r w:rsidR="004A12CC">
        <w:t>in three grid</w:t>
      </w:r>
      <w:r w:rsidR="001358EE">
        <w:t xml:space="preserve"> cell</w:t>
      </w:r>
      <w:r w:rsidR="004A12CC">
        <w:t xml:space="preserve">s in </w:t>
      </w:r>
      <w:r w:rsidR="004A12CC">
        <w:t>Utqiagvik</w:t>
      </w:r>
      <w:r w:rsidRPr="00120C06" w:rsidR="00120C06">
        <w:t xml:space="preserve"> until </w:t>
      </w:r>
      <w:r w:rsidR="00AC146C">
        <w:t>November 1</w:t>
      </w:r>
      <w:r w:rsidRPr="00120C06" w:rsidR="00120C06">
        <w:t>, 2023</w:t>
      </w:r>
      <w:r w:rsidR="004A12CC">
        <w:t xml:space="preserve"> and extend that relief to all retested grid cells</w:t>
      </w:r>
      <w:r w:rsidR="00120C06">
        <w:t>.</w:t>
      </w:r>
    </w:p>
    <w:p w:rsidR="00E47BA4" w:rsidP="00E47BA4" w14:paraId="1957C96B" w14:textId="77777777">
      <w:pPr>
        <w:pStyle w:val="Heading1"/>
      </w:pPr>
      <w:r>
        <w:t>background</w:t>
      </w:r>
    </w:p>
    <w:p w:rsidR="00E47BA4" w:rsidP="00E47BA4" w14:paraId="57D6C41E" w14:textId="18AAA5D0">
      <w:pPr>
        <w:pStyle w:val="ParaNum"/>
        <w:keepNext/>
        <w:widowControl/>
        <w:numPr>
          <w:ilvl w:val="0"/>
          <w:numId w:val="7"/>
        </w:numPr>
        <w:tabs>
          <w:tab w:val="clear" w:pos="1080"/>
          <w:tab w:val="num" w:pos="1440"/>
        </w:tabs>
      </w:pPr>
      <w:r>
        <w:t>M</w:t>
      </w:r>
      <w:r w:rsidRPr="00B56A6B">
        <w:t xml:space="preserve">obile-provider participants </w:t>
      </w:r>
      <w:r>
        <w:t xml:space="preserve">in the Alaska Plan receiving </w:t>
      </w:r>
      <w:r w:rsidRPr="00B56A6B">
        <w:t xml:space="preserve">more than $5 million annually </w:t>
      </w:r>
      <w:r>
        <w:t xml:space="preserve">must </w:t>
      </w:r>
      <w:r w:rsidRPr="00B56A6B">
        <w:t xml:space="preserve">support their year five and year ten “minimum upload and download speed certifications” with “data from </w:t>
      </w:r>
      <w:r w:rsidRPr="000111FB">
        <w:t>drive</w:t>
      </w:r>
      <w:r w:rsidRPr="00B56A6B">
        <w:t xml:space="preserve"> tests showing mobile transmissions to and from the network meeting or exceeding the speeds delineated in the approved performance plans.”</w:t>
      </w:r>
      <w:r>
        <w:rPr>
          <w:vertAlign w:val="superscript"/>
        </w:rPr>
        <w:footnoteReference w:id="4"/>
      </w:r>
      <w:r w:rsidRPr="00B56A6B">
        <w:t xml:space="preserve">  The </w:t>
      </w:r>
      <w:r w:rsidRPr="00B56A6B">
        <w:rPr>
          <w:i/>
          <w:iCs/>
        </w:rPr>
        <w:t>Alaska Drive Test Order</w:t>
      </w:r>
      <w:r w:rsidRPr="00B56A6B">
        <w:t xml:space="preserve"> </w:t>
      </w:r>
      <w:r w:rsidR="00AA411E">
        <w:t xml:space="preserve">specified the following </w:t>
      </w:r>
      <w:r w:rsidR="00B46169">
        <w:t xml:space="preserve">requirements </w:t>
      </w:r>
      <w:r w:rsidR="00AA411E">
        <w:t>for such drive tests</w:t>
      </w:r>
      <w:r w:rsidRPr="00B56A6B">
        <w:t xml:space="preserve">: </w:t>
      </w:r>
      <w:r>
        <w:t xml:space="preserve"> </w:t>
      </w:r>
      <w:r w:rsidRPr="00B56A6B">
        <w:t xml:space="preserve">“Within each selected grid cell, a carrier must conduct a minimum of </w:t>
      </w:r>
      <w:r w:rsidRPr="00B56A6B">
        <w:t xml:space="preserve">20 tests, no less than 50% of which are to be conducted while </w:t>
      </w:r>
      <w:r w:rsidRPr="0053479A">
        <w:t>in motion from a vehicle</w:t>
      </w:r>
      <w:r w:rsidRPr="00B56A6B">
        <w:t xml:space="preserve">. . . . A mobile test should initiate when moving away from the location of a stationary test </w:t>
      </w:r>
      <w:r w:rsidRPr="0053479A">
        <w:t>after having reached the speed of the surrounding traffic, or a safe and reasonable operating speed i</w:t>
      </w:r>
      <w:r w:rsidRPr="00B56A6B">
        <w:t>n the event no traffic is present.”</w:t>
      </w:r>
      <w:r>
        <w:rPr>
          <w:vertAlign w:val="superscript"/>
        </w:rPr>
        <w:footnoteReference w:id="5"/>
      </w:r>
      <w:r w:rsidRPr="00B56A6B">
        <w:t xml:space="preserve">  Under the drive-test methodology, if a grid cell does not meet </w:t>
      </w:r>
      <w:r>
        <w:t xml:space="preserve">the requirements set forth in the </w:t>
      </w:r>
      <w:r>
        <w:rPr>
          <w:i/>
          <w:iCs/>
        </w:rPr>
        <w:t xml:space="preserve">Alaska Drive Test Order </w:t>
      </w:r>
      <w:r>
        <w:t xml:space="preserve">(including </w:t>
      </w:r>
      <w:r w:rsidRPr="00B56A6B">
        <w:t>the 50% threshold for in-motion drive tests</w:t>
      </w:r>
      <w:r>
        <w:t>)</w:t>
      </w:r>
      <w:r w:rsidRPr="00B56A6B">
        <w:t xml:space="preserve">, the grid </w:t>
      </w:r>
      <w:r>
        <w:t xml:space="preserve">cell </w:t>
      </w:r>
      <w:r w:rsidRPr="00B56A6B">
        <w:t>does not “pass,” and the population in that grid cell would not be counted toward population coverage commitments.</w:t>
      </w:r>
      <w:r>
        <w:rPr>
          <w:rStyle w:val="FootnoteReference"/>
        </w:rPr>
        <w:footnoteReference w:id="6"/>
      </w:r>
    </w:p>
    <w:p w:rsidR="00E47BA4" w:rsidP="007764F6" w14:paraId="652EA038" w14:textId="13DBBC93">
      <w:pPr>
        <w:pStyle w:val="ParaNum"/>
        <w:widowControl/>
        <w:numPr>
          <w:ilvl w:val="0"/>
          <w:numId w:val="7"/>
        </w:numPr>
        <w:tabs>
          <w:tab w:val="clear" w:pos="1080"/>
          <w:tab w:val="num" w:pos="1440"/>
        </w:tabs>
      </w:pPr>
      <w:r>
        <w:t>In response to GCI’s drive-test submission for its five-year certification, Commission staff sent a letter regarding GCI’s use of low in-motion driving speeds (Letter).</w:t>
      </w:r>
      <w:r>
        <w:rPr>
          <w:rStyle w:val="FootnoteReference"/>
        </w:rPr>
        <w:footnoteReference w:id="7"/>
      </w:r>
      <w:r>
        <w:t xml:space="preserve">  The Letter stated that the low driving speeds of some of the in-motion tests were inconsistent with the requirements of the </w:t>
      </w:r>
      <w:r w:rsidRPr="00AB14A3">
        <w:rPr>
          <w:i/>
          <w:iCs/>
        </w:rPr>
        <w:t>Alaska Plan Order</w:t>
      </w:r>
      <w:r>
        <w:t xml:space="preserve"> and the </w:t>
      </w:r>
      <w:r w:rsidRPr="00AB14A3">
        <w:rPr>
          <w:i/>
          <w:iCs/>
        </w:rPr>
        <w:t>Alaska Drive Test Order</w:t>
      </w:r>
      <w:r>
        <w:t>.</w:t>
      </w:r>
      <w:r>
        <w:rPr>
          <w:rStyle w:val="FootnoteReference"/>
        </w:rPr>
        <w:footnoteReference w:id="8"/>
      </w:r>
      <w:r>
        <w:t xml:space="preserve">  Specifically, the Letter stated that, “[</w:t>
      </w:r>
      <w:r>
        <w:t>i</w:t>
      </w:r>
      <w:r>
        <w:t>]</w:t>
      </w:r>
      <w:r w:rsidRPr="006132A7">
        <w:t>n</w:t>
      </w:r>
      <w:r>
        <w:t xml:space="preserve"> </w:t>
      </w:r>
      <w:r w:rsidRPr="006132A7">
        <w:t xml:space="preserve">a significant number of grid cells, most of GCI’s in-motion drive tests were performed at extremely low speeds that </w:t>
      </w:r>
      <w:r>
        <w:t>do</w:t>
      </w:r>
      <w:r w:rsidRPr="006132A7">
        <w:t xml:space="preserve"> not approximate reasonable operating speeds or the </w:t>
      </w:r>
      <w:r>
        <w:t>‘</w:t>
      </w:r>
      <w:r w:rsidRPr="006132A7">
        <w:t>speed of the surrounding traffic</w:t>
      </w:r>
      <w:r>
        <w:t>’”;</w:t>
      </w:r>
      <w:r w:rsidRPr="006132A7">
        <w:t xml:space="preserve"> </w:t>
      </w:r>
      <w:r>
        <w:t>that “[m]</w:t>
      </w:r>
      <w:r w:rsidRPr="006132A7">
        <w:t>any of GCI’s mobile tests were performed at speeds between 0-14 mph</w:t>
      </w:r>
      <w:r>
        <w:t>”;</w:t>
      </w:r>
      <w:r w:rsidRPr="006132A7">
        <w:t xml:space="preserve"> and </w:t>
      </w:r>
      <w:r>
        <w:t>that with respect to those tests performed at speeds between 0 and 14 mph, “</w:t>
      </w:r>
      <w:r w:rsidRPr="006132A7">
        <w:t>a large number of tests were performed at 2 mph or less.</w:t>
      </w:r>
      <w:r>
        <w:t>”</w:t>
      </w:r>
      <w:r>
        <w:rPr>
          <w:rStyle w:val="FootnoteReference"/>
        </w:rPr>
        <w:footnoteReference w:id="9"/>
      </w:r>
      <w:r w:rsidRPr="006132A7">
        <w:t xml:space="preserve">  </w:t>
      </w:r>
      <w:r>
        <w:t>The Letter also stated that, “[a]</w:t>
      </w:r>
      <w:r w:rsidRPr="006132A7">
        <w:t>s a result, many of GCI’s grid</w:t>
      </w:r>
      <w:r>
        <w:t xml:space="preserve"> cell</w:t>
      </w:r>
      <w:r w:rsidRPr="006132A7">
        <w:t xml:space="preserve">s </w:t>
      </w:r>
      <w:r>
        <w:t>‘</w:t>
      </w:r>
      <w:r w:rsidRPr="006132A7">
        <w:t>fail</w:t>
      </w:r>
      <w:r>
        <w:t>’</w:t>
      </w:r>
      <w:r w:rsidRPr="006132A7">
        <w:t xml:space="preserve"> because the grid cells </w:t>
      </w:r>
      <w:r>
        <w:t>do</w:t>
      </w:r>
      <w:r w:rsidRPr="006132A7">
        <w:t xml:space="preserve"> not have 50% or more in-motion </w:t>
      </w:r>
      <w:r>
        <w:t xml:space="preserve">drive </w:t>
      </w:r>
      <w:r w:rsidRPr="006132A7">
        <w:t>tests.</w:t>
      </w:r>
      <w:r>
        <w:t>”</w:t>
      </w:r>
      <w:r>
        <w:rPr>
          <w:rStyle w:val="FootnoteReference"/>
        </w:rPr>
        <w:footnoteReference w:id="10"/>
      </w:r>
      <w:r w:rsidRPr="006132A7">
        <w:t xml:space="preserve">  </w:t>
      </w:r>
      <w:r>
        <w:t>Because a minimum speed was not specifically enumerated in the rules, however, the Letter offered GCI the option to retest grid cells where GCI’s in-motion testing speed was too low (i.e., below 15 mph) or where GCI skipped testing the grid cell initially.</w:t>
      </w:r>
      <w:r>
        <w:rPr>
          <w:rStyle w:val="FootnoteReference"/>
        </w:rPr>
        <w:footnoteReference w:id="11"/>
      </w:r>
      <w:r>
        <w:t xml:space="preserve">  The Letter explicitly noted that GCI could seek a waiver where performing in-motion tests at 15 mph or above might be unsafe or illegal in a particular grid cell.</w:t>
      </w:r>
      <w:r>
        <w:rPr>
          <w:rStyle w:val="FootnoteReference"/>
        </w:rPr>
        <w:footnoteReference w:id="12"/>
      </w:r>
      <w:r>
        <w:t xml:space="preserve">  If GCI accepted the offer,</w:t>
      </w:r>
      <w:r>
        <w:rPr>
          <w:rStyle w:val="FootnoteReference"/>
        </w:rPr>
        <w:footnoteReference w:id="13"/>
      </w:r>
      <w:r>
        <w:t xml:space="preserve"> GCI was to complete the drive testing by August 2.</w:t>
      </w:r>
      <w:r>
        <w:rPr>
          <w:rStyle w:val="FootnoteReference"/>
        </w:rPr>
        <w:footnoteReference w:id="14"/>
      </w:r>
      <w:r>
        <w:t xml:space="preserve">  Accompanying the </w:t>
      </w:r>
      <w:r w:rsidR="008531A4">
        <w:t>L</w:t>
      </w:r>
      <w:r>
        <w:t>etter was a list of 465 grid cells that could be retested.</w:t>
      </w:r>
      <w:r>
        <w:rPr>
          <w:rStyle w:val="FootnoteReference"/>
        </w:rPr>
        <w:footnoteReference w:id="15"/>
      </w:r>
    </w:p>
    <w:p w:rsidR="00E47BA4" w:rsidP="00D11022" w14:paraId="48C55EB5" w14:textId="4D95EBCF">
      <w:pPr>
        <w:pStyle w:val="ParaNum"/>
        <w:keepNext/>
        <w:widowControl/>
        <w:numPr>
          <w:ilvl w:val="0"/>
          <w:numId w:val="7"/>
        </w:numPr>
        <w:tabs>
          <w:tab w:val="clear" w:pos="1080"/>
          <w:tab w:val="num" w:pos="1440"/>
        </w:tabs>
      </w:pPr>
      <w:r>
        <w:t>After accepting the offer to retest these grid cells, GCI filed a Petition for Limited, Expedited Waiver on June 26, 2023</w:t>
      </w:r>
      <w:r w:rsidR="00EE234E">
        <w:t xml:space="preserve"> (Petition)</w:t>
      </w:r>
      <w:r>
        <w:t>.</w:t>
      </w:r>
      <w:r>
        <w:rPr>
          <w:rStyle w:val="FootnoteReference"/>
        </w:rPr>
        <w:footnoteReference w:id="16"/>
      </w:r>
      <w:r>
        <w:t xml:space="preserve">  From the list of grid cells the Competition and </w:t>
      </w:r>
      <w:r>
        <w:t xml:space="preserve">Infrastructure Policy Division (Division) sent to GCI for retesting, GCI </w:t>
      </w:r>
      <w:r w:rsidR="007B3AEA">
        <w:t xml:space="preserve">sought </w:t>
      </w:r>
      <w:r>
        <w:t xml:space="preserve">to waive the 15 mph threshold </w:t>
      </w:r>
      <w:r w:rsidR="001B73B3">
        <w:t xml:space="preserve">for 45 grid cells </w:t>
      </w:r>
      <w:r>
        <w:t>and request</w:t>
      </w:r>
      <w:r w:rsidR="009E6FBB">
        <w:t>ed</w:t>
      </w:r>
      <w:r>
        <w:t xml:space="preserve"> that Commission staff analyze the initial data that were submitted for those grid cells.</w:t>
      </w:r>
      <w:r>
        <w:rPr>
          <w:rStyle w:val="FootnoteReference"/>
        </w:rPr>
        <w:footnoteReference w:id="17"/>
      </w:r>
      <w:r>
        <w:t xml:space="preserve">  GCI further identifie</w:t>
      </w:r>
      <w:r w:rsidR="007B3AEA">
        <w:t>d</w:t>
      </w:r>
      <w:r>
        <w:t xml:space="preserve"> 90 additional grid cells that</w:t>
      </w:r>
      <w:r w:rsidR="000A4DAA">
        <w:t xml:space="preserve"> likely were </w:t>
      </w:r>
      <w:r>
        <w:t>affected by a recent outage of Quintillion’s fiber cable.</w:t>
      </w:r>
      <w:r>
        <w:rPr>
          <w:rStyle w:val="FootnoteReference"/>
        </w:rPr>
        <w:footnoteReference w:id="18"/>
      </w:r>
      <w:r>
        <w:t xml:space="preserve">  For these 90 grid cells, GCI request</w:t>
      </w:r>
      <w:r w:rsidR="007B3AEA">
        <w:t>ed</w:t>
      </w:r>
      <w:r>
        <w:t xml:space="preserve"> two additional consecutive months—within May to October—to retest after the cable is repaired.</w:t>
      </w:r>
      <w:r>
        <w:rPr>
          <w:rStyle w:val="FootnoteReference"/>
        </w:rPr>
        <w:footnoteReference w:id="19"/>
      </w:r>
      <w:r>
        <w:t xml:space="preserve">  For all remaining grid cells that GCI is retesting, GCI request</w:t>
      </w:r>
      <w:r w:rsidR="007B3AEA">
        <w:t>ed</w:t>
      </w:r>
      <w:r>
        <w:t xml:space="preserve"> that the deadline to submit results be October 2, 2023, rather than August 2.</w:t>
      </w:r>
      <w:r>
        <w:rPr>
          <w:rStyle w:val="FootnoteReference"/>
        </w:rPr>
        <w:footnoteReference w:id="20"/>
      </w:r>
      <w:r>
        <w:t xml:space="preserve"> </w:t>
      </w:r>
    </w:p>
    <w:p w:rsidR="00E47BA4" w:rsidP="00350904" w14:paraId="56CF21D7" w14:textId="718B28B2">
      <w:pPr>
        <w:pStyle w:val="ParaNum"/>
        <w:keepNext/>
        <w:widowControl/>
        <w:numPr>
          <w:ilvl w:val="0"/>
          <w:numId w:val="7"/>
        </w:numPr>
        <w:tabs>
          <w:tab w:val="clear" w:pos="1080"/>
          <w:tab w:val="num" w:pos="1440"/>
        </w:tabs>
      </w:pPr>
      <w:r>
        <w:t>On July 18, 2023, GCI filed a supplement to its Petition (Supplement to Petition).</w:t>
      </w:r>
      <w:r>
        <w:rPr>
          <w:rStyle w:val="FootnoteReference"/>
        </w:rPr>
        <w:footnoteReference w:id="21"/>
      </w:r>
      <w:r>
        <w:t xml:space="preserve">  In this </w:t>
      </w:r>
      <w:r w:rsidR="00204FBC">
        <w:t>filing</w:t>
      </w:r>
      <w:r>
        <w:t xml:space="preserve">, GCI </w:t>
      </w:r>
      <w:r w:rsidR="00F22037">
        <w:t xml:space="preserve">sought </w:t>
      </w:r>
      <w:r>
        <w:t>to waive the 15 mph threshold for an additional 110 grid cells.</w:t>
      </w:r>
      <w:r>
        <w:rPr>
          <w:rStyle w:val="FootnoteReference"/>
        </w:rPr>
        <w:footnoteReference w:id="22"/>
      </w:r>
      <w:r>
        <w:t xml:space="preserve">  GCI </w:t>
      </w:r>
      <w:r w:rsidR="00F22037">
        <w:t xml:space="preserve">asserted </w:t>
      </w:r>
      <w:r>
        <w:t>that three of these grid cells present circumstances similar to those identified in its Petition and are unsafe to drive at 15 mph.</w:t>
      </w:r>
      <w:r>
        <w:rPr>
          <w:rStyle w:val="FootnoteReference"/>
        </w:rPr>
        <w:footnoteReference w:id="23"/>
      </w:r>
      <w:r>
        <w:t xml:space="preserve">  GCI assert</w:t>
      </w:r>
      <w:r w:rsidR="00F22037">
        <w:t>ed</w:t>
      </w:r>
      <w:r>
        <w:t xml:space="preserve"> that the remaining 107 grid cells should not be subject to the minimum speed requirement where “</w:t>
      </w:r>
      <w:r w:rsidRPr="00B251DF">
        <w:t>the adopted Alaska Population-Distribution Model indicates that the grid cell has no road</w:t>
      </w:r>
      <w:r>
        <w:t>.”</w:t>
      </w:r>
      <w:r>
        <w:rPr>
          <w:rStyle w:val="FootnoteReference"/>
        </w:rPr>
        <w:footnoteReference w:id="24"/>
      </w:r>
      <w:r>
        <w:t xml:space="preserve">  </w:t>
      </w:r>
    </w:p>
    <w:p w:rsidR="001C1E59" w:rsidP="007764F6" w14:paraId="6F281E21" w14:textId="68DD7DAD">
      <w:pPr>
        <w:pStyle w:val="ParaNum"/>
        <w:widowControl/>
        <w:numPr>
          <w:ilvl w:val="0"/>
          <w:numId w:val="7"/>
        </w:numPr>
        <w:tabs>
          <w:tab w:val="clear" w:pos="1080"/>
          <w:tab w:val="num" w:pos="1440"/>
        </w:tabs>
      </w:pPr>
      <w:r>
        <w:t>On July 31, 2023, the Bureau affirmed that a speed of at least 15 mph is, in general, a necessary floor for in-motion drive testing for Alaska Plan participants, granted GCI’s Petition with a modification, and partially granted GCI’s Supplement to Petition.</w:t>
      </w:r>
      <w:r>
        <w:rPr>
          <w:rStyle w:val="FootnoteReference"/>
        </w:rPr>
        <w:footnoteReference w:id="25"/>
      </w:r>
      <w:r>
        <w:t xml:space="preserve">  Specifically, the Bureau waived the 15 mph threshold for all 45 grid cells in the Petition and three additional grid cells in the Supplement to Petition.</w:t>
      </w:r>
      <w:r>
        <w:rPr>
          <w:rStyle w:val="FootnoteReference"/>
        </w:rPr>
        <w:footnoteReference w:id="26"/>
      </w:r>
      <w:r>
        <w:t xml:space="preserve">  The Bureau did not take action at that time on another 107 grid cells where GCI sought waiver of the 15 mph threshold on the grounds that those grid cells are roadless.</w:t>
      </w:r>
      <w:r>
        <w:rPr>
          <w:rStyle w:val="FootnoteReference"/>
        </w:rPr>
        <w:footnoteReference w:id="27"/>
      </w:r>
      <w:r>
        <w:t xml:space="preserve">  The Bureau also granted an extension of GCI’s deadline for completing all drive retesting until October 2, 2023.</w:t>
      </w:r>
      <w:r>
        <w:rPr>
          <w:rStyle w:val="FootnoteReference"/>
        </w:rPr>
        <w:footnoteReference w:id="28"/>
      </w:r>
    </w:p>
    <w:p w:rsidR="005950EA" w:rsidP="005950EA" w14:paraId="381BBCA8" w14:textId="72FFE5C3">
      <w:pPr>
        <w:pStyle w:val="ParaNum"/>
        <w:keepNext/>
        <w:widowControl/>
        <w:numPr>
          <w:ilvl w:val="0"/>
          <w:numId w:val="7"/>
        </w:numPr>
        <w:tabs>
          <w:tab w:val="clear" w:pos="1080"/>
          <w:tab w:val="num" w:pos="1440"/>
        </w:tabs>
      </w:pPr>
      <w:r>
        <w:t>On August 31, 2023, GCI filed the Second Supplemental Petition.</w:t>
      </w:r>
      <w:r>
        <w:rPr>
          <w:rStyle w:val="FootnoteReference"/>
        </w:rPr>
        <w:footnoteReference w:id="29"/>
      </w:r>
      <w:r>
        <w:t xml:space="preserve">  In this filing, GCI seeks </w:t>
      </w:r>
      <w:r w:rsidRPr="0031643B">
        <w:t xml:space="preserve">to waive the 15 mph threshold for </w:t>
      </w:r>
      <w:r>
        <w:t xml:space="preserve">20 </w:t>
      </w:r>
      <w:r w:rsidRPr="0031643B">
        <w:t>grid cells</w:t>
      </w:r>
      <w:r>
        <w:t xml:space="preserve"> on the grounds that these are unsafe or infeasible to test at 15 mph because they involve unsafe road conditions (12 grid cells), boardwalks (4 grid cells), lack of sufficient roadway (1 grid cell), road construction (1 grid cell), or local restrictions (2 grid cells).</w:t>
      </w:r>
      <w:r>
        <w:rPr>
          <w:rStyle w:val="FootnoteReference"/>
        </w:rPr>
        <w:footnoteReference w:id="30"/>
      </w:r>
      <w:r>
        <w:t xml:space="preserve">  Additionally, GCI seeks a waiver to permit UAS testing in two grid cells where “using a UAS would possibly allow GCI to achieve 15 MPH.”</w:t>
      </w:r>
      <w:r>
        <w:rPr>
          <w:rStyle w:val="FootnoteReference"/>
        </w:rPr>
        <w:footnoteReference w:id="31"/>
      </w:r>
      <w:r>
        <w:t xml:space="preserve">  On September 15, GCI filed an </w:t>
      </w:r>
      <w:r w:rsidRPr="00CF7888">
        <w:rPr>
          <w:i/>
          <w:iCs/>
        </w:rPr>
        <w:t>ex parte</w:t>
      </w:r>
      <w:r>
        <w:t xml:space="preserve"> letter providing additional details about three of the grid cells for which it seeks relief in the Second Supplemental Petition.</w:t>
      </w:r>
      <w:r>
        <w:rPr>
          <w:rStyle w:val="FootnoteReference"/>
        </w:rPr>
        <w:footnoteReference w:id="32"/>
      </w:r>
      <w:r>
        <w:t xml:space="preserve">  </w:t>
      </w:r>
    </w:p>
    <w:p w:rsidR="005950EA" w:rsidP="005950EA" w14:paraId="1B215BDD" w14:textId="24C0123C">
      <w:pPr>
        <w:pStyle w:val="ParaNum"/>
        <w:keepNext/>
        <w:widowControl/>
        <w:numPr>
          <w:ilvl w:val="0"/>
          <w:numId w:val="7"/>
        </w:numPr>
        <w:tabs>
          <w:tab w:val="clear" w:pos="1080"/>
          <w:tab w:val="num" w:pos="1440"/>
        </w:tabs>
      </w:pPr>
      <w:r>
        <w:t>On September 15, 2023, GCI filed the Third Supplemental Petition.  In this filing, GCI seeks to waive the 15 mph threshold for an additional four grid cells on the grounds that these are unsafe or infeasible to test at 15 mph because they involve unsafe road conditions (2 grid cells), boardwalks (1 grid cell), or a lack of access due to mining operations (1 grid cell).</w:t>
      </w:r>
      <w:r>
        <w:rPr>
          <w:rStyle w:val="FootnoteReference"/>
        </w:rPr>
        <w:footnoteReference w:id="33"/>
      </w:r>
      <w:r>
        <w:t xml:space="preserve">  GCI also seeks </w:t>
      </w:r>
      <w:r w:rsidR="006A3FA4">
        <w:t>30 additional days</w:t>
      </w:r>
      <w:r>
        <w:t xml:space="preserve"> to complete drive testing in three grid cells </w:t>
      </w:r>
      <w:r w:rsidR="007A3593">
        <w:t xml:space="preserve">in </w:t>
      </w:r>
      <w:r w:rsidR="007A3593">
        <w:t>Utqiagvik</w:t>
      </w:r>
      <w:r>
        <w:t xml:space="preserve"> that </w:t>
      </w:r>
      <w:r w:rsidR="00641876">
        <w:t xml:space="preserve">were </w:t>
      </w:r>
      <w:r>
        <w:t>affected by the Quintillion cable outage</w:t>
      </w:r>
      <w:r w:rsidR="002219A2">
        <w:t>.</w:t>
      </w:r>
      <w:r>
        <w:rPr>
          <w:rStyle w:val="FootnoteReference"/>
        </w:rPr>
        <w:footnoteReference w:id="34"/>
      </w:r>
      <w:r w:rsidR="00D256A4">
        <w:t xml:space="preserve"> </w:t>
      </w:r>
      <w:r w:rsidR="007D0D58">
        <w:t xml:space="preserve"> </w:t>
      </w:r>
      <w:r w:rsidR="00B52228">
        <w:t xml:space="preserve">GCI requests </w:t>
      </w:r>
      <w:r w:rsidR="00F06335">
        <w:t xml:space="preserve">that </w:t>
      </w:r>
      <w:r w:rsidR="00104FDE">
        <w:t xml:space="preserve">the October 2, 2023 deadline not be </w:t>
      </w:r>
      <w:r w:rsidR="00363944">
        <w:t>stric</w:t>
      </w:r>
      <w:r w:rsidR="0030190D">
        <w:t>t</w:t>
      </w:r>
      <w:r w:rsidR="00363944">
        <w:t xml:space="preserve">ly </w:t>
      </w:r>
      <w:r w:rsidR="00104FDE">
        <w:t>enforced</w:t>
      </w:r>
      <w:r w:rsidR="00F15A52">
        <w:t>,</w:t>
      </w:r>
      <w:r>
        <w:rPr>
          <w:rStyle w:val="FootnoteReference"/>
        </w:rPr>
        <w:footnoteReference w:id="35"/>
      </w:r>
      <w:r w:rsidR="00F15A52">
        <w:t xml:space="preserve"> as GCI will need to </w:t>
      </w:r>
      <w:r w:rsidR="000C4A8F">
        <w:t>implement over 40 rollbacks to transition its service back to Quintillion’s fiber</w:t>
      </w:r>
      <w:r w:rsidR="009B746D">
        <w:t xml:space="preserve"> and reflect GCI’s performance </w:t>
      </w:r>
      <w:r w:rsidR="00C41921">
        <w:t>in the “pre-outage state.”</w:t>
      </w:r>
      <w:r>
        <w:rPr>
          <w:rStyle w:val="FootnoteReference"/>
        </w:rPr>
        <w:footnoteReference w:id="36"/>
      </w:r>
    </w:p>
    <w:p w:rsidR="00E47BA4" w:rsidP="00E47BA4" w14:paraId="63521802" w14:textId="77777777">
      <w:pPr>
        <w:pStyle w:val="Heading1"/>
      </w:pPr>
      <w:r>
        <w:t>discussion</w:t>
      </w:r>
    </w:p>
    <w:p w:rsidR="001B128C" w:rsidP="005950EA" w14:paraId="3B4A8901" w14:textId="21F7EF0F">
      <w:pPr>
        <w:pStyle w:val="ParaNum"/>
        <w:keepNext/>
        <w:widowControl/>
        <w:numPr>
          <w:ilvl w:val="0"/>
          <w:numId w:val="7"/>
        </w:numPr>
        <w:tabs>
          <w:tab w:val="clear" w:pos="1080"/>
          <w:tab w:val="num" w:pos="1440"/>
        </w:tabs>
      </w:pPr>
      <w:r>
        <w:t xml:space="preserve">We waive the 15 mph threshold and will analyze </w:t>
      </w:r>
      <w:r w:rsidR="000E4C95">
        <w:t xml:space="preserve">GCI’s </w:t>
      </w:r>
      <w:r>
        <w:t xml:space="preserve">initial drive test data for </w:t>
      </w:r>
      <w:r w:rsidR="00080191">
        <w:t>2</w:t>
      </w:r>
      <w:r w:rsidR="00E63FA2">
        <w:t>5</w:t>
      </w:r>
      <w:r w:rsidR="00080191">
        <w:t xml:space="preserve"> grid cells in total: </w:t>
      </w:r>
      <w:r w:rsidR="00671950">
        <w:t xml:space="preserve">(a) </w:t>
      </w:r>
      <w:r w:rsidR="004506BD">
        <w:t xml:space="preserve">the </w:t>
      </w:r>
      <w:r w:rsidR="000E4C95">
        <w:t xml:space="preserve">24 grid cells for which </w:t>
      </w:r>
      <w:r w:rsidR="008A2A3D">
        <w:t>GCI claims drive test</w:t>
      </w:r>
      <w:r w:rsidR="00D97E4C">
        <w:t>ing</w:t>
      </w:r>
      <w:r w:rsidR="008A2A3D">
        <w:t xml:space="preserve"> at 15 mph </w:t>
      </w:r>
      <w:r w:rsidR="00CD66EB">
        <w:t xml:space="preserve">would be </w:t>
      </w:r>
      <w:r w:rsidR="005950EA">
        <w:t xml:space="preserve">unsafe or infeasible; </w:t>
      </w:r>
      <w:r w:rsidR="00D80770">
        <w:t xml:space="preserve">and </w:t>
      </w:r>
      <w:r w:rsidR="005950EA">
        <w:t xml:space="preserve">(b) one of the two grid cells for which GCI seeks a waiver to test with UAS.  For the other grid cell subject to GCI’s UAS waiver request, we waive the requirement that GCI must start a drive test in the grid cell randomly selected by the Bureau to be considered a valid test, and we provide a proxy grid cell.  </w:t>
      </w:r>
      <w:r w:rsidR="002E237A">
        <w:t>Accordingly</w:t>
      </w:r>
      <w:r w:rsidR="00707902">
        <w:t xml:space="preserve">, we dismiss </w:t>
      </w:r>
      <w:r w:rsidR="002E237A">
        <w:t xml:space="preserve">as moot </w:t>
      </w:r>
      <w:r w:rsidR="00707902">
        <w:t>GCI’s request</w:t>
      </w:r>
      <w:r w:rsidR="00671950">
        <w:t>s</w:t>
      </w:r>
      <w:r w:rsidR="00707902">
        <w:t xml:space="preserve"> to perform testing with UAS in </w:t>
      </w:r>
      <w:r w:rsidR="00671950">
        <w:t xml:space="preserve">two </w:t>
      </w:r>
      <w:r w:rsidR="002E237A">
        <w:t>grid cells</w:t>
      </w:r>
      <w:r w:rsidRPr="0077029A" w:rsidR="00E6082B">
        <w:t>.</w:t>
      </w:r>
      <w:r w:rsidR="001E069D">
        <w:t xml:space="preserve">  </w:t>
      </w:r>
      <w:r w:rsidRPr="00DE52C0" w:rsidR="00DE52C0">
        <w:t xml:space="preserve">We also extend the drive test deadline to </w:t>
      </w:r>
      <w:r w:rsidR="00190F0A">
        <w:t>November 1</w:t>
      </w:r>
      <w:r w:rsidRPr="00DE52C0" w:rsidR="00DE52C0">
        <w:t>,</w:t>
      </w:r>
      <w:r w:rsidR="00DE52C0">
        <w:t xml:space="preserve"> </w:t>
      </w:r>
      <w:r w:rsidRPr="00DE52C0" w:rsidR="00DE52C0">
        <w:t>2023, for submission of all retested data</w:t>
      </w:r>
      <w:r w:rsidR="0007038E">
        <w:t xml:space="preserve">, which includes the grant of relief requested for the three grid cells in </w:t>
      </w:r>
      <w:r w:rsidR="0007038E">
        <w:t>Utqiagvik</w:t>
      </w:r>
      <w:r w:rsidRPr="00DE52C0" w:rsidR="00DE52C0">
        <w:t>.</w:t>
      </w:r>
      <w:r>
        <w:rPr>
          <w:rStyle w:val="FootnoteReference"/>
        </w:rPr>
        <w:footnoteReference w:id="37"/>
      </w:r>
    </w:p>
    <w:p w:rsidR="005950EA" w:rsidP="00D11022" w14:paraId="6CDDFB28" w14:textId="4DAB9811">
      <w:pPr>
        <w:pStyle w:val="ParaNum"/>
        <w:keepNext/>
        <w:widowControl/>
        <w:numPr>
          <w:ilvl w:val="0"/>
          <w:numId w:val="7"/>
        </w:numPr>
        <w:tabs>
          <w:tab w:val="clear" w:pos="1080"/>
          <w:tab w:val="num" w:pos="1440"/>
        </w:tabs>
      </w:pPr>
      <w:r>
        <w:t>The Commission may waive any provision of the rules on its own motion or on petition “for good cause shown.”</w:t>
      </w:r>
      <w:r>
        <w:rPr>
          <w:rStyle w:val="FootnoteReference"/>
        </w:rPr>
        <w:footnoteReference w:id="38"/>
      </w:r>
      <w:r>
        <w:t xml:space="preserve">  T</w:t>
      </w:r>
      <w:r w:rsidRPr="00EB1500">
        <w:t>he “good cause shown” standard</w:t>
      </w:r>
      <w:r>
        <w:t xml:space="preserve"> can be met when the Commission finds that </w:t>
      </w:r>
      <w:r w:rsidRPr="00EB1500">
        <w:t xml:space="preserve">(1) “special circumstances warrant a deviation from the general rule”; and (2) “such deviation </w:t>
      </w:r>
      <w:r>
        <w:t xml:space="preserve">will </w:t>
      </w:r>
      <w:r w:rsidRPr="00EB1500">
        <w:t>serve the public interest.”</w:t>
      </w:r>
      <w:r>
        <w:rPr>
          <w:rStyle w:val="FootnoteReference"/>
        </w:rPr>
        <w:footnoteReference w:id="39"/>
      </w:r>
      <w:r w:rsidRPr="00EB1500">
        <w:t xml:space="preserve">  A rule waiver may serve the public interest when the relief would not undermine the policy objectives of the rule.</w:t>
      </w:r>
      <w:r>
        <w:rPr>
          <w:rStyle w:val="FootnoteReference"/>
        </w:rPr>
        <w:footnoteReference w:id="40"/>
      </w:r>
      <w:r w:rsidRPr="00EB1500">
        <w:t xml:space="preserve">  In this case, </w:t>
      </w:r>
      <w:r>
        <w:t xml:space="preserve">we find that both prongs of the test are met in </w:t>
      </w:r>
      <w:r w:rsidRPr="00EB1500">
        <w:t xml:space="preserve">granting </w:t>
      </w:r>
      <w:r>
        <w:t>a</w:t>
      </w:r>
      <w:r w:rsidRPr="00EB1500">
        <w:t xml:space="preserve"> limited</w:t>
      </w:r>
      <w:r>
        <w:t xml:space="preserve"> </w:t>
      </w:r>
      <w:r w:rsidRPr="00EB1500">
        <w:t>waiver</w:t>
      </w:r>
      <w:r>
        <w:t xml:space="preserve"> of the 15 mph threshold for the specified grid cells and granting a </w:t>
      </w:r>
      <w:r w:rsidRPr="005950EA">
        <w:rPr>
          <w:i/>
          <w:iCs/>
        </w:rPr>
        <w:t>sua</w:t>
      </w:r>
      <w:r w:rsidRPr="005950EA">
        <w:rPr>
          <w:i/>
          <w:iCs/>
        </w:rPr>
        <w:t xml:space="preserve"> sponte</w:t>
      </w:r>
      <w:r>
        <w:t xml:space="preserve"> waiver of the requirement to start a drive test within a grid cell randomly selected by the Bureau for the specified grid cells.  </w:t>
      </w:r>
    </w:p>
    <w:p w:rsidR="005950EA" w:rsidRPr="00CF7888" w:rsidP="00D11022" w14:paraId="61E3F37E" w14:textId="2B3F0F75">
      <w:pPr>
        <w:pStyle w:val="ParaNum"/>
        <w:keepNext/>
        <w:widowControl/>
        <w:numPr>
          <w:ilvl w:val="0"/>
          <w:numId w:val="7"/>
        </w:numPr>
        <w:tabs>
          <w:tab w:val="clear" w:pos="1080"/>
          <w:tab w:val="num" w:pos="1440"/>
        </w:tabs>
      </w:pPr>
      <w:r w:rsidRPr="00CF7888">
        <w:t>For the 2</w:t>
      </w:r>
      <w:r>
        <w:t>4</w:t>
      </w:r>
      <w:r w:rsidRPr="00CF7888">
        <w:t xml:space="preserve"> grid cells </w:t>
      </w:r>
      <w:r>
        <w:t xml:space="preserve">that </w:t>
      </w:r>
      <w:r w:rsidRPr="00CF7888">
        <w:t>GCI claim</w:t>
      </w:r>
      <w:r>
        <w:t>s</w:t>
      </w:r>
      <w:r w:rsidRPr="00CF7888">
        <w:t xml:space="preserve"> would be unsafe </w:t>
      </w:r>
      <w:r>
        <w:t xml:space="preserve">or infeasible </w:t>
      </w:r>
      <w:r w:rsidRPr="00CF7888">
        <w:t>to test at 15 mph</w:t>
      </w:r>
      <w:r>
        <w:t xml:space="preserve"> in the Second Supplemental Petition and the Third Supplemental Petition</w:t>
      </w:r>
      <w:r w:rsidRPr="00CF7888">
        <w:t>,</w:t>
      </w:r>
      <w:r>
        <w:rPr>
          <w:rStyle w:val="FootnoteReference"/>
        </w:rPr>
        <w:footnoteReference w:id="41"/>
      </w:r>
      <w:r w:rsidRPr="00CF7888">
        <w:t xml:space="preserve"> w</w:t>
      </w:r>
      <w:r w:rsidRPr="001315E6">
        <w:t>e waive the 15 mph threshold and will analyze the initially submitted data.</w:t>
      </w:r>
      <w:r>
        <w:rPr>
          <w:rStyle w:val="FootnoteReference"/>
        </w:rPr>
        <w:footnoteReference w:id="42"/>
      </w:r>
      <w:r w:rsidRPr="001315E6">
        <w:t xml:space="preserve">  </w:t>
      </w:r>
      <w:r w:rsidRPr="00CF7888">
        <w:t xml:space="preserve">Although </w:t>
      </w:r>
      <w:r w:rsidRPr="001315E6">
        <w:t xml:space="preserve">15 mph or greater is consistent with a drive test of a mobile service, the Letter recognized that a waiver may be warranted in certain grid cells </w:t>
      </w:r>
      <w:r>
        <w:t>“</w:t>
      </w:r>
      <w:r w:rsidRPr="001315E6">
        <w:t>where speeds of 15 mph or above may be unsafe or illegal</w:t>
      </w:r>
      <w:r>
        <w:t>”</w:t>
      </w:r>
      <w:r w:rsidRPr="001315E6">
        <w:t xml:space="preserve"> in that particular grid cell.</w:t>
      </w:r>
      <w:r>
        <w:rPr>
          <w:rStyle w:val="FootnoteReference"/>
        </w:rPr>
        <w:footnoteReference w:id="43"/>
      </w:r>
      <w:r w:rsidRPr="001315E6">
        <w:t xml:space="preserve">  GCI has demonstrated that </w:t>
      </w:r>
      <w:r>
        <w:t xml:space="preserve">these </w:t>
      </w:r>
      <w:r w:rsidRPr="001315E6">
        <w:t xml:space="preserve">grid cells would be unsafe </w:t>
      </w:r>
      <w:r>
        <w:t xml:space="preserve">or infeasible </w:t>
      </w:r>
      <w:r w:rsidRPr="001315E6">
        <w:t xml:space="preserve">to test at 15 mph or greater because they involve </w:t>
      </w:r>
      <w:r w:rsidRPr="00CF7888">
        <w:t xml:space="preserve">unsafe road conditions </w:t>
      </w:r>
      <w:r w:rsidRPr="001315E6">
        <w:t>(</w:t>
      </w:r>
      <w:r w:rsidRPr="00CF7888">
        <w:t>1</w:t>
      </w:r>
      <w:r>
        <w:t>4</w:t>
      </w:r>
      <w:r w:rsidRPr="001315E6">
        <w:t xml:space="preserve"> grid cells),</w:t>
      </w:r>
      <w:r>
        <w:rPr>
          <w:rStyle w:val="FootnoteReference"/>
        </w:rPr>
        <w:footnoteReference w:id="44"/>
      </w:r>
      <w:r w:rsidRPr="001315E6">
        <w:t xml:space="preserve"> </w:t>
      </w:r>
      <w:r w:rsidRPr="00CF7888">
        <w:t xml:space="preserve">boardwalks </w:t>
      </w:r>
      <w:r w:rsidRPr="001315E6">
        <w:t>(</w:t>
      </w:r>
      <w:r>
        <w:t>5</w:t>
      </w:r>
      <w:r w:rsidRPr="001315E6">
        <w:t xml:space="preserve"> grid cells),</w:t>
      </w:r>
      <w:r>
        <w:rPr>
          <w:rStyle w:val="FootnoteReference"/>
        </w:rPr>
        <w:footnoteReference w:id="45"/>
      </w:r>
      <w:r w:rsidRPr="001315E6">
        <w:t xml:space="preserve"> </w:t>
      </w:r>
      <w:r w:rsidRPr="00CF7888">
        <w:t xml:space="preserve">lack of </w:t>
      </w:r>
      <w:r w:rsidR="004F0D7C">
        <w:t xml:space="preserve">safe </w:t>
      </w:r>
      <w:r w:rsidR="008A0156">
        <w:t>drivable</w:t>
      </w:r>
      <w:r w:rsidR="004F0D7C">
        <w:t xml:space="preserve"> area</w:t>
      </w:r>
      <w:r w:rsidRPr="001315E6" w:rsidR="004F0D7C">
        <w:t xml:space="preserve"> </w:t>
      </w:r>
      <w:r w:rsidRPr="001315E6">
        <w:t>(</w:t>
      </w:r>
      <w:r w:rsidRPr="00CF7888">
        <w:t>1</w:t>
      </w:r>
      <w:r w:rsidRPr="001315E6">
        <w:t xml:space="preserve"> grid cell),</w:t>
      </w:r>
      <w:r>
        <w:rPr>
          <w:rStyle w:val="FootnoteReference"/>
        </w:rPr>
        <w:footnoteReference w:id="46"/>
      </w:r>
      <w:r w:rsidRPr="001315E6">
        <w:t xml:space="preserve"> </w:t>
      </w:r>
      <w:r w:rsidRPr="00CF7888">
        <w:t>road construction (1</w:t>
      </w:r>
      <w:r w:rsidRPr="001315E6">
        <w:t xml:space="preserve"> grid cell)</w:t>
      </w:r>
      <w:r w:rsidRPr="00CF7888">
        <w:t>,</w:t>
      </w:r>
      <w:r>
        <w:rPr>
          <w:rStyle w:val="FootnoteReference"/>
        </w:rPr>
        <w:footnoteReference w:id="47"/>
      </w:r>
      <w:r w:rsidRPr="00CF7888">
        <w:t xml:space="preserve"> </w:t>
      </w:r>
      <w:r>
        <w:t xml:space="preserve">lack of access due to </w:t>
      </w:r>
      <w:r w:rsidRPr="00CF7888">
        <w:t>local restrictions (2 grid cells)</w:t>
      </w:r>
      <w:r>
        <w:t>,</w:t>
      </w:r>
      <w:r>
        <w:rPr>
          <w:rStyle w:val="FootnoteReference"/>
        </w:rPr>
        <w:footnoteReference w:id="48"/>
      </w:r>
      <w:r>
        <w:t xml:space="preserve"> or a lack of access due to mining operations (1 grid cell</w:t>
      </w:r>
      <w:r w:rsidRPr="00CF7888">
        <w:t>).</w:t>
      </w:r>
      <w:r>
        <w:rPr>
          <w:rStyle w:val="FootnoteReference"/>
        </w:rPr>
        <w:footnoteReference w:id="49"/>
      </w:r>
      <w:r w:rsidRPr="001315E6">
        <w:t xml:space="preserve">  GCI has shown that testing these grid cells above 15 mph could pose safety risks, </w:t>
      </w:r>
      <w:r w:rsidRPr="00CF7888">
        <w:t xml:space="preserve">and </w:t>
      </w:r>
      <w:r w:rsidRPr="001315E6">
        <w:t xml:space="preserve">we find that the hazards in these particular grid cells are special circumstances that warrant a deviation from the 15 mph threshold.  Moreover, waiver of the 15 mph threshold here is in the public interest </w:t>
      </w:r>
      <w:r w:rsidRPr="00CF7888">
        <w:t>because</w:t>
      </w:r>
      <w:r w:rsidRPr="001315E6">
        <w:t xml:space="preserve"> the hazards </w:t>
      </w:r>
      <w:r w:rsidR="00643C37">
        <w:t xml:space="preserve">or infeasibility of accessing these areas </w:t>
      </w:r>
      <w:r w:rsidRPr="001315E6">
        <w:t>suggest that consumers would likely use their mobile service at less than 15 mph in these particular grid cells, and the objective of the 15 mph threshold is to reflect how the mobile network performs when the user is moving.</w:t>
      </w:r>
      <w:r w:rsidRPr="00CF7888">
        <w:t xml:space="preserve"> </w:t>
      </w:r>
      <w:r w:rsidR="00643C37">
        <w:t xml:space="preserve"> As the weather is about to change toward notoriously harsh conditions, we find a waiver of the 15 mph threshold of unsafe and infeasible to test grid cells to be particularly warranted at this point the process, given the additional safety hazards that could occur from additional testing in these areas</w:t>
      </w:r>
      <w:r w:rsidR="00597F1A">
        <w:t xml:space="preserve"> after over a year from the start of </w:t>
      </w:r>
      <w:r w:rsidR="000D32FA">
        <w:t>the</w:t>
      </w:r>
      <w:r w:rsidR="00597F1A">
        <w:t xml:space="preserve"> drive testing</w:t>
      </w:r>
      <w:r w:rsidR="000D32FA">
        <w:t xml:space="preserve"> period</w:t>
      </w:r>
      <w:r w:rsidR="00643C37">
        <w:t>.</w:t>
      </w:r>
    </w:p>
    <w:p w:rsidR="00AB0D26" w:rsidP="00D11022" w14:paraId="21F63087" w14:textId="5FD1049C">
      <w:pPr>
        <w:pStyle w:val="ParaNum"/>
        <w:keepNext/>
        <w:widowControl/>
        <w:numPr>
          <w:ilvl w:val="0"/>
          <w:numId w:val="7"/>
        </w:numPr>
        <w:tabs>
          <w:tab w:val="clear" w:pos="1080"/>
          <w:tab w:val="num" w:pos="1440"/>
        </w:tabs>
      </w:pPr>
      <w:r w:rsidRPr="00CF7888">
        <w:t xml:space="preserve">In addition, </w:t>
      </w:r>
      <w:r w:rsidRPr="00F64547">
        <w:t>for one of the grid cells for which GCI requested a waiver to test with UAS</w:t>
      </w:r>
      <w:r>
        <w:t xml:space="preserve">, </w:t>
      </w:r>
      <w:r w:rsidRPr="00F64547">
        <w:t>grid cell G24531774 in Prudhoe Bay</w:t>
      </w:r>
      <w:r>
        <w:t>,</w:t>
      </w:r>
      <w:r w:rsidRPr="00CF7888">
        <w:t xml:space="preserve"> we waive </w:t>
      </w:r>
      <w:r w:rsidRPr="005950EA">
        <w:rPr>
          <w:i/>
          <w:iCs/>
        </w:rPr>
        <w:t>sua</w:t>
      </w:r>
      <w:r w:rsidRPr="005950EA">
        <w:rPr>
          <w:i/>
          <w:iCs/>
        </w:rPr>
        <w:t xml:space="preserve"> sponte</w:t>
      </w:r>
      <w:r w:rsidRPr="00F64547">
        <w:t xml:space="preserve"> </w:t>
      </w:r>
      <w:r w:rsidRPr="00CF7888">
        <w:t xml:space="preserve">the </w:t>
      </w:r>
      <w:r w:rsidRPr="00F64547">
        <w:t>15 mph threshold and will analyze the initially submitted data</w:t>
      </w:r>
      <w:r w:rsidRPr="00CF7888">
        <w:t>.  Like the grid cells above for which such a waiver was granted, we find based on GCI’s submissions that this grid cell would be unsafe to test at 15 mph.</w:t>
      </w:r>
      <w:r>
        <w:rPr>
          <w:rStyle w:val="FootnoteReference"/>
        </w:rPr>
        <w:footnoteReference w:id="50"/>
      </w:r>
      <w:r w:rsidRPr="00CF7888">
        <w:t xml:space="preserve">  </w:t>
      </w:r>
      <w:r>
        <w:t>As GCI notes, the grid cell is comprised mostly of a lake that contains toxic chemicals and is located on an oil company’s land with highly restricted access.</w:t>
      </w:r>
      <w:r>
        <w:rPr>
          <w:rStyle w:val="FootnoteReference"/>
        </w:rPr>
        <w:footnoteReference w:id="51"/>
      </w:r>
      <w:r>
        <w:t xml:space="preserve">  </w:t>
      </w:r>
      <w:r w:rsidR="001B5DE3">
        <w:t>We find that a waiver is warranted for this grid cell due to the unsafe conditions</w:t>
      </w:r>
      <w:r w:rsidR="00573176">
        <w:t xml:space="preserve"> of this particular grid cell</w:t>
      </w:r>
      <w:r w:rsidR="003F1303">
        <w:t xml:space="preserve"> as well as the likelihood that </w:t>
      </w:r>
      <w:r w:rsidR="00CF3789">
        <w:t xml:space="preserve">the general public presumably would not be using mobile service in this grid cell, given the unsafe </w:t>
      </w:r>
      <w:r w:rsidR="00DC786E">
        <w:t>nature of the area and the restricted access</w:t>
      </w:r>
      <w:r w:rsidR="00CF3789">
        <w:t xml:space="preserve">.  </w:t>
      </w:r>
      <w:r w:rsidR="002919CF">
        <w:t xml:space="preserve">In light of </w:t>
      </w:r>
      <w:r w:rsidR="00C96B06">
        <w:t xml:space="preserve">these unusual circumstances, as well as the onset of </w:t>
      </w:r>
      <w:r w:rsidR="002919CF">
        <w:t>winter in Alaska, we find it reasonable to use GCI’s original drive test data for this grid cell.</w:t>
      </w:r>
      <w:r>
        <w:t xml:space="preserve">  </w:t>
      </w:r>
    </w:p>
    <w:p w:rsidR="005950EA" w:rsidRPr="004E395C" w:rsidP="00D11022" w14:paraId="0101216A" w14:textId="65E5342D">
      <w:pPr>
        <w:pStyle w:val="ParaNum"/>
        <w:keepNext/>
        <w:widowControl/>
        <w:numPr>
          <w:ilvl w:val="0"/>
          <w:numId w:val="7"/>
        </w:numPr>
        <w:tabs>
          <w:tab w:val="clear" w:pos="1080"/>
          <w:tab w:val="num" w:pos="1440"/>
        </w:tabs>
      </w:pPr>
      <w:r>
        <w:t>In the other grid cell that was the subject of GCI’s UAS waiver request, grid cell G06100082 in Adak,</w:t>
      </w:r>
      <w:r w:rsidRPr="00CF7888">
        <w:t xml:space="preserve"> </w:t>
      </w:r>
      <w:r>
        <w:t>w</w:t>
      </w:r>
      <w:r w:rsidRPr="00CF7888">
        <w:t xml:space="preserve">e waive </w:t>
      </w:r>
      <w:r w:rsidRPr="005950EA">
        <w:rPr>
          <w:i/>
          <w:iCs/>
        </w:rPr>
        <w:t>sua</w:t>
      </w:r>
      <w:r w:rsidRPr="005950EA">
        <w:rPr>
          <w:i/>
          <w:iCs/>
        </w:rPr>
        <w:t xml:space="preserve"> sponte</w:t>
      </w:r>
      <w:r w:rsidRPr="00CF7888">
        <w:t xml:space="preserve"> the requirement </w:t>
      </w:r>
      <w:r w:rsidRPr="002B691F">
        <w:t xml:space="preserve">that GCI must start its drive tests in the grid cell </w:t>
      </w:r>
      <w:r>
        <w:t xml:space="preserve">randomly </w:t>
      </w:r>
      <w:r w:rsidRPr="002B691F">
        <w:t>selected by the Bureau to be considered a valid test</w:t>
      </w:r>
      <w:r w:rsidRPr="00CF7888">
        <w:t xml:space="preserve">.  </w:t>
      </w:r>
      <w:r w:rsidR="0045356A">
        <w:t xml:space="preserve">We do so based on GCI’s statement that it is open to testing a proxy grid cell for </w:t>
      </w:r>
      <w:r w:rsidR="006363C1">
        <w:t>this grid cell in Adak</w:t>
      </w:r>
      <w:r w:rsidR="002F68D5">
        <w:t>,</w:t>
      </w:r>
      <w:r>
        <w:rPr>
          <w:rStyle w:val="FootnoteReference"/>
        </w:rPr>
        <w:footnoteReference w:id="52"/>
      </w:r>
      <w:r w:rsidR="0089641F">
        <w:t xml:space="preserve"> and because of the unique aspect </w:t>
      </w:r>
      <w:r w:rsidR="11263317">
        <w:t>that</w:t>
      </w:r>
      <w:r w:rsidR="00B23E6B">
        <w:t xml:space="preserve"> a </w:t>
      </w:r>
      <w:r w:rsidRPr="001D6056" w:rsidR="00B23E6B">
        <w:t xml:space="preserve">single road </w:t>
      </w:r>
      <w:r w:rsidR="00B23E6B">
        <w:t>in the original grid cell runs</w:t>
      </w:r>
      <w:r w:rsidRPr="001D6056" w:rsidR="00B23E6B">
        <w:t xml:space="preserve"> along the border of the</w:t>
      </w:r>
      <w:r w:rsidR="00B23E6B">
        <w:t>se</w:t>
      </w:r>
      <w:r w:rsidRPr="001D6056" w:rsidR="00B23E6B">
        <w:t xml:space="preserve"> two grids</w:t>
      </w:r>
      <w:r w:rsidR="00B061CA">
        <w:t xml:space="preserve"> cells</w:t>
      </w:r>
      <w:r w:rsidRPr="001D6056" w:rsidR="00B23E6B">
        <w:t xml:space="preserve">, </w:t>
      </w:r>
      <w:r w:rsidR="00A101C4">
        <w:t xml:space="preserve">making </w:t>
      </w:r>
      <w:r w:rsidRPr="001D6056" w:rsidR="00B23E6B">
        <w:t xml:space="preserve">it difficult to remain in a single grid </w:t>
      </w:r>
      <w:r w:rsidR="00201CB5">
        <w:t xml:space="preserve">cell </w:t>
      </w:r>
      <w:r w:rsidRPr="001D6056" w:rsidR="00B23E6B">
        <w:t>while testing this area</w:t>
      </w:r>
      <w:r w:rsidR="00B23E6B">
        <w:t xml:space="preserve">.  </w:t>
      </w:r>
      <w:r>
        <w:t>Because this grid cell contains limited roadway and rugged terrain,</w:t>
      </w:r>
      <w:r>
        <w:rPr>
          <w:rStyle w:val="FootnoteReference"/>
        </w:rPr>
        <w:footnoteReference w:id="53"/>
      </w:r>
      <w:r>
        <w:t xml:space="preserve"> GCI may conduct testing in the original grid cell, in a proxy grid cell (</w:t>
      </w:r>
      <w:r w:rsidRPr="00DF4C09">
        <w:t>G06090082</w:t>
      </w:r>
      <w:r>
        <w:t>), or in both, consistent with the criteria set forth in the Bureau’s July 2022 Order.</w:t>
      </w:r>
      <w:r>
        <w:rPr>
          <w:rStyle w:val="FootnoteReference"/>
        </w:rPr>
        <w:footnoteReference w:id="54"/>
      </w:r>
      <w:r w:rsidR="00712864">
        <w:t xml:space="preserve"> </w:t>
      </w:r>
      <w:r>
        <w:t xml:space="preserve"> </w:t>
      </w:r>
      <w:r w:rsidR="00201CB5">
        <w:t>Based on the Alaska Population Distribution Model,</w:t>
      </w:r>
      <w:r>
        <w:rPr>
          <w:rStyle w:val="FootnoteReference"/>
        </w:rPr>
        <w:footnoteReference w:id="55"/>
      </w:r>
      <w:r w:rsidR="00201CB5">
        <w:t xml:space="preserve"> t</w:t>
      </w:r>
      <w:r w:rsidR="00AD2B20">
        <w:t xml:space="preserve">he population in this grid cell would be more likely to be </w:t>
      </w:r>
      <w:r w:rsidR="00201CB5">
        <w:t>counted as</w:t>
      </w:r>
      <w:r w:rsidR="00AD2B20">
        <w:t xml:space="preserve"> located near the single road</w:t>
      </w:r>
      <w:r w:rsidR="00395CA0">
        <w:t>, which traverses both grid cells</w:t>
      </w:r>
      <w:r w:rsidR="00AD2B20">
        <w:t xml:space="preserve">.  As such, we find that allowing GCI a means to drive test on the road in both grid cells will provide more accurate results of GCI’s population coverage in that area than UAS testing.  </w:t>
      </w:r>
      <w:r>
        <w:t xml:space="preserve">Accordingly, we will allow the testing to occur in both grids so that GCI can perform on-the-ground drive testing, rather than needing to use UAS to test the original grid cell.  </w:t>
      </w:r>
      <w:r w:rsidRPr="00CF7888">
        <w:t>In light of these two actions, we dismiss as moot GCI’s request for a waiver to permit UAS testing in these grid cells.</w:t>
      </w:r>
    </w:p>
    <w:p w:rsidR="005950EA" w:rsidP="005950EA" w14:paraId="572829DC" w14:textId="27F568CB">
      <w:pPr>
        <w:pStyle w:val="ParaNum"/>
        <w:keepNext/>
        <w:widowControl/>
        <w:numPr>
          <w:ilvl w:val="0"/>
          <w:numId w:val="7"/>
        </w:numPr>
        <w:tabs>
          <w:tab w:val="clear" w:pos="1080"/>
          <w:tab w:val="num" w:pos="1440"/>
        </w:tabs>
      </w:pPr>
      <w:r>
        <w:t>Despite waiving the retesting requirement for 2</w:t>
      </w:r>
      <w:r w:rsidR="00F57550">
        <w:t>5</w:t>
      </w:r>
      <w:r>
        <w:t xml:space="preserve"> grid cells as indicated above,</w:t>
      </w:r>
      <w:r>
        <w:rPr>
          <w:rStyle w:val="FootnoteReference"/>
        </w:rPr>
        <w:footnoteReference w:id="56"/>
      </w:r>
      <w:r>
        <w:t xml:space="preserve"> we will allow GCI to voluntarily retest any of those grid cells should it so choose.</w:t>
      </w:r>
      <w:r>
        <w:rPr>
          <w:rStyle w:val="FootnoteReference"/>
        </w:rPr>
        <w:footnoteReference w:id="57"/>
      </w:r>
      <w:r>
        <w:t xml:space="preserve">  Consistent with the </w:t>
      </w:r>
      <w:r w:rsidRPr="005950EA">
        <w:rPr>
          <w:i/>
          <w:iCs/>
        </w:rPr>
        <w:t>First Waiver Order</w:t>
      </w:r>
      <w:r>
        <w:t>,</w:t>
      </w:r>
      <w:r>
        <w:rPr>
          <w:rStyle w:val="FootnoteReference"/>
        </w:rPr>
        <w:footnoteReference w:id="58"/>
      </w:r>
      <w:r>
        <w:t xml:space="preserve"> any voluntary retest of the 2</w:t>
      </w:r>
      <w:r w:rsidR="00F57550">
        <w:t>5</w:t>
      </w:r>
      <w:r>
        <w:t xml:space="preserve"> grid cells will be considered in-motion if conducted at speeds of at least </w:t>
      </w:r>
      <w:r w:rsidRPr="00EE5681">
        <w:t>the second</w:t>
      </w:r>
      <w:r>
        <w:t>-</w:t>
      </w:r>
      <w:r w:rsidRPr="00EE5681">
        <w:t>fastest speed</w:t>
      </w:r>
      <w:r>
        <w:t xml:space="preserve"> from its initial testing for that grid</w:t>
      </w:r>
      <w:r w:rsidRPr="00EE5681">
        <w:t xml:space="preserve"> </w:t>
      </w:r>
      <w:r>
        <w:t xml:space="preserve">cell </w:t>
      </w:r>
      <w:r w:rsidRPr="00EE5681">
        <w:t xml:space="preserve">(defined as the average speed for an uplink and downlink paired test) rounded down to the nearest mile per hour.  </w:t>
      </w:r>
      <w:r w:rsidRPr="00CF7888">
        <w:t xml:space="preserve">For example, in grid cell </w:t>
      </w:r>
      <w:r w:rsidRPr="00A57569">
        <w:t>G23440601</w:t>
      </w:r>
      <w:r w:rsidRPr="00CF7888">
        <w:t xml:space="preserve">, where the second-fastest speed was </w:t>
      </w:r>
      <w:r w:rsidRPr="00A92969">
        <w:t xml:space="preserve">10.95 </w:t>
      </w:r>
      <w:r w:rsidRPr="00CF7888">
        <w:t xml:space="preserve">mph, a test would be considered in motion if it were at least </w:t>
      </w:r>
      <w:r w:rsidRPr="00A92969">
        <w:t xml:space="preserve">10 </w:t>
      </w:r>
      <w:r w:rsidRPr="00BA451C">
        <w:t xml:space="preserve">mph </w:t>
      </w:r>
      <w:r w:rsidRPr="00CF7888">
        <w:t>in that grid cell.</w:t>
      </w:r>
    </w:p>
    <w:p w:rsidR="00E47BA4" w:rsidP="005950EA" w14:paraId="07B0D0F5" w14:textId="4B06FE13">
      <w:pPr>
        <w:pStyle w:val="ParaNum"/>
        <w:keepNext/>
        <w:widowControl/>
        <w:numPr>
          <w:ilvl w:val="0"/>
          <w:numId w:val="7"/>
        </w:numPr>
        <w:tabs>
          <w:tab w:val="clear" w:pos="1080"/>
          <w:tab w:val="num" w:pos="1440"/>
        </w:tabs>
      </w:pPr>
      <w:r>
        <w:t>In addition</w:t>
      </w:r>
      <w:r w:rsidR="00A07FE4">
        <w:t xml:space="preserve">, </w:t>
      </w:r>
      <w:r w:rsidR="00712BBF">
        <w:t xml:space="preserve">we further extend the deadline for </w:t>
      </w:r>
      <w:r w:rsidR="00F17CAD">
        <w:t xml:space="preserve">GCI to submit </w:t>
      </w:r>
      <w:r w:rsidR="00885864">
        <w:t xml:space="preserve">its </w:t>
      </w:r>
      <w:r w:rsidR="00933D1C">
        <w:t xml:space="preserve">drive testing results to </w:t>
      </w:r>
      <w:r w:rsidR="00D82479">
        <w:t>November 1</w:t>
      </w:r>
      <w:r w:rsidR="00933D1C">
        <w:t xml:space="preserve">, 2023.  </w:t>
      </w:r>
      <w:r w:rsidR="00CF5710">
        <w:t xml:space="preserve">GCI requested </w:t>
      </w:r>
      <w:r w:rsidR="00364FB0">
        <w:t>(</w:t>
      </w:r>
      <w:r w:rsidR="00364FB0">
        <w:t>i</w:t>
      </w:r>
      <w:r w:rsidR="00364FB0">
        <w:t>)</w:t>
      </w:r>
      <w:r w:rsidR="00CF5710">
        <w:t xml:space="preserve"> that </w:t>
      </w:r>
      <w:r w:rsidR="0001744E">
        <w:t xml:space="preserve">the Commission grant </w:t>
      </w:r>
      <w:r w:rsidR="00527B7E">
        <w:t>an extension of an</w:t>
      </w:r>
      <w:r w:rsidRPr="00527B7E" w:rsidR="00527B7E">
        <w:t xml:space="preserve"> additional </w:t>
      </w:r>
      <w:r w:rsidR="0001744E">
        <w:t xml:space="preserve">30 days </w:t>
      </w:r>
      <w:r w:rsidRPr="00527B7E" w:rsidR="00527B7E">
        <w:t>from</w:t>
      </w:r>
      <w:r w:rsidR="0001744E">
        <w:t xml:space="preserve"> the </w:t>
      </w:r>
      <w:r w:rsidRPr="00527B7E" w:rsidR="00527B7E">
        <w:t xml:space="preserve">date that </w:t>
      </w:r>
      <w:r w:rsidR="0001744E">
        <w:t xml:space="preserve">Quintillion </w:t>
      </w:r>
      <w:r w:rsidRPr="00527B7E" w:rsidR="00527B7E">
        <w:t>announce</w:t>
      </w:r>
      <w:r w:rsidR="00713BAD">
        <w:t>s</w:t>
      </w:r>
      <w:r w:rsidRPr="00527B7E" w:rsidR="00527B7E">
        <w:t xml:space="preserve"> service is restored to </w:t>
      </w:r>
      <w:r w:rsidR="00E8512D">
        <w:t xml:space="preserve">allow GCI to </w:t>
      </w:r>
      <w:r w:rsidRPr="00527B7E" w:rsidR="00527B7E">
        <w:t>submit results for th</w:t>
      </w:r>
      <w:r w:rsidR="00D626FD">
        <w:t>ree</w:t>
      </w:r>
      <w:r w:rsidRPr="00527B7E" w:rsidR="00527B7E">
        <w:t xml:space="preserve"> affected grid cells</w:t>
      </w:r>
      <w:r w:rsidR="00D626FD">
        <w:t xml:space="preserve"> in </w:t>
      </w:r>
      <w:r w:rsidR="00D626FD">
        <w:t>Utqiagvik</w:t>
      </w:r>
      <w:r w:rsidR="00364FB0">
        <w:t>,</w:t>
      </w:r>
      <w:r>
        <w:rPr>
          <w:rStyle w:val="FootnoteReference"/>
        </w:rPr>
        <w:footnoteReference w:id="59"/>
      </w:r>
      <w:r w:rsidR="000B2296">
        <w:t xml:space="preserve"> and </w:t>
      </w:r>
      <w:r w:rsidR="00C609F4">
        <w:t>(ii)</w:t>
      </w:r>
      <w:r w:rsidR="00364FB0">
        <w:t xml:space="preserve"> that</w:t>
      </w:r>
      <w:r w:rsidR="000B2296">
        <w:t xml:space="preserve"> the Commission not strictly enforce the October 2 deadline due to the Quintillion fiber cut.</w:t>
      </w:r>
      <w:r>
        <w:rPr>
          <w:rStyle w:val="FootnoteReference"/>
        </w:rPr>
        <w:footnoteReference w:id="60"/>
      </w:r>
      <w:r w:rsidRPr="00527B7E" w:rsidR="00527B7E">
        <w:t xml:space="preserve"> </w:t>
      </w:r>
      <w:r w:rsidR="00246052">
        <w:t xml:space="preserve"> </w:t>
      </w:r>
      <w:r w:rsidR="006B63FD">
        <w:t xml:space="preserve">Quintillion </w:t>
      </w:r>
      <w:r w:rsidR="00143251">
        <w:t>announced repair of its fiber cable</w:t>
      </w:r>
      <w:r w:rsidR="006B63FD">
        <w:t xml:space="preserve"> on September 19,</w:t>
      </w:r>
      <w:r>
        <w:rPr>
          <w:rStyle w:val="FootnoteReference"/>
        </w:rPr>
        <w:footnoteReference w:id="61"/>
      </w:r>
      <w:r w:rsidR="006B63FD">
        <w:t xml:space="preserve"> four days after GCI’s Third Supplement</w:t>
      </w:r>
      <w:r w:rsidR="00854A2A">
        <w:t>al</w:t>
      </w:r>
      <w:r w:rsidR="006B63FD">
        <w:t xml:space="preserve"> Petition was received by the Commission.</w:t>
      </w:r>
      <w:r>
        <w:rPr>
          <w:rStyle w:val="FootnoteReference"/>
        </w:rPr>
        <w:footnoteReference w:id="62"/>
      </w:r>
      <w:r w:rsidR="006B63FD">
        <w:t xml:space="preserve">  </w:t>
      </w:r>
      <w:r w:rsidR="00435E00">
        <w:t>In addition to the Quintillion areas, w</w:t>
      </w:r>
      <w:r w:rsidR="007F170F">
        <w:t xml:space="preserve">e find it </w:t>
      </w:r>
      <w:r w:rsidR="00562202">
        <w:t>reasonable</w:t>
      </w:r>
      <w:r w:rsidR="007F170F">
        <w:t xml:space="preserve"> to give GCI additional time to complete drive testing </w:t>
      </w:r>
      <w:r w:rsidR="00101735">
        <w:t>in the original and proxy grid cells</w:t>
      </w:r>
      <w:r w:rsidR="00EF1358">
        <w:t xml:space="preserve"> in Adak (G06100082 and </w:t>
      </w:r>
      <w:r w:rsidRPr="00DF4C09" w:rsidR="00EF1358">
        <w:t>G06090082</w:t>
      </w:r>
      <w:r w:rsidR="00EF1358">
        <w:t>)</w:t>
      </w:r>
      <w:r w:rsidR="008929C4">
        <w:t>, as detailed above</w:t>
      </w:r>
      <w:r w:rsidR="00EF1358">
        <w:t xml:space="preserve">. </w:t>
      </w:r>
      <w:r w:rsidR="0057571A">
        <w:t xml:space="preserve"> As noted in the pr</w:t>
      </w:r>
      <w:r w:rsidR="00267113">
        <w:t xml:space="preserve">ior waiver </w:t>
      </w:r>
      <w:r w:rsidR="000F4059">
        <w:t>order,</w:t>
      </w:r>
      <w:r w:rsidRPr="000F4059" w:rsidR="000F4059">
        <w:t xml:space="preserve"> aligning the </w:t>
      </w:r>
      <w:r w:rsidR="000F4059">
        <w:t>deadlines for</w:t>
      </w:r>
      <w:r w:rsidRPr="000F4059" w:rsidR="000F4059">
        <w:t xml:space="preserve"> GCI to submit all of its data in one batch </w:t>
      </w:r>
      <w:r w:rsidR="000F4059">
        <w:t>will</w:t>
      </w:r>
      <w:r w:rsidRPr="000F4059" w:rsidR="000F4059">
        <w:t xml:space="preserve"> make efficient use of</w:t>
      </w:r>
      <w:r w:rsidR="000F4059">
        <w:t xml:space="preserve"> </w:t>
      </w:r>
      <w:r w:rsidRPr="000F4059" w:rsidR="000F4059">
        <w:t>any quality check efforts it will give the data before submission.</w:t>
      </w:r>
      <w:r>
        <w:rPr>
          <w:rStyle w:val="FootnoteReference"/>
        </w:rPr>
        <w:footnoteReference w:id="63"/>
      </w:r>
      <w:r w:rsidR="00AD1B6B">
        <w:t xml:space="preserve">  Accordingly, </w:t>
      </w:r>
      <w:r w:rsidR="00C02006">
        <w:t xml:space="preserve">we grant the sought relief for the </w:t>
      </w:r>
      <w:r w:rsidR="004E0875">
        <w:t xml:space="preserve">three affected grid cells in </w:t>
      </w:r>
      <w:r w:rsidR="004E0875">
        <w:t>Utqiagvik</w:t>
      </w:r>
      <w:r>
        <w:rPr>
          <w:rStyle w:val="FootnoteReference"/>
        </w:rPr>
        <w:footnoteReference w:id="64"/>
      </w:r>
      <w:r w:rsidR="004E0875">
        <w:t xml:space="preserve"> and extend that relief</w:t>
      </w:r>
      <w:r w:rsidR="000B47F5">
        <w:t>:</w:t>
      </w:r>
      <w:r w:rsidR="004E0875">
        <w:t xml:space="preserve"> </w:t>
      </w:r>
      <w:r w:rsidR="00AD1B6B">
        <w:t>GCI m</w:t>
      </w:r>
      <w:r w:rsidR="00274E28">
        <w:t xml:space="preserve">ust </w:t>
      </w:r>
      <w:r w:rsidR="00C95228">
        <w:t>complete</w:t>
      </w:r>
      <w:r w:rsidR="00274E28">
        <w:t xml:space="preserve"> all retesting and submit its results by </w:t>
      </w:r>
      <w:r w:rsidR="00030BC0">
        <w:t>November 1</w:t>
      </w:r>
      <w:r w:rsidR="00274E28">
        <w:t>, 2023.</w:t>
      </w:r>
    </w:p>
    <w:p w:rsidR="00E47BA4" w:rsidP="00E47BA4" w14:paraId="627033D6" w14:textId="7EEA6691">
      <w:pPr>
        <w:pStyle w:val="Heading1"/>
      </w:pPr>
      <w:r>
        <w:t>ordering clauses</w:t>
      </w:r>
    </w:p>
    <w:p w:rsidR="00E47BA4" w:rsidP="005950EA" w14:paraId="058181B8" w14:textId="5D6698EF">
      <w:pPr>
        <w:pStyle w:val="ParaNum"/>
        <w:keepNext/>
        <w:widowControl/>
        <w:numPr>
          <w:ilvl w:val="0"/>
          <w:numId w:val="7"/>
        </w:numPr>
        <w:tabs>
          <w:tab w:val="clear" w:pos="1080"/>
          <w:tab w:val="num" w:pos="1440"/>
        </w:tabs>
      </w:pPr>
      <w:r>
        <w:t xml:space="preserve">Accordingly, IT IS ORDERED, pursuant to the authority contained in sections 1-4, 201, 254, 301, 303, 308, 309, and 332 of the Communications Act of 1934, as amended, 47 U.S.C. §§ 151-154, 201, 254, 301, 303, 308, 309, 332, and sections 0.131, 0.311, 1.3, </w:t>
      </w:r>
      <w:r w:rsidR="006A2927">
        <w:t xml:space="preserve">1.925, </w:t>
      </w:r>
      <w:r>
        <w:t xml:space="preserve">54.317, 54.320, and 54.321 of the Commission’s rules, 47 CFR §§ 0.131, 0.311, 1.3, </w:t>
      </w:r>
      <w:r w:rsidR="006A2927">
        <w:t xml:space="preserve">1.925, </w:t>
      </w:r>
      <w:r>
        <w:t xml:space="preserve">54.317, 54.320, 54.321 that these waivers ARE ADOPTED. </w:t>
      </w:r>
    </w:p>
    <w:p w:rsidR="00897217" w:rsidP="005950EA" w14:paraId="57EA53E9" w14:textId="459611AB">
      <w:pPr>
        <w:pStyle w:val="ParaNum"/>
        <w:keepNext/>
        <w:widowControl/>
        <w:numPr>
          <w:ilvl w:val="0"/>
          <w:numId w:val="7"/>
        </w:numPr>
        <w:tabs>
          <w:tab w:val="clear" w:pos="1080"/>
          <w:tab w:val="num" w:pos="1440"/>
        </w:tabs>
      </w:pPr>
      <w:r>
        <w:t xml:space="preserve">IT IS FURTHER ORDERED </w:t>
      </w:r>
      <w:r w:rsidRPr="001564A2" w:rsidR="001564A2">
        <w:t>pursuant to the authority contained in sections 1-4, 201, 254, 301, 303, 308, 309, and 332 of the Communications Act of 1934, as amended, 47 U.S.C. §§ 151-154, 201, 254, 301, 303, 308, 309, 332, and sections 0.131, 0.311, 1.3, 1.925, 54.317, 54.320, and 54.321 of the Commission’s rules, 47 CFR §§ 0.131, 0.311, 1.3, 1.925, 54.317, 54.320, 54.321</w:t>
      </w:r>
      <w:r w:rsidR="001564A2">
        <w:t xml:space="preserve"> </w:t>
      </w:r>
      <w:r>
        <w:t xml:space="preserve">that the GCI Petition for Waiver to Permit UAS testing in grid cells G24531774 and G06100082 </w:t>
      </w:r>
      <w:r w:rsidR="00377FC0">
        <w:t>ARE</w:t>
      </w:r>
      <w:r>
        <w:t xml:space="preserve"> DISMISSED AS MOOT.</w:t>
      </w:r>
    </w:p>
    <w:p w:rsidR="00E47BA4" w:rsidP="005950EA" w14:paraId="545A35AD" w14:textId="77777777">
      <w:pPr>
        <w:pStyle w:val="ParaNum"/>
        <w:keepNext/>
        <w:widowControl/>
        <w:numPr>
          <w:ilvl w:val="0"/>
          <w:numId w:val="7"/>
        </w:numPr>
        <w:tabs>
          <w:tab w:val="clear" w:pos="1080"/>
          <w:tab w:val="num" w:pos="1440"/>
        </w:tabs>
      </w:pPr>
      <w:r>
        <w:t>IT IS FURTHER ORDERED that, pursuant to section 1.102(b)(1) of the Commission’s rules, 47 CFR § 1.102(b)(1), this Order SHALL BE EFFECTIVE upon release.</w:t>
      </w:r>
    </w:p>
    <w:p w:rsidR="00E47BA4" w:rsidP="00E47BA4" w14:paraId="23CA12C7" w14:textId="77777777">
      <w:pPr>
        <w:pStyle w:val="ParaNum"/>
        <w:keepNext/>
        <w:keepLines/>
        <w:widowControl/>
        <w:numPr>
          <w:ilvl w:val="0"/>
          <w:numId w:val="0"/>
        </w:numPr>
        <w:ind w:left="4680"/>
        <w:rPr>
          <w:rFonts w:ascii="TimesNewRomanPSMT" w:hAnsi="TimesNewRomanPSMT" w:cs="TimesNewRomanPSMT"/>
          <w:snapToGrid/>
          <w:kern w:val="0"/>
          <w:szCs w:val="22"/>
        </w:rPr>
      </w:pPr>
    </w:p>
    <w:p w:rsidR="00E47BA4" w:rsidP="00E47BA4" w14:paraId="1A3F2979" w14:textId="77777777">
      <w:pPr>
        <w:keepNext/>
        <w:keepLines/>
        <w:widowControl/>
      </w:pPr>
      <w:r>
        <w:tab/>
      </w:r>
      <w:r>
        <w:tab/>
      </w:r>
      <w:r>
        <w:tab/>
      </w:r>
      <w:r>
        <w:tab/>
      </w:r>
      <w:r>
        <w:tab/>
      </w:r>
      <w:r>
        <w:tab/>
        <w:t>FEDERAL COMMUNICATIONS COMMISSION</w:t>
      </w:r>
    </w:p>
    <w:p w:rsidR="00E47BA4" w:rsidP="00E47BA4" w14:paraId="0426BDE2" w14:textId="77777777">
      <w:pPr>
        <w:keepNext/>
        <w:keepLines/>
        <w:widowControl/>
      </w:pPr>
    </w:p>
    <w:p w:rsidR="00E47BA4" w:rsidP="00E47BA4" w14:paraId="5D4F400C" w14:textId="77777777">
      <w:pPr>
        <w:keepNext/>
        <w:keepLines/>
        <w:widowControl/>
      </w:pPr>
    </w:p>
    <w:p w:rsidR="00E47BA4" w:rsidP="00E47BA4" w14:paraId="4458E7FF" w14:textId="77777777">
      <w:pPr>
        <w:keepNext/>
        <w:keepLines/>
        <w:widowControl/>
      </w:pPr>
    </w:p>
    <w:p w:rsidR="00E47BA4" w:rsidP="00E47BA4" w14:paraId="21C90119" w14:textId="77777777">
      <w:pPr>
        <w:keepNext/>
        <w:keepLines/>
        <w:widowControl/>
      </w:pPr>
    </w:p>
    <w:p w:rsidR="00E47BA4" w:rsidP="00E47BA4" w14:paraId="373BDF4B" w14:textId="77777777">
      <w:pPr>
        <w:keepNext/>
        <w:keepLines/>
        <w:widowControl/>
      </w:pPr>
      <w:r>
        <w:tab/>
      </w:r>
      <w:r>
        <w:tab/>
      </w:r>
      <w:r>
        <w:tab/>
      </w:r>
      <w:r>
        <w:tab/>
      </w:r>
      <w:r>
        <w:tab/>
      </w:r>
      <w:r>
        <w:tab/>
        <w:t>Joel Taubenblatt</w:t>
      </w:r>
    </w:p>
    <w:p w:rsidR="00E47BA4" w:rsidP="00E47BA4" w14:paraId="0EF21777" w14:textId="77777777">
      <w:pPr>
        <w:keepNext/>
        <w:keepLines/>
        <w:widowControl/>
      </w:pPr>
      <w:r>
        <w:tab/>
      </w:r>
      <w:r>
        <w:tab/>
      </w:r>
      <w:r>
        <w:tab/>
      </w:r>
      <w:r>
        <w:tab/>
      </w:r>
      <w:r>
        <w:tab/>
      </w:r>
      <w:r>
        <w:tab/>
        <w:t xml:space="preserve">Chief, </w:t>
      </w:r>
    </w:p>
    <w:p w:rsidR="00E47BA4" w:rsidP="00E47BA4" w14:paraId="787AF430" w14:textId="77777777">
      <w:pPr>
        <w:keepNext/>
        <w:keepLines/>
        <w:widowControl/>
      </w:pPr>
      <w:r>
        <w:tab/>
      </w:r>
      <w:r>
        <w:tab/>
      </w:r>
      <w:r>
        <w:tab/>
      </w:r>
      <w:r>
        <w:tab/>
      </w:r>
      <w:r>
        <w:tab/>
      </w:r>
      <w:r>
        <w:tab/>
      </w:r>
      <w:r w:rsidRPr="0006369A">
        <w:t>Wireless Telecommunications Bureau</w:t>
      </w:r>
    </w:p>
    <w:p w:rsidR="00D606E8" w14:paraId="2D6D0C9B" w14:textId="77777777">
      <w:pPr>
        <w:widowControl/>
        <w:rPr>
          <w:b/>
          <w:bCs/>
        </w:rPr>
      </w:pPr>
      <w:r>
        <w:rPr>
          <w:b/>
          <w:bCs/>
        </w:rPr>
        <w:br w:type="page"/>
      </w:r>
    </w:p>
    <w:p w:rsidR="00E47BA4" w:rsidP="00E47BA4" w14:paraId="59FBF715" w14:textId="206713BD">
      <w:pPr>
        <w:keepNext/>
        <w:keepLines/>
        <w:widowControl/>
        <w:jc w:val="center"/>
        <w:rPr>
          <w:b/>
          <w:bCs/>
        </w:rPr>
      </w:pPr>
      <w:r w:rsidRPr="000C4ECC">
        <w:rPr>
          <w:b/>
          <w:bCs/>
        </w:rPr>
        <w:t>APPENDIX</w:t>
      </w:r>
      <w:r>
        <w:rPr>
          <w:b/>
          <w:bCs/>
        </w:rPr>
        <w:t xml:space="preserve">: </w:t>
      </w:r>
    </w:p>
    <w:p w:rsidR="00E47BA4" w:rsidP="00E47BA4" w14:paraId="3242C27D" w14:textId="664DF046">
      <w:pPr>
        <w:keepNext/>
        <w:keepLines/>
        <w:widowControl/>
        <w:jc w:val="center"/>
        <w:rPr>
          <w:b/>
          <w:bCs/>
        </w:rPr>
      </w:pPr>
      <w:r w:rsidRPr="00912636">
        <w:rPr>
          <w:b/>
          <w:bCs/>
        </w:rPr>
        <w:t xml:space="preserve">List of </w:t>
      </w:r>
      <w:r w:rsidRPr="00346851" w:rsidR="002E085C">
        <w:rPr>
          <w:b/>
          <w:bCs/>
        </w:rPr>
        <w:t>2</w:t>
      </w:r>
      <w:r w:rsidR="000A3AA1">
        <w:rPr>
          <w:b/>
          <w:bCs/>
        </w:rPr>
        <w:t>5</w:t>
      </w:r>
      <w:r>
        <w:rPr>
          <w:b/>
          <w:bCs/>
        </w:rPr>
        <w:t xml:space="preserve"> </w:t>
      </w:r>
      <w:r w:rsidRPr="00912636">
        <w:rPr>
          <w:b/>
          <w:bCs/>
        </w:rPr>
        <w:t xml:space="preserve">Grid Cells </w:t>
      </w:r>
      <w:r w:rsidR="002E085C">
        <w:rPr>
          <w:b/>
          <w:bCs/>
        </w:rPr>
        <w:t xml:space="preserve">for which the </w:t>
      </w:r>
      <w:r>
        <w:rPr>
          <w:b/>
          <w:bCs/>
        </w:rPr>
        <w:t xml:space="preserve">15 MPH </w:t>
      </w:r>
      <w:r w:rsidR="002E085C">
        <w:rPr>
          <w:b/>
          <w:bCs/>
        </w:rPr>
        <w:t>Requirement is Waived</w:t>
      </w:r>
    </w:p>
    <w:p w:rsidR="00050316" w:rsidRPr="000C4ECC" w:rsidP="00E47BA4" w14:paraId="04FDFEDB" w14:textId="77777777">
      <w:pPr>
        <w:keepNext/>
        <w:keepLines/>
        <w:widowControl/>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14:paraId="58DF6FB7"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5" w:type="dxa"/>
            <w:shd w:val="clear" w:color="auto" w:fill="auto"/>
          </w:tcPr>
          <w:p w:rsidR="00DF4BFA" w:rsidP="00DF4BFA" w14:paraId="5051BA25" w14:textId="13BF59DA">
            <w:pPr>
              <w:keepNext/>
              <w:keepLines/>
              <w:widowControl/>
              <w:jc w:val="center"/>
              <w:rPr>
                <w:rFonts w:eastAsia="Calibri"/>
                <w:szCs w:val="22"/>
              </w:rPr>
            </w:pPr>
            <w:r w:rsidRPr="0040347E">
              <w:t xml:space="preserve">G16760680 </w:t>
            </w:r>
          </w:p>
        </w:tc>
        <w:tc>
          <w:tcPr>
            <w:tcW w:w="4675" w:type="dxa"/>
            <w:shd w:val="clear" w:color="auto" w:fill="auto"/>
          </w:tcPr>
          <w:p w:rsidR="00DF4BFA" w:rsidP="00DF4BFA" w14:paraId="6A5EFB66" w14:textId="0AF525C8">
            <w:pPr>
              <w:keepNext/>
              <w:keepLines/>
              <w:widowControl/>
              <w:jc w:val="center"/>
              <w:rPr>
                <w:rFonts w:eastAsia="Calibri"/>
                <w:szCs w:val="22"/>
              </w:rPr>
            </w:pPr>
            <w:r w:rsidRPr="0040347E">
              <w:t>Kwigillingok</w:t>
            </w:r>
          </w:p>
        </w:tc>
      </w:tr>
      <w:tr w14:paraId="66E86DC6" w14:textId="77777777">
        <w:tblPrEx>
          <w:tblW w:w="0" w:type="auto"/>
          <w:tblLook w:val="04A0"/>
        </w:tblPrEx>
        <w:tc>
          <w:tcPr>
            <w:tcW w:w="4675" w:type="dxa"/>
            <w:shd w:val="clear" w:color="auto" w:fill="auto"/>
          </w:tcPr>
          <w:p w:rsidR="00DF4BFA" w:rsidP="00DF4BFA" w14:paraId="0ECD9C65" w14:textId="20EDAD9A">
            <w:pPr>
              <w:keepNext/>
              <w:keepLines/>
              <w:widowControl/>
              <w:jc w:val="center"/>
              <w:rPr>
                <w:rFonts w:eastAsia="Calibri"/>
                <w:szCs w:val="22"/>
              </w:rPr>
            </w:pPr>
            <w:r w:rsidRPr="0040347E">
              <w:t xml:space="preserve">G16760683 </w:t>
            </w:r>
          </w:p>
        </w:tc>
        <w:tc>
          <w:tcPr>
            <w:tcW w:w="4675" w:type="dxa"/>
            <w:shd w:val="clear" w:color="auto" w:fill="auto"/>
          </w:tcPr>
          <w:p w:rsidR="00DF4BFA" w:rsidP="00DF4BFA" w14:paraId="00F58B2A" w14:textId="4EBB5EFC">
            <w:pPr>
              <w:keepNext/>
              <w:keepLines/>
              <w:widowControl/>
              <w:jc w:val="center"/>
              <w:rPr>
                <w:rFonts w:eastAsia="Calibri"/>
                <w:szCs w:val="22"/>
              </w:rPr>
            </w:pPr>
            <w:r w:rsidRPr="0040347E">
              <w:t>Kwigillingok</w:t>
            </w:r>
          </w:p>
        </w:tc>
      </w:tr>
      <w:tr w14:paraId="148F3FA5" w14:textId="77777777">
        <w:tblPrEx>
          <w:tblW w:w="0" w:type="auto"/>
          <w:tblLook w:val="04A0"/>
        </w:tblPrEx>
        <w:tc>
          <w:tcPr>
            <w:tcW w:w="4675" w:type="dxa"/>
            <w:shd w:val="clear" w:color="auto" w:fill="auto"/>
          </w:tcPr>
          <w:p w:rsidR="00307C7F" w:rsidRPr="0040347E" w:rsidP="00DF4BFA" w14:paraId="131CB79D" w14:textId="38A6FF3C">
            <w:pPr>
              <w:keepNext/>
              <w:keepLines/>
              <w:widowControl/>
              <w:jc w:val="center"/>
            </w:pPr>
            <w:r w:rsidRPr="00307C7F">
              <w:t>G16960932</w:t>
            </w:r>
          </w:p>
        </w:tc>
        <w:tc>
          <w:tcPr>
            <w:tcW w:w="4675" w:type="dxa"/>
            <w:shd w:val="clear" w:color="auto" w:fill="auto"/>
          </w:tcPr>
          <w:p w:rsidR="00307C7F" w:rsidRPr="0040347E" w:rsidP="00DF4BFA" w14:paraId="4FBCAEEB" w14:textId="2F2A1C39">
            <w:pPr>
              <w:keepNext/>
              <w:keepLines/>
              <w:widowControl/>
              <w:jc w:val="center"/>
            </w:pPr>
            <w:r>
              <w:t>Mountain Village</w:t>
            </w:r>
          </w:p>
        </w:tc>
      </w:tr>
      <w:tr w14:paraId="55F7AEA9" w14:textId="77777777">
        <w:tblPrEx>
          <w:tblW w:w="0" w:type="auto"/>
          <w:tblLook w:val="04A0"/>
        </w:tblPrEx>
        <w:tc>
          <w:tcPr>
            <w:tcW w:w="4675" w:type="dxa"/>
            <w:shd w:val="clear" w:color="auto" w:fill="auto"/>
          </w:tcPr>
          <w:p w:rsidR="00DF4BFA" w:rsidP="00DF4BFA" w14:paraId="487E90BB" w14:textId="739E9447">
            <w:pPr>
              <w:keepNext/>
              <w:keepLines/>
              <w:widowControl/>
              <w:jc w:val="center"/>
              <w:rPr>
                <w:rFonts w:eastAsia="Calibri"/>
                <w:szCs w:val="22"/>
              </w:rPr>
            </w:pPr>
            <w:r w:rsidRPr="0040347E">
              <w:t xml:space="preserve">G18140875 </w:t>
            </w:r>
          </w:p>
        </w:tc>
        <w:tc>
          <w:tcPr>
            <w:tcW w:w="4675" w:type="dxa"/>
            <w:shd w:val="clear" w:color="auto" w:fill="auto"/>
          </w:tcPr>
          <w:p w:rsidR="00DF4BFA" w:rsidP="00DF4BFA" w14:paraId="3A8330E6" w14:textId="23E8641E">
            <w:pPr>
              <w:keepNext/>
              <w:keepLines/>
              <w:widowControl/>
              <w:jc w:val="center"/>
              <w:rPr>
                <w:rFonts w:eastAsia="Calibri"/>
                <w:szCs w:val="22"/>
              </w:rPr>
            </w:pPr>
            <w:r w:rsidRPr="0040347E">
              <w:t>Russian Mission</w:t>
            </w:r>
          </w:p>
        </w:tc>
      </w:tr>
      <w:tr w14:paraId="7CD397E1" w14:textId="77777777">
        <w:tblPrEx>
          <w:tblW w:w="0" w:type="auto"/>
          <w:tblLook w:val="04A0"/>
        </w:tblPrEx>
        <w:tc>
          <w:tcPr>
            <w:tcW w:w="4675" w:type="dxa"/>
            <w:shd w:val="clear" w:color="auto" w:fill="auto"/>
          </w:tcPr>
          <w:p w:rsidR="00DF4BFA" w:rsidP="00DF4BFA" w14:paraId="19F471B3" w14:textId="5A228EED">
            <w:pPr>
              <w:keepNext/>
              <w:keepLines/>
              <w:widowControl/>
              <w:jc w:val="center"/>
              <w:rPr>
                <w:rFonts w:eastAsia="Calibri"/>
                <w:szCs w:val="22"/>
              </w:rPr>
            </w:pPr>
            <w:r w:rsidRPr="0040347E">
              <w:t xml:space="preserve">G24030779 </w:t>
            </w:r>
          </w:p>
        </w:tc>
        <w:tc>
          <w:tcPr>
            <w:tcW w:w="4675" w:type="dxa"/>
            <w:shd w:val="clear" w:color="auto" w:fill="auto"/>
          </w:tcPr>
          <w:p w:rsidR="00DF4BFA" w:rsidP="00DF4BFA" w14:paraId="51BA8D82" w14:textId="3B18612F">
            <w:pPr>
              <w:keepNext/>
              <w:keepLines/>
              <w:widowControl/>
              <w:jc w:val="center"/>
              <w:rPr>
                <w:rFonts w:eastAsia="Calibri"/>
                <w:szCs w:val="22"/>
              </w:rPr>
            </w:pPr>
            <w:r w:rsidRPr="0040347E">
              <w:t>Valley</w:t>
            </w:r>
          </w:p>
        </w:tc>
      </w:tr>
      <w:tr w14:paraId="39ECE473" w14:textId="77777777">
        <w:tblPrEx>
          <w:tblW w:w="0" w:type="auto"/>
          <w:tblLook w:val="04A0"/>
        </w:tblPrEx>
        <w:tc>
          <w:tcPr>
            <w:tcW w:w="4675" w:type="dxa"/>
            <w:shd w:val="clear" w:color="auto" w:fill="auto"/>
          </w:tcPr>
          <w:p w:rsidR="00DF4BFA" w:rsidP="00DF4BFA" w14:paraId="00B9D042" w14:textId="389381E7">
            <w:pPr>
              <w:keepNext/>
              <w:keepLines/>
              <w:widowControl/>
              <w:jc w:val="center"/>
              <w:rPr>
                <w:rFonts w:eastAsia="Calibri"/>
                <w:szCs w:val="22"/>
              </w:rPr>
            </w:pPr>
            <w:r w:rsidRPr="0040347E">
              <w:t xml:space="preserve">G24080796 </w:t>
            </w:r>
          </w:p>
        </w:tc>
        <w:tc>
          <w:tcPr>
            <w:tcW w:w="4675" w:type="dxa"/>
            <w:shd w:val="clear" w:color="auto" w:fill="auto"/>
          </w:tcPr>
          <w:p w:rsidR="00DF4BFA" w:rsidP="00DF4BFA" w14:paraId="737711A5" w14:textId="429A9F3B">
            <w:pPr>
              <w:keepNext/>
              <w:keepLines/>
              <w:widowControl/>
              <w:jc w:val="center"/>
              <w:rPr>
                <w:rFonts w:eastAsia="Calibri"/>
                <w:szCs w:val="22"/>
              </w:rPr>
            </w:pPr>
            <w:r w:rsidRPr="0040347E">
              <w:t>Valley</w:t>
            </w:r>
          </w:p>
        </w:tc>
      </w:tr>
      <w:tr w14:paraId="19C87D14" w14:textId="77777777">
        <w:tblPrEx>
          <w:tblW w:w="0" w:type="auto"/>
          <w:tblLook w:val="04A0"/>
        </w:tblPrEx>
        <w:tc>
          <w:tcPr>
            <w:tcW w:w="4675" w:type="dxa"/>
            <w:shd w:val="clear" w:color="auto" w:fill="auto"/>
          </w:tcPr>
          <w:p w:rsidR="00DF4BFA" w:rsidP="00DF4BFA" w14:paraId="5004D862" w14:textId="6B1990C0">
            <w:pPr>
              <w:keepNext/>
              <w:keepLines/>
              <w:widowControl/>
              <w:jc w:val="center"/>
              <w:rPr>
                <w:rFonts w:eastAsia="Calibri"/>
                <w:szCs w:val="22"/>
              </w:rPr>
            </w:pPr>
            <w:r w:rsidRPr="0040347E">
              <w:t xml:space="preserve">G25281180 </w:t>
            </w:r>
          </w:p>
        </w:tc>
        <w:tc>
          <w:tcPr>
            <w:tcW w:w="4675" w:type="dxa"/>
            <w:shd w:val="clear" w:color="auto" w:fill="auto"/>
          </w:tcPr>
          <w:p w:rsidR="00DF4BFA" w:rsidP="00DF4BFA" w14:paraId="64EE01D0" w14:textId="20554F7C">
            <w:pPr>
              <w:keepNext/>
              <w:keepLines/>
              <w:widowControl/>
              <w:jc w:val="center"/>
              <w:rPr>
                <w:rFonts w:eastAsia="Calibri"/>
                <w:szCs w:val="22"/>
              </w:rPr>
            </w:pPr>
            <w:r w:rsidRPr="0040347E">
              <w:t>Fairbanks/North Pole</w:t>
            </w:r>
          </w:p>
        </w:tc>
      </w:tr>
      <w:tr w14:paraId="68FC27CB" w14:textId="77777777">
        <w:tblPrEx>
          <w:tblW w:w="0" w:type="auto"/>
          <w:tblLook w:val="04A0"/>
        </w:tblPrEx>
        <w:tc>
          <w:tcPr>
            <w:tcW w:w="4675" w:type="dxa"/>
            <w:shd w:val="clear" w:color="auto" w:fill="auto"/>
          </w:tcPr>
          <w:p w:rsidR="00DF4BFA" w:rsidP="00DF4BFA" w14:paraId="3B732D0D" w14:textId="50F2D346">
            <w:pPr>
              <w:keepNext/>
              <w:keepLines/>
              <w:widowControl/>
              <w:jc w:val="center"/>
              <w:rPr>
                <w:rFonts w:eastAsia="Calibri"/>
                <w:szCs w:val="22"/>
              </w:rPr>
            </w:pPr>
            <w:r w:rsidRPr="0040347E">
              <w:t xml:space="preserve">G31880641 </w:t>
            </w:r>
          </w:p>
        </w:tc>
        <w:tc>
          <w:tcPr>
            <w:tcW w:w="4675" w:type="dxa"/>
            <w:shd w:val="clear" w:color="auto" w:fill="auto"/>
          </w:tcPr>
          <w:p w:rsidR="00DF4BFA" w:rsidP="00DF4BFA" w14:paraId="4C941BD2" w14:textId="7F6D3BD8">
            <w:pPr>
              <w:keepNext/>
              <w:keepLines/>
              <w:widowControl/>
              <w:jc w:val="center"/>
              <w:rPr>
                <w:rFonts w:eastAsia="Calibri"/>
                <w:szCs w:val="22"/>
              </w:rPr>
            </w:pPr>
            <w:r w:rsidRPr="0040347E">
              <w:t>Klukwan</w:t>
            </w:r>
          </w:p>
        </w:tc>
      </w:tr>
      <w:tr w14:paraId="5CB68B4A" w14:textId="77777777">
        <w:tblPrEx>
          <w:tblW w:w="0" w:type="auto"/>
          <w:tblLook w:val="04A0"/>
        </w:tblPrEx>
        <w:tc>
          <w:tcPr>
            <w:tcW w:w="4675" w:type="dxa"/>
            <w:shd w:val="clear" w:color="auto" w:fill="auto"/>
          </w:tcPr>
          <w:p w:rsidR="00DF4BFA" w:rsidP="00DF4BFA" w14:paraId="2C8F9527" w14:textId="36DC45CD">
            <w:pPr>
              <w:keepNext/>
              <w:keepLines/>
              <w:widowControl/>
              <w:jc w:val="center"/>
              <w:rPr>
                <w:rFonts w:eastAsia="Calibri"/>
                <w:szCs w:val="22"/>
              </w:rPr>
            </w:pPr>
            <w:r w:rsidRPr="0040347E">
              <w:t xml:space="preserve">G31890640 </w:t>
            </w:r>
          </w:p>
        </w:tc>
        <w:tc>
          <w:tcPr>
            <w:tcW w:w="4675" w:type="dxa"/>
            <w:shd w:val="clear" w:color="auto" w:fill="auto"/>
          </w:tcPr>
          <w:p w:rsidR="00DF4BFA" w:rsidP="00DF4BFA" w14:paraId="1B59BD0E" w14:textId="5400B665">
            <w:pPr>
              <w:keepNext/>
              <w:keepLines/>
              <w:widowControl/>
              <w:jc w:val="center"/>
              <w:rPr>
                <w:rFonts w:eastAsia="Calibri"/>
                <w:szCs w:val="22"/>
              </w:rPr>
            </w:pPr>
            <w:r w:rsidRPr="0040347E">
              <w:t>Klukwan</w:t>
            </w:r>
          </w:p>
        </w:tc>
      </w:tr>
      <w:tr w14:paraId="1AA2ED50" w14:textId="77777777">
        <w:tblPrEx>
          <w:tblW w:w="0" w:type="auto"/>
          <w:tblLook w:val="04A0"/>
        </w:tblPrEx>
        <w:tc>
          <w:tcPr>
            <w:tcW w:w="4675" w:type="dxa"/>
            <w:shd w:val="clear" w:color="auto" w:fill="auto"/>
          </w:tcPr>
          <w:p w:rsidR="00DF4BFA" w:rsidP="00DF4BFA" w14:paraId="38E18CCF" w14:textId="26EA546D">
            <w:pPr>
              <w:keepNext/>
              <w:keepLines/>
              <w:widowControl/>
              <w:jc w:val="center"/>
              <w:rPr>
                <w:rFonts w:eastAsia="Calibri"/>
                <w:szCs w:val="22"/>
              </w:rPr>
            </w:pPr>
            <w:r w:rsidRPr="0040347E">
              <w:t xml:space="preserve">G31890641 </w:t>
            </w:r>
          </w:p>
        </w:tc>
        <w:tc>
          <w:tcPr>
            <w:tcW w:w="4675" w:type="dxa"/>
            <w:shd w:val="clear" w:color="auto" w:fill="auto"/>
          </w:tcPr>
          <w:p w:rsidR="00DF4BFA" w:rsidP="00DF4BFA" w14:paraId="3FE3A0F7" w14:textId="10388983">
            <w:pPr>
              <w:keepNext/>
              <w:keepLines/>
              <w:widowControl/>
              <w:jc w:val="center"/>
              <w:rPr>
                <w:rFonts w:eastAsia="Calibri"/>
                <w:szCs w:val="22"/>
              </w:rPr>
            </w:pPr>
            <w:r w:rsidRPr="0040347E">
              <w:t>Klukwan</w:t>
            </w:r>
          </w:p>
        </w:tc>
      </w:tr>
      <w:tr w14:paraId="3D1C4374" w14:textId="77777777">
        <w:tblPrEx>
          <w:tblW w:w="0" w:type="auto"/>
          <w:tblLook w:val="04A0"/>
        </w:tblPrEx>
        <w:tc>
          <w:tcPr>
            <w:tcW w:w="4675" w:type="dxa"/>
            <w:shd w:val="clear" w:color="auto" w:fill="auto"/>
          </w:tcPr>
          <w:p w:rsidR="00DF4BFA" w:rsidP="00DF4BFA" w14:paraId="7776D7C6" w14:textId="78B0D586">
            <w:pPr>
              <w:keepNext/>
              <w:keepLines/>
              <w:widowControl/>
              <w:jc w:val="center"/>
              <w:rPr>
                <w:rFonts w:eastAsia="Calibri"/>
                <w:szCs w:val="22"/>
              </w:rPr>
            </w:pPr>
            <w:r w:rsidRPr="0040347E">
              <w:t xml:space="preserve">G31900639 </w:t>
            </w:r>
          </w:p>
        </w:tc>
        <w:tc>
          <w:tcPr>
            <w:tcW w:w="4675" w:type="dxa"/>
            <w:shd w:val="clear" w:color="auto" w:fill="auto"/>
          </w:tcPr>
          <w:p w:rsidR="00DF4BFA" w:rsidP="00DF4BFA" w14:paraId="2540AC3C" w14:textId="624510BB">
            <w:pPr>
              <w:keepNext/>
              <w:keepLines/>
              <w:widowControl/>
              <w:jc w:val="center"/>
              <w:rPr>
                <w:rFonts w:eastAsia="Calibri"/>
                <w:szCs w:val="22"/>
              </w:rPr>
            </w:pPr>
            <w:r w:rsidRPr="0040347E">
              <w:t>Klukwan</w:t>
            </w:r>
          </w:p>
        </w:tc>
      </w:tr>
      <w:tr w14:paraId="740789FC" w14:textId="77777777">
        <w:tblPrEx>
          <w:tblW w:w="0" w:type="auto"/>
          <w:tblLook w:val="04A0"/>
        </w:tblPrEx>
        <w:tc>
          <w:tcPr>
            <w:tcW w:w="4675" w:type="dxa"/>
            <w:shd w:val="clear" w:color="auto" w:fill="auto"/>
          </w:tcPr>
          <w:p w:rsidR="00DF4BFA" w14:paraId="005481D3" w14:textId="4438B3B8">
            <w:pPr>
              <w:keepNext/>
              <w:keepLines/>
              <w:widowControl/>
              <w:jc w:val="center"/>
              <w:rPr>
                <w:rFonts w:eastAsia="Calibri"/>
                <w:szCs w:val="22"/>
              </w:rPr>
            </w:pPr>
            <w:r w:rsidRPr="00333F2C">
              <w:rPr>
                <w:rFonts w:eastAsia="Calibri"/>
                <w:szCs w:val="22"/>
              </w:rPr>
              <w:t>G32260537</w:t>
            </w:r>
          </w:p>
        </w:tc>
        <w:tc>
          <w:tcPr>
            <w:tcW w:w="4675" w:type="dxa"/>
            <w:shd w:val="clear" w:color="auto" w:fill="auto"/>
          </w:tcPr>
          <w:p w:rsidR="00DF4BFA" w14:paraId="45053679" w14:textId="7B8A6EFA">
            <w:pPr>
              <w:keepNext/>
              <w:keepLines/>
              <w:widowControl/>
              <w:jc w:val="center"/>
              <w:rPr>
                <w:rFonts w:eastAsia="Calibri"/>
                <w:szCs w:val="22"/>
              </w:rPr>
            </w:pPr>
            <w:r w:rsidRPr="00333F2C">
              <w:rPr>
                <w:rFonts w:eastAsia="Calibri"/>
                <w:szCs w:val="22"/>
              </w:rPr>
              <w:t>Gustavus</w:t>
            </w:r>
          </w:p>
        </w:tc>
      </w:tr>
      <w:tr w14:paraId="5A8ACCAD" w14:textId="77777777">
        <w:tblPrEx>
          <w:tblW w:w="0" w:type="auto"/>
          <w:tblLook w:val="04A0"/>
        </w:tblPrEx>
        <w:tc>
          <w:tcPr>
            <w:tcW w:w="4675" w:type="dxa"/>
            <w:shd w:val="clear" w:color="auto" w:fill="auto"/>
          </w:tcPr>
          <w:p w:rsidR="00A3121B" w:rsidP="00A3121B" w14:paraId="60458274" w14:textId="5CFA2C73">
            <w:pPr>
              <w:keepNext/>
              <w:keepLines/>
              <w:widowControl/>
              <w:jc w:val="center"/>
              <w:rPr>
                <w:rFonts w:eastAsia="Calibri"/>
                <w:szCs w:val="22"/>
              </w:rPr>
            </w:pPr>
            <w:r w:rsidRPr="008A4CE5">
              <w:t xml:space="preserve">G16290699 </w:t>
            </w:r>
          </w:p>
        </w:tc>
        <w:tc>
          <w:tcPr>
            <w:tcW w:w="4675" w:type="dxa"/>
            <w:shd w:val="clear" w:color="auto" w:fill="auto"/>
          </w:tcPr>
          <w:p w:rsidR="00A3121B" w:rsidP="00A3121B" w14:paraId="65AA8A5C" w14:textId="479B62C9">
            <w:pPr>
              <w:keepNext/>
              <w:keepLines/>
              <w:widowControl/>
              <w:jc w:val="center"/>
              <w:rPr>
                <w:rFonts w:eastAsia="Calibri"/>
                <w:szCs w:val="22"/>
              </w:rPr>
            </w:pPr>
            <w:r w:rsidRPr="00A3121B">
              <w:rPr>
                <w:rFonts w:eastAsia="Calibri"/>
                <w:szCs w:val="22"/>
              </w:rPr>
              <w:t>Kipnuk</w:t>
            </w:r>
          </w:p>
        </w:tc>
      </w:tr>
      <w:tr w14:paraId="05BB71FD" w14:textId="77777777">
        <w:tblPrEx>
          <w:tblW w:w="0" w:type="auto"/>
          <w:tblLook w:val="04A0"/>
        </w:tblPrEx>
        <w:tc>
          <w:tcPr>
            <w:tcW w:w="4675" w:type="dxa"/>
            <w:shd w:val="clear" w:color="auto" w:fill="auto"/>
          </w:tcPr>
          <w:p w:rsidR="00A3121B" w:rsidP="00A3121B" w14:paraId="19DB0036" w14:textId="1D185E87">
            <w:pPr>
              <w:keepNext/>
              <w:keepLines/>
              <w:widowControl/>
              <w:jc w:val="center"/>
              <w:rPr>
                <w:rFonts w:eastAsia="Calibri"/>
                <w:szCs w:val="22"/>
              </w:rPr>
            </w:pPr>
            <w:r w:rsidRPr="008A4CE5">
              <w:t xml:space="preserve">G17281034 </w:t>
            </w:r>
          </w:p>
        </w:tc>
        <w:tc>
          <w:tcPr>
            <w:tcW w:w="4675" w:type="dxa"/>
            <w:shd w:val="clear" w:color="auto" w:fill="auto"/>
          </w:tcPr>
          <w:p w:rsidR="00A3121B" w:rsidP="00A3121B" w14:paraId="01A3D8A9" w14:textId="272DE790">
            <w:pPr>
              <w:keepNext/>
              <w:keepLines/>
              <w:widowControl/>
              <w:jc w:val="center"/>
              <w:rPr>
                <w:rFonts w:eastAsia="Calibri"/>
                <w:szCs w:val="22"/>
              </w:rPr>
            </w:pPr>
            <w:r>
              <w:rPr>
                <w:rFonts w:eastAsia="Calibri"/>
                <w:szCs w:val="22"/>
              </w:rPr>
              <w:t>Kotlik</w:t>
            </w:r>
          </w:p>
        </w:tc>
      </w:tr>
      <w:tr w14:paraId="3E35193D" w14:textId="77777777">
        <w:tblPrEx>
          <w:tblW w:w="0" w:type="auto"/>
          <w:tblLook w:val="04A0"/>
        </w:tblPrEx>
        <w:tc>
          <w:tcPr>
            <w:tcW w:w="4675" w:type="dxa"/>
            <w:shd w:val="clear" w:color="auto" w:fill="auto"/>
          </w:tcPr>
          <w:p w:rsidR="00A3121B" w:rsidP="00A3121B" w14:paraId="031098EF" w14:textId="2376D117">
            <w:pPr>
              <w:keepNext/>
              <w:keepLines/>
              <w:widowControl/>
              <w:jc w:val="center"/>
              <w:rPr>
                <w:rFonts w:eastAsia="Calibri"/>
                <w:szCs w:val="22"/>
              </w:rPr>
            </w:pPr>
            <w:r w:rsidRPr="008A4CE5">
              <w:t xml:space="preserve">G17291034 </w:t>
            </w:r>
          </w:p>
        </w:tc>
        <w:tc>
          <w:tcPr>
            <w:tcW w:w="4675" w:type="dxa"/>
            <w:shd w:val="clear" w:color="auto" w:fill="auto"/>
          </w:tcPr>
          <w:p w:rsidR="00A3121B" w:rsidP="00A3121B" w14:paraId="2EC7B345" w14:textId="2FC70DE2">
            <w:pPr>
              <w:keepNext/>
              <w:keepLines/>
              <w:widowControl/>
              <w:jc w:val="center"/>
              <w:rPr>
                <w:rFonts w:eastAsia="Calibri"/>
                <w:szCs w:val="22"/>
              </w:rPr>
            </w:pPr>
            <w:r>
              <w:rPr>
                <w:rFonts w:eastAsia="Calibri"/>
                <w:szCs w:val="22"/>
              </w:rPr>
              <w:t>Kotlik</w:t>
            </w:r>
          </w:p>
        </w:tc>
      </w:tr>
      <w:tr w14:paraId="0C7DFA31" w14:textId="77777777">
        <w:tblPrEx>
          <w:tblW w:w="0" w:type="auto"/>
          <w:tblLook w:val="04A0"/>
        </w:tblPrEx>
        <w:tc>
          <w:tcPr>
            <w:tcW w:w="4675" w:type="dxa"/>
            <w:shd w:val="clear" w:color="auto" w:fill="auto"/>
          </w:tcPr>
          <w:p w:rsidR="00A3121B" w:rsidP="00A3121B" w14:paraId="161616E6" w14:textId="1E92CE6E">
            <w:pPr>
              <w:keepNext/>
              <w:keepLines/>
              <w:widowControl/>
              <w:jc w:val="center"/>
              <w:rPr>
                <w:rFonts w:eastAsia="Calibri"/>
                <w:szCs w:val="22"/>
              </w:rPr>
            </w:pPr>
            <w:r w:rsidRPr="008A4CE5">
              <w:t>G23340578</w:t>
            </w:r>
          </w:p>
        </w:tc>
        <w:tc>
          <w:tcPr>
            <w:tcW w:w="4675" w:type="dxa"/>
            <w:shd w:val="clear" w:color="auto" w:fill="auto"/>
          </w:tcPr>
          <w:p w:rsidR="00A3121B" w:rsidP="00A3121B" w14:paraId="687931F2" w14:textId="774B6015">
            <w:pPr>
              <w:keepNext/>
              <w:keepLines/>
              <w:widowControl/>
              <w:jc w:val="center"/>
              <w:rPr>
                <w:rFonts w:eastAsia="Calibri"/>
                <w:szCs w:val="22"/>
              </w:rPr>
            </w:pPr>
            <w:r>
              <w:rPr>
                <w:rFonts w:eastAsia="Calibri"/>
                <w:szCs w:val="22"/>
              </w:rPr>
              <w:t>Homer</w:t>
            </w:r>
          </w:p>
        </w:tc>
      </w:tr>
      <w:tr w14:paraId="7FD364E8" w14:textId="77777777">
        <w:tblPrEx>
          <w:tblW w:w="0" w:type="auto"/>
          <w:tblLook w:val="04A0"/>
        </w:tblPrEx>
        <w:tc>
          <w:tcPr>
            <w:tcW w:w="4675" w:type="dxa"/>
            <w:shd w:val="clear" w:color="auto" w:fill="auto"/>
          </w:tcPr>
          <w:p w:rsidR="00DF4BFA" w14:paraId="22A1EB48" w14:textId="57557322">
            <w:pPr>
              <w:keepNext/>
              <w:keepLines/>
              <w:widowControl/>
              <w:jc w:val="center"/>
              <w:rPr>
                <w:rFonts w:eastAsia="Calibri"/>
                <w:szCs w:val="22"/>
              </w:rPr>
            </w:pPr>
            <w:r w:rsidRPr="00C22A91">
              <w:rPr>
                <w:rFonts w:eastAsia="Calibri"/>
                <w:szCs w:val="22"/>
              </w:rPr>
              <w:t>G23440601</w:t>
            </w:r>
          </w:p>
        </w:tc>
        <w:tc>
          <w:tcPr>
            <w:tcW w:w="4675" w:type="dxa"/>
            <w:shd w:val="clear" w:color="auto" w:fill="auto"/>
          </w:tcPr>
          <w:p w:rsidR="00DF4BFA" w14:paraId="38CBDC68" w14:textId="0F213953">
            <w:pPr>
              <w:keepNext/>
              <w:keepLines/>
              <w:widowControl/>
              <w:jc w:val="center"/>
              <w:rPr>
                <w:rFonts w:eastAsia="Calibri"/>
                <w:szCs w:val="22"/>
              </w:rPr>
            </w:pPr>
            <w:r>
              <w:rPr>
                <w:rFonts w:eastAsia="Calibri"/>
                <w:szCs w:val="22"/>
              </w:rPr>
              <w:t>Fritz Creek</w:t>
            </w:r>
          </w:p>
        </w:tc>
      </w:tr>
      <w:tr w14:paraId="13B8E238" w14:textId="77777777">
        <w:tblPrEx>
          <w:tblW w:w="0" w:type="auto"/>
          <w:tblLook w:val="04A0"/>
        </w:tblPrEx>
        <w:tc>
          <w:tcPr>
            <w:tcW w:w="4675" w:type="dxa"/>
            <w:shd w:val="clear" w:color="auto" w:fill="auto"/>
          </w:tcPr>
          <w:p w:rsidR="00DF4BFA" w14:paraId="620A817A" w14:textId="0017821D">
            <w:pPr>
              <w:keepNext/>
              <w:keepLines/>
              <w:widowControl/>
              <w:jc w:val="center"/>
              <w:rPr>
                <w:rFonts w:eastAsia="Calibri"/>
                <w:szCs w:val="22"/>
              </w:rPr>
            </w:pPr>
            <w:r w:rsidRPr="00130B9E">
              <w:rPr>
                <w:rFonts w:eastAsia="Calibri"/>
                <w:szCs w:val="22"/>
              </w:rPr>
              <w:t>G24700818</w:t>
            </w:r>
          </w:p>
        </w:tc>
        <w:tc>
          <w:tcPr>
            <w:tcW w:w="4675" w:type="dxa"/>
            <w:shd w:val="clear" w:color="auto" w:fill="auto"/>
          </w:tcPr>
          <w:p w:rsidR="00DF4BFA" w14:paraId="48161F3A" w14:textId="77161F2B">
            <w:pPr>
              <w:keepNext/>
              <w:keepLines/>
              <w:widowControl/>
              <w:jc w:val="center"/>
              <w:rPr>
                <w:rFonts w:eastAsia="Calibri"/>
                <w:szCs w:val="22"/>
              </w:rPr>
            </w:pPr>
            <w:r w:rsidRPr="00130B9E">
              <w:rPr>
                <w:rFonts w:eastAsia="Calibri"/>
                <w:szCs w:val="22"/>
              </w:rPr>
              <w:t>Sutton-Alpine</w:t>
            </w:r>
          </w:p>
        </w:tc>
      </w:tr>
      <w:tr w14:paraId="7F4FC510" w14:textId="77777777">
        <w:tblPrEx>
          <w:tblW w:w="0" w:type="auto"/>
          <w:tblLook w:val="04A0"/>
        </w:tblPrEx>
        <w:tc>
          <w:tcPr>
            <w:tcW w:w="4675" w:type="dxa"/>
            <w:shd w:val="clear" w:color="auto" w:fill="auto"/>
          </w:tcPr>
          <w:p w:rsidR="00DF4BFA" w14:paraId="2ABD3997" w14:textId="05E03C26">
            <w:pPr>
              <w:keepNext/>
              <w:keepLines/>
              <w:widowControl/>
              <w:jc w:val="center"/>
              <w:rPr>
                <w:rFonts w:eastAsia="Calibri"/>
                <w:szCs w:val="22"/>
              </w:rPr>
            </w:pPr>
            <w:r w:rsidRPr="00E4193A">
              <w:rPr>
                <w:rFonts w:eastAsia="Calibri"/>
                <w:szCs w:val="22"/>
              </w:rPr>
              <w:t>G16521307</w:t>
            </w:r>
          </w:p>
        </w:tc>
        <w:tc>
          <w:tcPr>
            <w:tcW w:w="4675" w:type="dxa"/>
            <w:shd w:val="clear" w:color="auto" w:fill="auto"/>
          </w:tcPr>
          <w:p w:rsidR="00DF4BFA" w14:paraId="385711B9" w14:textId="4CBDCBF9">
            <w:pPr>
              <w:keepNext/>
              <w:keepLines/>
              <w:widowControl/>
              <w:jc w:val="center"/>
              <w:rPr>
                <w:rFonts w:eastAsia="Calibri"/>
                <w:szCs w:val="22"/>
              </w:rPr>
            </w:pPr>
            <w:r>
              <w:rPr>
                <w:rFonts w:eastAsia="Calibri"/>
                <w:szCs w:val="22"/>
              </w:rPr>
              <w:t>Teller</w:t>
            </w:r>
          </w:p>
        </w:tc>
      </w:tr>
      <w:tr w14:paraId="57A5394A" w14:textId="77777777">
        <w:tblPrEx>
          <w:tblW w:w="0" w:type="auto"/>
          <w:tblLook w:val="04A0"/>
        </w:tblPrEx>
        <w:tc>
          <w:tcPr>
            <w:tcW w:w="4675" w:type="dxa"/>
            <w:shd w:val="clear" w:color="auto" w:fill="auto"/>
          </w:tcPr>
          <w:p w:rsidR="00DF4BFA" w14:paraId="3247F55E" w14:textId="641AC355">
            <w:pPr>
              <w:keepNext/>
              <w:keepLines/>
              <w:widowControl/>
              <w:jc w:val="center"/>
              <w:rPr>
                <w:rFonts w:eastAsia="Calibri"/>
                <w:szCs w:val="22"/>
              </w:rPr>
            </w:pPr>
            <w:r w:rsidRPr="00E4193A">
              <w:rPr>
                <w:rFonts w:eastAsia="Calibri"/>
                <w:szCs w:val="22"/>
              </w:rPr>
              <w:t>G19180549</w:t>
            </w:r>
          </w:p>
        </w:tc>
        <w:tc>
          <w:tcPr>
            <w:tcW w:w="4675" w:type="dxa"/>
            <w:shd w:val="clear" w:color="auto" w:fill="auto"/>
          </w:tcPr>
          <w:p w:rsidR="00DF4BFA" w14:paraId="0D9CE90C" w14:textId="13951AF0">
            <w:pPr>
              <w:keepNext/>
              <w:keepLines/>
              <w:widowControl/>
              <w:jc w:val="center"/>
              <w:rPr>
                <w:rFonts w:eastAsia="Calibri"/>
                <w:szCs w:val="22"/>
              </w:rPr>
            </w:pPr>
            <w:r w:rsidRPr="00E4193A">
              <w:rPr>
                <w:rFonts w:eastAsia="Calibri"/>
                <w:szCs w:val="22"/>
              </w:rPr>
              <w:t>Dillingham</w:t>
            </w:r>
          </w:p>
        </w:tc>
      </w:tr>
      <w:tr w14:paraId="6CC3032F" w14:textId="77777777">
        <w:tblPrEx>
          <w:tblW w:w="0" w:type="auto"/>
          <w:tblLook w:val="04A0"/>
        </w:tblPrEx>
        <w:tc>
          <w:tcPr>
            <w:tcW w:w="4675" w:type="dxa"/>
            <w:shd w:val="clear" w:color="auto" w:fill="auto"/>
          </w:tcPr>
          <w:p w:rsidR="002C64E5" w:rsidRPr="00E4193A" w:rsidP="002C64E5" w14:paraId="6D84D5CD" w14:textId="7237EE63">
            <w:pPr>
              <w:keepNext/>
              <w:keepLines/>
              <w:widowControl/>
              <w:jc w:val="center"/>
              <w:rPr>
                <w:rFonts w:eastAsia="Calibri"/>
                <w:szCs w:val="22"/>
              </w:rPr>
            </w:pPr>
            <w:r w:rsidRPr="001B5AF2">
              <w:t xml:space="preserve">G18200796 </w:t>
            </w:r>
          </w:p>
        </w:tc>
        <w:tc>
          <w:tcPr>
            <w:tcW w:w="4675" w:type="dxa"/>
            <w:shd w:val="clear" w:color="auto" w:fill="auto"/>
          </w:tcPr>
          <w:p w:rsidR="002C64E5" w:rsidRPr="00E4193A" w:rsidP="002C64E5" w14:paraId="1C0AFE1B" w14:textId="23E1A72B">
            <w:pPr>
              <w:keepNext/>
              <w:keepLines/>
              <w:widowControl/>
              <w:jc w:val="center"/>
              <w:rPr>
                <w:rFonts w:eastAsia="Calibri"/>
                <w:szCs w:val="22"/>
              </w:rPr>
            </w:pPr>
            <w:r w:rsidRPr="001B5AF2">
              <w:t>Tuluksak</w:t>
            </w:r>
          </w:p>
        </w:tc>
      </w:tr>
      <w:tr w14:paraId="2AF15D22" w14:textId="77777777">
        <w:tblPrEx>
          <w:tblW w:w="0" w:type="auto"/>
          <w:tblLook w:val="04A0"/>
        </w:tblPrEx>
        <w:tc>
          <w:tcPr>
            <w:tcW w:w="4675" w:type="dxa"/>
            <w:shd w:val="clear" w:color="auto" w:fill="auto"/>
          </w:tcPr>
          <w:p w:rsidR="005A188C" w:rsidRPr="008F6BA0" w14:paraId="6B8A165A" w14:textId="660B9D67">
            <w:pPr>
              <w:keepNext/>
              <w:keepLines/>
              <w:widowControl/>
              <w:jc w:val="center"/>
              <w:rPr>
                <w:rFonts w:eastAsia="Calibri"/>
                <w:szCs w:val="22"/>
              </w:rPr>
            </w:pPr>
            <w:r w:rsidRPr="008E65A3">
              <w:rPr>
                <w:rFonts w:eastAsia="Calibri"/>
                <w:szCs w:val="22"/>
              </w:rPr>
              <w:t>G24850826</w:t>
            </w:r>
          </w:p>
        </w:tc>
        <w:tc>
          <w:tcPr>
            <w:tcW w:w="4675" w:type="dxa"/>
            <w:shd w:val="clear" w:color="auto" w:fill="auto"/>
          </w:tcPr>
          <w:p w:rsidR="005A188C" w:rsidRPr="008F6BA0" w14:paraId="2B886758" w14:textId="078866EC">
            <w:pPr>
              <w:keepNext/>
              <w:keepLines/>
              <w:widowControl/>
              <w:jc w:val="center"/>
              <w:rPr>
                <w:rFonts w:eastAsia="Calibri"/>
                <w:szCs w:val="22"/>
              </w:rPr>
            </w:pPr>
            <w:r w:rsidRPr="008E65A3">
              <w:rPr>
                <w:rFonts w:eastAsia="Calibri"/>
                <w:szCs w:val="22"/>
              </w:rPr>
              <w:t>Chickaloon</w:t>
            </w:r>
          </w:p>
        </w:tc>
      </w:tr>
      <w:tr w14:paraId="0162F314" w14:textId="77777777">
        <w:tblPrEx>
          <w:tblW w:w="0" w:type="auto"/>
          <w:tblLook w:val="04A0"/>
        </w:tblPrEx>
        <w:tc>
          <w:tcPr>
            <w:tcW w:w="4675" w:type="dxa"/>
            <w:shd w:val="clear" w:color="auto" w:fill="auto"/>
          </w:tcPr>
          <w:p w:rsidR="005A188C" w:rsidRPr="008F6BA0" w14:paraId="63885799" w14:textId="328F8BAA">
            <w:pPr>
              <w:keepNext/>
              <w:keepLines/>
              <w:widowControl/>
              <w:jc w:val="center"/>
              <w:rPr>
                <w:rFonts w:eastAsia="Calibri"/>
                <w:szCs w:val="22"/>
              </w:rPr>
            </w:pPr>
            <w:r w:rsidRPr="0021422B">
              <w:rPr>
                <w:rFonts w:eastAsia="Calibri"/>
                <w:szCs w:val="22"/>
              </w:rPr>
              <w:t>G16230816</w:t>
            </w:r>
          </w:p>
        </w:tc>
        <w:tc>
          <w:tcPr>
            <w:tcW w:w="4675" w:type="dxa"/>
            <w:shd w:val="clear" w:color="auto" w:fill="auto"/>
          </w:tcPr>
          <w:p w:rsidR="005A188C" w:rsidRPr="008F6BA0" w14:paraId="00957981" w14:textId="63FF96D3">
            <w:pPr>
              <w:keepNext/>
              <w:keepLines/>
              <w:widowControl/>
              <w:jc w:val="center"/>
              <w:rPr>
                <w:rFonts w:eastAsia="Calibri"/>
                <w:szCs w:val="22"/>
              </w:rPr>
            </w:pPr>
            <w:r>
              <w:rPr>
                <w:rFonts w:eastAsia="Calibri"/>
                <w:szCs w:val="22"/>
              </w:rPr>
              <w:t>Newtok</w:t>
            </w:r>
          </w:p>
        </w:tc>
      </w:tr>
      <w:tr w14:paraId="539F5FB4" w14:textId="77777777">
        <w:tblPrEx>
          <w:tblW w:w="0" w:type="auto"/>
          <w:tblLook w:val="04A0"/>
        </w:tblPrEx>
        <w:tc>
          <w:tcPr>
            <w:tcW w:w="4675" w:type="dxa"/>
            <w:shd w:val="clear" w:color="auto" w:fill="auto"/>
          </w:tcPr>
          <w:p w:rsidR="005A188C" w:rsidRPr="008F6BA0" w14:paraId="4C13F5FF" w14:textId="7F5784EB">
            <w:pPr>
              <w:keepNext/>
              <w:keepLines/>
              <w:widowControl/>
              <w:jc w:val="center"/>
              <w:rPr>
                <w:rFonts w:eastAsia="Calibri"/>
                <w:szCs w:val="22"/>
              </w:rPr>
            </w:pPr>
            <w:r w:rsidRPr="0021422B">
              <w:rPr>
                <w:rFonts w:eastAsia="Calibri"/>
                <w:szCs w:val="22"/>
              </w:rPr>
              <w:t>G25901110</w:t>
            </w:r>
          </w:p>
        </w:tc>
        <w:tc>
          <w:tcPr>
            <w:tcW w:w="4675" w:type="dxa"/>
            <w:shd w:val="clear" w:color="auto" w:fill="auto"/>
          </w:tcPr>
          <w:p w:rsidR="005A188C" w:rsidRPr="008F6BA0" w14:paraId="34D111A9" w14:textId="199D9A48">
            <w:pPr>
              <w:keepNext/>
              <w:keepLines/>
              <w:widowControl/>
              <w:jc w:val="center"/>
              <w:rPr>
                <w:rFonts w:eastAsia="Calibri"/>
                <w:szCs w:val="22"/>
              </w:rPr>
            </w:pPr>
            <w:r>
              <w:rPr>
                <w:rFonts w:eastAsia="Calibri"/>
                <w:szCs w:val="22"/>
              </w:rPr>
              <w:t>Fort Greely</w:t>
            </w:r>
          </w:p>
        </w:tc>
      </w:tr>
      <w:tr w14:paraId="0E10E8DC" w14:textId="77777777">
        <w:tblPrEx>
          <w:tblW w:w="0" w:type="auto"/>
          <w:tblLook w:val="04A0"/>
        </w:tblPrEx>
        <w:tc>
          <w:tcPr>
            <w:tcW w:w="4675" w:type="dxa"/>
            <w:shd w:val="clear" w:color="auto" w:fill="auto"/>
          </w:tcPr>
          <w:p w:rsidR="00AC6931" w:rsidRPr="001F27AC" w:rsidP="00AC6931" w14:paraId="164255AC" w14:textId="1BC698DA">
            <w:pPr>
              <w:keepNext/>
              <w:keepLines/>
              <w:widowControl/>
              <w:jc w:val="center"/>
            </w:pPr>
            <w:r w:rsidRPr="00421934">
              <w:t xml:space="preserve">G24531774 </w:t>
            </w:r>
          </w:p>
        </w:tc>
        <w:tc>
          <w:tcPr>
            <w:tcW w:w="4675" w:type="dxa"/>
            <w:shd w:val="clear" w:color="auto" w:fill="auto"/>
          </w:tcPr>
          <w:p w:rsidR="00AC6931" w:rsidRPr="001F27AC" w:rsidP="00AC6931" w14:paraId="09DD68FA" w14:textId="2CE29792">
            <w:pPr>
              <w:keepNext/>
              <w:keepLines/>
              <w:widowControl/>
              <w:jc w:val="center"/>
            </w:pPr>
            <w:r w:rsidRPr="00421934">
              <w:t>Prudhoe Bay</w:t>
            </w:r>
          </w:p>
        </w:tc>
      </w:tr>
    </w:tbl>
    <w:p w:rsidR="00412FC5" w:rsidRPr="00E47BA4" w:rsidP="00E47BA4" w14:paraId="38F3B1D0" w14:textId="77777777"/>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34E080" w14:textId="77777777">
    <w:pPr>
      <w:pStyle w:val="Footer"/>
      <w:framePr w:wrap="around" w:vAnchor="text" w:hAnchor="margin" w:xAlign="center" w:y="1"/>
    </w:pPr>
    <w:r>
      <w:fldChar w:fldCharType="begin"/>
    </w:r>
    <w:r>
      <w:instrText xml:space="preserve">PAGE  </w:instrText>
    </w:r>
    <w:r w:rsidR="00EB7850">
      <w:fldChar w:fldCharType="separate"/>
    </w:r>
    <w:r>
      <w:fldChar w:fldCharType="end"/>
    </w:r>
  </w:p>
  <w:p w:rsidR="00D25FB5" w14:paraId="65957E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1C58DB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546D" w14:paraId="275E7A45" w14:textId="77777777">
      <w:r>
        <w:separator/>
      </w:r>
    </w:p>
  </w:footnote>
  <w:footnote w:type="continuationSeparator" w:id="1">
    <w:p w:rsidR="0084546D" w:rsidP="00C721AC" w14:paraId="11388443" w14:textId="77777777">
      <w:pPr>
        <w:spacing w:before="120"/>
        <w:rPr>
          <w:sz w:val="20"/>
        </w:rPr>
      </w:pPr>
      <w:r>
        <w:rPr>
          <w:sz w:val="20"/>
        </w:rPr>
        <w:t xml:space="preserve">(Continued from previous page)  </w:t>
      </w:r>
      <w:r>
        <w:rPr>
          <w:sz w:val="20"/>
        </w:rPr>
        <w:separator/>
      </w:r>
    </w:p>
  </w:footnote>
  <w:footnote w:type="continuationNotice" w:id="2">
    <w:p w:rsidR="0084546D" w:rsidP="00C721AC" w14:paraId="0C7BBA2C" w14:textId="77777777">
      <w:pPr>
        <w:jc w:val="right"/>
        <w:rPr>
          <w:sz w:val="20"/>
        </w:rPr>
      </w:pPr>
      <w:r>
        <w:rPr>
          <w:sz w:val="20"/>
        </w:rPr>
        <w:t>(continued….)</w:t>
      </w:r>
    </w:p>
  </w:footnote>
  <w:footnote w:id="3">
    <w:p w:rsidR="00881145" w:rsidP="00881145" w14:paraId="4422EC3B" w14:textId="544491DE">
      <w:pPr>
        <w:pStyle w:val="FootnoteText"/>
      </w:pPr>
      <w:r>
        <w:rPr>
          <w:rStyle w:val="FootnoteReference"/>
        </w:rPr>
        <w:footnoteRef/>
      </w:r>
      <w:r>
        <w:t xml:space="preserve"> GCI Communication Corp. Second Supplemental Waiver Petition, WC Docket No. 16-271 (filed Aug. 31, 2023) (Second Supplemental Petition)</w:t>
      </w:r>
      <w:r w:rsidR="007E501B">
        <w:t>;</w:t>
      </w:r>
      <w:r>
        <w:t xml:space="preserve"> GCI Communication Corp., Third Supplemental Waiver Petition, WC Docket No. 16-271 (filed Sept. 15, 2023) (Third Supplemental Petition); </w:t>
      </w:r>
      <w:r>
        <w:rPr>
          <w:i/>
          <w:iCs/>
        </w:rPr>
        <w:t>s</w:t>
      </w:r>
      <w:r w:rsidRPr="00084342">
        <w:rPr>
          <w:i/>
          <w:iCs/>
        </w:rPr>
        <w:t>ee also</w:t>
      </w:r>
      <w:r>
        <w:t xml:space="preserve"> </w:t>
      </w:r>
      <w:r w:rsidR="005950EA">
        <w:t xml:space="preserve">Letter from Julie Veach, Counsel, GCI, to Marlene H. Dortch, Secretary, FCC, WC Docket No. 16-271, at 1-2 (filed Sept. 14, 2023); </w:t>
      </w:r>
      <w:r>
        <w:t xml:space="preserve">GCI Communication Corp. Petition for Limited, Expedited Waiver, WC Docket No. 16-271 (filed June 26, 2023) (Petition); </w:t>
      </w:r>
      <w:r w:rsidRPr="00A071A3">
        <w:t>GCI Communication Corp. Supplemental Waiver Petition, WC Docket No. 16-271 (filed July 18, 2023) (Supplement to Petition).</w:t>
      </w:r>
    </w:p>
  </w:footnote>
  <w:footnote w:id="4">
    <w:p w:rsidR="00E47BA4" w:rsidRPr="005F6B29" w:rsidP="00E47BA4" w14:paraId="3F3A5F3B" w14:textId="77777777">
      <w:pPr>
        <w:pStyle w:val="FootnoteText"/>
      </w:pPr>
      <w:r w:rsidRPr="005F6B29">
        <w:rPr>
          <w:rStyle w:val="FootnoteReference"/>
        </w:rPr>
        <w:footnoteRef/>
      </w:r>
      <w:r w:rsidRPr="005F6B29">
        <w:t xml:space="preserve"> </w:t>
      </w:r>
      <w:r w:rsidRPr="000E0A32">
        <w:rPr>
          <w:i/>
          <w:iCs/>
        </w:rPr>
        <w:t>Connect America Fund et al</w:t>
      </w:r>
      <w:r w:rsidRPr="000E0A32">
        <w:t>., WC Docket No</w:t>
      </w:r>
      <w:r>
        <w:t>s</w:t>
      </w:r>
      <w:r w:rsidRPr="000E0A32">
        <w:t xml:space="preserve">. </w:t>
      </w:r>
      <w:r>
        <w:t xml:space="preserve">10-90 and </w:t>
      </w:r>
      <w:r w:rsidRPr="000E0A32">
        <w:t>16-271</w:t>
      </w:r>
      <w:r>
        <w:t>, WT Docket No. 10-208</w:t>
      </w:r>
      <w:r w:rsidRPr="000E0A32">
        <w:t>, Report and Order and Further Notice of Proposed Rulemaking, 31 FCC Rcd 10139</w:t>
      </w:r>
      <w:r>
        <w:t xml:space="preserve">, </w:t>
      </w:r>
      <w:r w:rsidRPr="005F6B29">
        <w:t xml:space="preserve">10173, para. 103 </w:t>
      </w:r>
      <w:r>
        <w:t>(2016</w:t>
      </w:r>
      <w:r w:rsidRPr="000E0A32">
        <w:t>) (</w:t>
      </w:r>
      <w:r w:rsidRPr="000E0A32">
        <w:rPr>
          <w:i/>
          <w:iCs/>
        </w:rPr>
        <w:t>Alaska Plan Order</w:t>
      </w:r>
      <w:r w:rsidRPr="000E0A32">
        <w:t>)</w:t>
      </w:r>
      <w:r>
        <w:t xml:space="preserve">; </w:t>
      </w:r>
      <w:r w:rsidRPr="00192684">
        <w:rPr>
          <w:i/>
          <w:iCs/>
        </w:rPr>
        <w:t>accord</w:t>
      </w:r>
      <w:r>
        <w:t xml:space="preserve"> 47 CFR § 54.321</w:t>
      </w:r>
      <w:r w:rsidRPr="005F6B29">
        <w:t>.</w:t>
      </w:r>
    </w:p>
  </w:footnote>
  <w:footnote w:id="5">
    <w:p w:rsidR="00E47BA4" w:rsidRPr="005F6B29" w:rsidP="00E47BA4" w14:paraId="3D642942" w14:textId="760B4F26">
      <w:pPr>
        <w:pStyle w:val="FootnoteText"/>
      </w:pPr>
      <w:r w:rsidRPr="005F6B29">
        <w:rPr>
          <w:rStyle w:val="FootnoteReference"/>
        </w:rPr>
        <w:footnoteRef/>
      </w:r>
      <w:r w:rsidRPr="005F6B29">
        <w:t xml:space="preserve"> </w:t>
      </w:r>
      <w:r w:rsidRPr="003A5E74">
        <w:rPr>
          <w:i/>
          <w:iCs/>
        </w:rPr>
        <w:t xml:space="preserve">See </w:t>
      </w:r>
      <w:r w:rsidRPr="003A5E74">
        <w:rPr>
          <w:i/>
        </w:rPr>
        <w:t>Connect America Fund—Alaska Plan</w:t>
      </w:r>
      <w:r w:rsidRPr="003A5E74">
        <w:t xml:space="preserve">, WC Docket No. 16-271, Order and Request for Comment, </w:t>
      </w:r>
      <w:r w:rsidRPr="007F57A5" w:rsidR="007F57A5">
        <w:t>37 FCC Rcd 5882</w:t>
      </w:r>
      <w:r>
        <w:t xml:space="preserve">, </w:t>
      </w:r>
      <w:r w:rsidR="007F57A5">
        <w:t>5828-29</w:t>
      </w:r>
      <w:r>
        <w:t xml:space="preserve">, Appx. B </w:t>
      </w:r>
      <w:r w:rsidRPr="003A5E74">
        <w:t>(WTB 2022) (</w:t>
      </w:r>
      <w:bookmarkStart w:id="0" w:name="_Hlk144971692"/>
      <w:r w:rsidRPr="003A5E74">
        <w:rPr>
          <w:i/>
        </w:rPr>
        <w:t>Alaska Drive Test Order</w:t>
      </w:r>
      <w:bookmarkEnd w:id="0"/>
      <w:r w:rsidRPr="003A5E74">
        <w:t>)</w:t>
      </w:r>
      <w:r w:rsidRPr="005F6B29">
        <w:t>.</w:t>
      </w:r>
    </w:p>
  </w:footnote>
  <w:footnote w:id="6">
    <w:p w:rsidR="00E47BA4" w:rsidP="00E47BA4" w14:paraId="468FA61D" w14:textId="2C04CAAD">
      <w:pPr>
        <w:pStyle w:val="FootnoteText"/>
      </w:pPr>
      <w:r>
        <w:rPr>
          <w:rStyle w:val="FootnoteReference"/>
        </w:rPr>
        <w:footnoteRef/>
      </w:r>
      <w:r>
        <w:t xml:space="preserve"> </w:t>
      </w:r>
      <w:r>
        <w:rPr>
          <w:i/>
          <w:iCs/>
        </w:rPr>
        <w:t xml:space="preserve">See </w:t>
      </w:r>
      <w:r w:rsidR="007F57A5">
        <w:rPr>
          <w:i/>
        </w:rPr>
        <w:t>id.</w:t>
      </w:r>
    </w:p>
  </w:footnote>
  <w:footnote w:id="7">
    <w:p w:rsidR="00E47BA4" w:rsidP="00E47BA4" w14:paraId="0FE477E9" w14:textId="77777777">
      <w:pPr>
        <w:pStyle w:val="FootnoteText"/>
      </w:pPr>
      <w:r>
        <w:rPr>
          <w:rStyle w:val="FootnoteReference"/>
        </w:rPr>
        <w:footnoteRef/>
      </w:r>
      <w:r>
        <w:t xml:space="preserve"> Letter from Garnet Hanly, Chief, Competition and Infrastructure Policy Division, Wireless Telecommunications Bureau, FCC, to Chris Nierman, Vice President &amp; Senior Counsel, Federal Affairs, GCI (June 2, 2023) (Letter), </w:t>
      </w:r>
      <w:r w:rsidRPr="004809A9">
        <w:rPr>
          <w:i/>
          <w:iCs/>
        </w:rPr>
        <w:t>attached to</w:t>
      </w:r>
      <w:r>
        <w:t xml:space="preserve"> Email from Matthew Warner, Attorney Advisor, </w:t>
      </w:r>
      <w:r w:rsidRPr="00E151B4">
        <w:t>Competition and Infrastructure Policy Division</w:t>
      </w:r>
      <w:r>
        <w:t>,</w:t>
      </w:r>
      <w:r w:rsidRPr="00E151B4">
        <w:t xml:space="preserve"> Wireless Telecommunications Bureau, FCC, to</w:t>
      </w:r>
      <w:r>
        <w:t xml:space="preserve"> Chris Nierman, Vice President &amp; Senior Counsel, Federal Affairs, GCI (June 2, 2023, 11:38 ET).</w:t>
      </w:r>
    </w:p>
  </w:footnote>
  <w:footnote w:id="8">
    <w:p w:rsidR="00E47BA4" w:rsidP="00E47BA4" w14:paraId="4AD8E329" w14:textId="77777777">
      <w:pPr>
        <w:pStyle w:val="FootnoteText"/>
      </w:pPr>
      <w:r>
        <w:rPr>
          <w:rStyle w:val="FootnoteReference"/>
        </w:rPr>
        <w:footnoteRef/>
      </w:r>
      <w:r>
        <w:t xml:space="preserve"> Letter at 1.</w:t>
      </w:r>
    </w:p>
  </w:footnote>
  <w:footnote w:id="9">
    <w:p w:rsidR="00E47BA4" w:rsidP="00E47BA4" w14:paraId="7D8F7A9A" w14:textId="6DE72972">
      <w:pPr>
        <w:pStyle w:val="FootnoteText"/>
      </w:pPr>
      <w:r>
        <w:rPr>
          <w:rStyle w:val="FootnoteReference"/>
        </w:rPr>
        <w:footnoteRef/>
      </w:r>
      <w:r>
        <w:t xml:space="preserve"> </w:t>
      </w:r>
      <w:r w:rsidR="007F57A5">
        <w:rPr>
          <w:i/>
          <w:iCs/>
        </w:rPr>
        <w:t>Id.</w:t>
      </w:r>
    </w:p>
  </w:footnote>
  <w:footnote w:id="10">
    <w:p w:rsidR="00E47BA4" w:rsidP="00E47BA4" w14:paraId="045F5691" w14:textId="53692EAF">
      <w:pPr>
        <w:pStyle w:val="FootnoteText"/>
      </w:pPr>
      <w:r>
        <w:rPr>
          <w:rStyle w:val="FootnoteReference"/>
        </w:rPr>
        <w:footnoteRef/>
      </w:r>
      <w:r>
        <w:t xml:space="preserve"> </w:t>
      </w:r>
      <w:r w:rsidR="007F57A5">
        <w:rPr>
          <w:i/>
          <w:iCs/>
        </w:rPr>
        <w:t>Id.</w:t>
      </w:r>
    </w:p>
  </w:footnote>
  <w:footnote w:id="11">
    <w:p w:rsidR="00E47BA4" w:rsidP="00E47BA4" w14:paraId="5888AC73" w14:textId="335AFD9C">
      <w:pPr>
        <w:pStyle w:val="FootnoteText"/>
      </w:pPr>
      <w:r>
        <w:rPr>
          <w:rStyle w:val="FootnoteReference"/>
        </w:rPr>
        <w:footnoteRef/>
      </w:r>
      <w:r>
        <w:t xml:space="preserve"> </w:t>
      </w:r>
      <w:r w:rsidR="007F57A5">
        <w:rPr>
          <w:i/>
          <w:iCs/>
        </w:rPr>
        <w:t>Id.</w:t>
      </w:r>
      <w:r>
        <w:t xml:space="preserve"> at 1-2.  We are allowing GCI to retest the grid cells it skipped the first time in case the reasons or analysis that it used in its determination to skip them have changed upon retesting.</w:t>
      </w:r>
    </w:p>
  </w:footnote>
  <w:footnote w:id="12">
    <w:p w:rsidR="00E47BA4" w:rsidP="00E47BA4" w14:paraId="0E4CA553" w14:textId="2A3AB16E">
      <w:pPr>
        <w:pStyle w:val="FootnoteText"/>
      </w:pPr>
      <w:r>
        <w:rPr>
          <w:rStyle w:val="FootnoteReference"/>
        </w:rPr>
        <w:footnoteRef/>
      </w:r>
      <w:r>
        <w:t xml:space="preserve"> </w:t>
      </w:r>
      <w:r w:rsidR="007F57A5">
        <w:rPr>
          <w:i/>
          <w:iCs/>
        </w:rPr>
        <w:t>Id.</w:t>
      </w:r>
      <w:r>
        <w:t xml:space="preserve"> at 2 n.3.</w:t>
      </w:r>
    </w:p>
  </w:footnote>
  <w:footnote w:id="13">
    <w:p w:rsidR="00E47BA4" w:rsidP="00E47BA4" w14:paraId="2D6F2A0F" w14:textId="2DB4BCBC">
      <w:pPr>
        <w:pStyle w:val="FootnoteText"/>
      </w:pPr>
      <w:r>
        <w:rPr>
          <w:rStyle w:val="FootnoteReference"/>
        </w:rPr>
        <w:footnoteRef/>
      </w:r>
      <w:r>
        <w:t xml:space="preserve"> </w:t>
      </w:r>
      <w:r w:rsidR="007F57A5">
        <w:rPr>
          <w:i/>
          <w:iCs/>
        </w:rPr>
        <w:t>Id.</w:t>
      </w:r>
      <w:r>
        <w:t>at 2 (“</w:t>
      </w:r>
      <w:r w:rsidRPr="00EA54AC">
        <w:t>If GCI wants to avail itself of this option, GCI must reply within seven (7) days from the date of this letter, stating whether it would be interested in retesting the grid cells where it did not have a sufficient percentage of mobile tests and/or skipped grid cells.</w:t>
      </w:r>
      <w:r>
        <w:t>”).</w:t>
      </w:r>
    </w:p>
  </w:footnote>
  <w:footnote w:id="14">
    <w:p w:rsidR="00E47BA4" w:rsidP="00E47BA4" w14:paraId="1CAD512D" w14:textId="6C801709">
      <w:pPr>
        <w:pStyle w:val="FootnoteText"/>
      </w:pPr>
      <w:r>
        <w:rPr>
          <w:rStyle w:val="FootnoteReference"/>
        </w:rPr>
        <w:footnoteRef/>
      </w:r>
      <w:r>
        <w:t xml:space="preserve"> </w:t>
      </w:r>
      <w:r w:rsidR="007F57A5">
        <w:rPr>
          <w:i/>
          <w:iCs/>
        </w:rPr>
        <w:t>Id.</w:t>
      </w:r>
      <w:r>
        <w:t xml:space="preserve"> (“</w:t>
      </w:r>
      <w:bookmarkStart w:id="1" w:name="_Hlk136597539"/>
      <w:r w:rsidRPr="00EC2EE2">
        <w:t>If GCI accepts, it will have two (2) months to retest the specified grid cells (attached)—in those grid cells, it must completely redo testing (i.e., stationary and mobile tests).</w:t>
      </w:r>
      <w:bookmarkEnd w:id="1"/>
      <w:r>
        <w:t xml:space="preserve">”).  GCI was sent the Letter on June 2, 2023. Email from Matthew Warner, Attorney Advisor, </w:t>
      </w:r>
      <w:r w:rsidRPr="00E151B4">
        <w:t>Competition and Infrastructure Policy Division</w:t>
      </w:r>
      <w:r>
        <w:t>,</w:t>
      </w:r>
      <w:r w:rsidRPr="00E151B4">
        <w:t xml:space="preserve"> Wireless Telecommunications Bureau, FCC, to</w:t>
      </w:r>
      <w:r>
        <w:t xml:space="preserve"> Chris Nierman, Vice President &amp; Senior Counsel, Federal Affairs, GCI (June 2, 2023, 11:38 ET). </w:t>
      </w:r>
    </w:p>
  </w:footnote>
  <w:footnote w:id="15">
    <w:p w:rsidR="00E47BA4" w:rsidP="00E47BA4" w14:paraId="400FE904" w14:textId="1B9F61A9">
      <w:pPr>
        <w:pStyle w:val="FootnoteText"/>
      </w:pPr>
      <w:r>
        <w:rPr>
          <w:rStyle w:val="FootnoteReference"/>
        </w:rPr>
        <w:footnoteRef/>
      </w:r>
      <w:r>
        <w:t xml:space="preserve"> </w:t>
      </w:r>
      <w:r w:rsidR="007F57A5">
        <w:rPr>
          <w:i/>
          <w:iCs/>
        </w:rPr>
        <w:t>Id.</w:t>
      </w:r>
      <w:r>
        <w:t>, Attach. 2.</w:t>
      </w:r>
    </w:p>
  </w:footnote>
  <w:footnote w:id="16">
    <w:p w:rsidR="00E47BA4" w:rsidP="00E47BA4" w14:paraId="3D6B04BD" w14:textId="77777777">
      <w:pPr>
        <w:pStyle w:val="FootnoteText"/>
      </w:pPr>
      <w:r>
        <w:rPr>
          <w:rStyle w:val="FootnoteReference"/>
        </w:rPr>
        <w:footnoteRef/>
      </w:r>
      <w:r>
        <w:t xml:space="preserve"> Petition.</w:t>
      </w:r>
    </w:p>
  </w:footnote>
  <w:footnote w:id="17">
    <w:p w:rsidR="00E47BA4" w:rsidP="00E47BA4" w14:paraId="1D104FDC" w14:textId="63F355AC">
      <w:pPr>
        <w:pStyle w:val="FootnoteText"/>
      </w:pPr>
      <w:r>
        <w:rPr>
          <w:rStyle w:val="FootnoteReference"/>
        </w:rPr>
        <w:footnoteRef/>
      </w:r>
      <w:r>
        <w:t xml:space="preserve"> </w:t>
      </w:r>
      <w:r w:rsidR="007F57A5">
        <w:rPr>
          <w:i/>
          <w:iCs/>
        </w:rPr>
        <w:t>Id.</w:t>
      </w:r>
      <w:r>
        <w:t xml:space="preserve"> at 1-15.  The Commission sent GCI two lists of grid cells for re-testing.  The first list contained the grid cells where it did not complete a sufficient number of mobile tests; the second list contained the grid cells where it did not complete enough tests in total (i.e., it performed fewer than 20 stationary and mobile tests in a grid cell).  </w:t>
      </w:r>
      <w:r w:rsidRPr="00AC148A">
        <w:rPr>
          <w:i/>
          <w:iCs/>
        </w:rPr>
        <w:t>See</w:t>
      </w:r>
      <w:r>
        <w:t xml:space="preserve"> Email from Matthew Warner, Attorney Advisor, </w:t>
      </w:r>
      <w:r w:rsidRPr="00E151B4">
        <w:t>Competition and Infrastructure Policy Division of the Wireless Telecommunications Bureau, FCC, to</w:t>
      </w:r>
      <w:r>
        <w:t xml:space="preserve"> Chris Nierman, Vice President &amp; Senior Counsel, Federal Affairs, GCI, Attach. 2 (June 2, 2023 11:38 ET).  </w:t>
      </w:r>
    </w:p>
  </w:footnote>
  <w:footnote w:id="18">
    <w:p w:rsidR="00E47BA4" w:rsidP="00E47BA4" w14:paraId="15D46F42" w14:textId="0E2AD54C">
      <w:pPr>
        <w:pStyle w:val="FootnoteText"/>
      </w:pPr>
      <w:r>
        <w:rPr>
          <w:rStyle w:val="FootnoteReference"/>
        </w:rPr>
        <w:footnoteRef/>
      </w:r>
      <w:r>
        <w:t xml:space="preserve"> Petition at 16-20</w:t>
      </w:r>
      <w:r w:rsidR="00FE58DA">
        <w:t>.</w:t>
      </w:r>
      <w:r>
        <w:t xml:space="preserve"> </w:t>
      </w:r>
    </w:p>
  </w:footnote>
  <w:footnote w:id="19">
    <w:p w:rsidR="00E47BA4" w:rsidP="00E47BA4" w14:paraId="11BD03A2" w14:textId="15BD204D">
      <w:pPr>
        <w:pStyle w:val="FootnoteText"/>
      </w:pPr>
      <w:r>
        <w:rPr>
          <w:rStyle w:val="FootnoteReference"/>
        </w:rPr>
        <w:footnoteRef/>
      </w:r>
      <w:r>
        <w:t xml:space="preserve"> </w:t>
      </w:r>
      <w:r w:rsidR="007F57A5">
        <w:rPr>
          <w:i/>
          <w:iCs/>
        </w:rPr>
        <w:t>Id.</w:t>
      </w:r>
      <w:r>
        <w:t xml:space="preserve"> at 18.</w:t>
      </w:r>
    </w:p>
  </w:footnote>
  <w:footnote w:id="20">
    <w:p w:rsidR="00E47BA4" w:rsidP="003F051E" w14:paraId="1B410A5D" w14:textId="6A8D1AF2">
      <w:pPr>
        <w:pStyle w:val="FootnoteText"/>
        <w:tabs>
          <w:tab w:val="left" w:pos="2924"/>
        </w:tabs>
      </w:pPr>
      <w:r>
        <w:rPr>
          <w:rStyle w:val="FootnoteReference"/>
        </w:rPr>
        <w:footnoteRef/>
      </w:r>
      <w:r>
        <w:t xml:space="preserve"> </w:t>
      </w:r>
      <w:r w:rsidR="007F57A5">
        <w:rPr>
          <w:i/>
          <w:iCs/>
        </w:rPr>
        <w:t>Id.</w:t>
      </w:r>
      <w:r>
        <w:t xml:space="preserve"> at 2.</w:t>
      </w:r>
      <w:r w:rsidR="003F051E">
        <w:tab/>
      </w:r>
    </w:p>
  </w:footnote>
  <w:footnote w:id="21">
    <w:p w:rsidR="00E47BA4" w:rsidP="00E47BA4" w14:paraId="29374137" w14:textId="77777777">
      <w:pPr>
        <w:pStyle w:val="FootnoteText"/>
      </w:pPr>
      <w:r>
        <w:rPr>
          <w:rStyle w:val="FootnoteReference"/>
        </w:rPr>
        <w:footnoteRef/>
      </w:r>
      <w:r>
        <w:t xml:space="preserve"> Supplement to Petition at 1.</w:t>
      </w:r>
    </w:p>
  </w:footnote>
  <w:footnote w:id="22">
    <w:p w:rsidR="005950EA" w:rsidP="005950EA" w14:paraId="4AC05828" w14:textId="33AF8495">
      <w:pPr>
        <w:pStyle w:val="FootnoteText"/>
      </w:pPr>
      <w:r>
        <w:rPr>
          <w:rStyle w:val="FootnoteReference"/>
        </w:rPr>
        <w:footnoteRef/>
      </w:r>
      <w:r>
        <w:t xml:space="preserve"> </w:t>
      </w:r>
      <w:r w:rsidR="00766B5D">
        <w:rPr>
          <w:i/>
          <w:iCs/>
        </w:rPr>
        <w:t xml:space="preserve">See generally </w:t>
      </w:r>
      <w:r w:rsidR="00766B5D">
        <w:t>Supplement to Petition.</w:t>
      </w:r>
    </w:p>
  </w:footnote>
  <w:footnote w:id="23">
    <w:p w:rsidR="00E47BA4" w:rsidP="00E47BA4" w14:paraId="47CDB3FF" w14:textId="2E24CB07">
      <w:pPr>
        <w:pStyle w:val="FootnoteText"/>
      </w:pPr>
      <w:r>
        <w:rPr>
          <w:rStyle w:val="FootnoteReference"/>
        </w:rPr>
        <w:footnoteRef/>
      </w:r>
      <w:r>
        <w:t xml:space="preserve"> </w:t>
      </w:r>
      <w:r w:rsidR="007F57A5">
        <w:rPr>
          <w:i/>
          <w:iCs/>
        </w:rPr>
        <w:t>Id.</w:t>
      </w:r>
      <w:r>
        <w:t xml:space="preserve"> at 2-3.</w:t>
      </w:r>
    </w:p>
  </w:footnote>
  <w:footnote w:id="24">
    <w:p w:rsidR="00E47BA4" w:rsidP="00E47BA4" w14:paraId="397F0F62" w14:textId="1A04F1E8">
      <w:pPr>
        <w:pStyle w:val="FootnoteText"/>
      </w:pPr>
      <w:r>
        <w:rPr>
          <w:rStyle w:val="FootnoteReference"/>
        </w:rPr>
        <w:footnoteRef/>
      </w:r>
      <w:r>
        <w:t xml:space="preserve"> </w:t>
      </w:r>
      <w:r w:rsidR="007F57A5">
        <w:rPr>
          <w:i/>
          <w:iCs/>
        </w:rPr>
        <w:t>Id.</w:t>
      </w:r>
      <w:r>
        <w:t xml:space="preserve"> at 3-5.</w:t>
      </w:r>
    </w:p>
  </w:footnote>
  <w:footnote w:id="25">
    <w:p w:rsidR="005950EA" w:rsidP="005950EA" w14:paraId="6AE3FA55" w14:textId="6F7E1694">
      <w:pPr>
        <w:pStyle w:val="FootnoteText"/>
      </w:pPr>
      <w:r>
        <w:rPr>
          <w:rStyle w:val="FootnoteReference"/>
        </w:rPr>
        <w:footnoteRef/>
      </w:r>
      <w:r>
        <w:t xml:space="preserve"> </w:t>
      </w:r>
      <w:r w:rsidRPr="00483082">
        <w:rPr>
          <w:i/>
          <w:iCs/>
        </w:rPr>
        <w:t>Connect America Fund—Alaska Plan; GCI Communication Corp. Petition for Limited, Expedited Waiver in the Alaska Plan for Drive-Test Data Collection</w:t>
      </w:r>
      <w:r>
        <w:t xml:space="preserve">, </w:t>
      </w:r>
      <w:r w:rsidRPr="00BF067F">
        <w:t xml:space="preserve">WC Docket No. 16-271, </w:t>
      </w:r>
      <w:r>
        <w:t>Order, DA 23-648, at 1, para. 1 (WTB July 31, 2023) (</w:t>
      </w:r>
      <w:r w:rsidRPr="00161E4D">
        <w:rPr>
          <w:i/>
          <w:iCs/>
        </w:rPr>
        <w:t>First Waiver Order</w:t>
      </w:r>
      <w:r>
        <w:t>).</w:t>
      </w:r>
    </w:p>
  </w:footnote>
  <w:footnote w:id="26">
    <w:p w:rsidR="005950EA" w:rsidRPr="000725E7" w:rsidP="005950EA" w14:paraId="47076DAA" w14:textId="431ABCEA">
      <w:pPr>
        <w:pStyle w:val="FootnoteText"/>
      </w:pPr>
      <w:r>
        <w:rPr>
          <w:rStyle w:val="FootnoteReference"/>
        </w:rPr>
        <w:footnoteRef/>
      </w:r>
      <w:r>
        <w:t xml:space="preserve"> </w:t>
      </w:r>
      <w:r w:rsidR="007F57A5">
        <w:rPr>
          <w:i/>
          <w:iCs/>
        </w:rPr>
        <w:t>Id.</w:t>
      </w:r>
      <w:r>
        <w:rPr>
          <w:i/>
          <w:iCs/>
        </w:rPr>
        <w:t xml:space="preserve"> </w:t>
      </w:r>
      <w:r>
        <w:t xml:space="preserve">at 1, 5-6, 8, paras. 1, 9-11, </w:t>
      </w:r>
      <w:r w:rsidRPr="009E3D2F">
        <w:t>App</w:t>
      </w:r>
      <w:r>
        <w:t>x.</w:t>
      </w:r>
    </w:p>
  </w:footnote>
  <w:footnote w:id="27">
    <w:p w:rsidR="005950EA" w:rsidP="005950EA" w14:paraId="0306E40F" w14:textId="0540B3A6">
      <w:pPr>
        <w:pStyle w:val="FootnoteText"/>
      </w:pPr>
      <w:r>
        <w:rPr>
          <w:rStyle w:val="FootnoteReference"/>
        </w:rPr>
        <w:footnoteRef/>
      </w:r>
      <w:r>
        <w:t xml:space="preserve"> </w:t>
      </w:r>
      <w:r w:rsidR="007F57A5">
        <w:rPr>
          <w:i/>
          <w:iCs/>
        </w:rPr>
        <w:t>Id.</w:t>
      </w:r>
      <w:r>
        <w:t xml:space="preserve"> at 1, 6, paras. 1, 13.  GCI initially sought a waiver of the 15 mph threshold for 45 grid cells, based on the individual circumstances of those grid cells.  </w:t>
      </w:r>
      <w:r w:rsidRPr="00976B43">
        <w:rPr>
          <w:i/>
          <w:iCs/>
        </w:rPr>
        <w:t>See</w:t>
      </w:r>
      <w:r>
        <w:t xml:space="preserve"> Petition </w:t>
      </w:r>
      <w:r w:rsidR="007F57A5">
        <w:t>at 5-15</w:t>
      </w:r>
      <w:r>
        <w:t xml:space="preserve">.  GCI filed the Supplement to Petition seeking relief for 3 grid cells where such testing would be unsafe and for another 107 grid cells because they did not have roads.  </w:t>
      </w:r>
      <w:r w:rsidRPr="00976B43">
        <w:rPr>
          <w:i/>
          <w:iCs/>
        </w:rPr>
        <w:t>See</w:t>
      </w:r>
      <w:r>
        <w:t xml:space="preserve"> Supplement to Petition at 2-3.  The Bureau granted the waiver for the 3 grid cells where GCI demonstrated it is unsafe to test at 15 mph in the Supplement to Petition, but it did not make a determination on the other 107 grid cells.  </w:t>
      </w:r>
      <w:r w:rsidRPr="003539E8">
        <w:rPr>
          <w:i/>
          <w:iCs/>
        </w:rPr>
        <w:t>First Waiver Order</w:t>
      </w:r>
      <w:r>
        <w:t xml:space="preserve"> at 5, 6, paras. 9, 13.</w:t>
      </w:r>
    </w:p>
  </w:footnote>
  <w:footnote w:id="28">
    <w:p w:rsidR="005950EA" w:rsidP="005950EA" w14:paraId="3A67C9FF" w14:textId="206E43A0">
      <w:pPr>
        <w:pStyle w:val="FootnoteText"/>
      </w:pPr>
      <w:r>
        <w:rPr>
          <w:rStyle w:val="FootnoteReference"/>
        </w:rPr>
        <w:footnoteRef/>
      </w:r>
      <w:r w:rsidR="0068731E">
        <w:rPr>
          <w:i/>
          <w:iCs/>
        </w:rPr>
        <w:t xml:space="preserve"> </w:t>
      </w:r>
      <w:r w:rsidRPr="003539E8">
        <w:rPr>
          <w:i/>
          <w:iCs/>
        </w:rPr>
        <w:t>First Waiver Order</w:t>
      </w:r>
      <w:r>
        <w:t xml:space="preserve"> at 6, para. 14.</w:t>
      </w:r>
    </w:p>
  </w:footnote>
  <w:footnote w:id="29">
    <w:p w:rsidR="005950EA" w:rsidP="005950EA" w14:paraId="58FE62B5" w14:textId="77777777">
      <w:pPr>
        <w:pStyle w:val="FootnoteText"/>
      </w:pPr>
      <w:r>
        <w:rPr>
          <w:rStyle w:val="FootnoteReference"/>
        </w:rPr>
        <w:footnoteRef/>
      </w:r>
      <w:r>
        <w:t xml:space="preserve"> Second Supplemental Petition at 1, 8.</w:t>
      </w:r>
    </w:p>
  </w:footnote>
  <w:footnote w:id="30">
    <w:p w:rsidR="005950EA" w:rsidP="005950EA" w14:paraId="321D9937" w14:textId="6482A5CB">
      <w:pPr>
        <w:pStyle w:val="FootnoteText"/>
      </w:pPr>
      <w:r>
        <w:rPr>
          <w:rStyle w:val="FootnoteReference"/>
        </w:rPr>
        <w:footnoteRef/>
      </w:r>
      <w:r>
        <w:t xml:space="preserve"> </w:t>
      </w:r>
      <w:r w:rsidR="007F57A5">
        <w:rPr>
          <w:i/>
          <w:iCs/>
        </w:rPr>
        <w:t>Id.</w:t>
      </w:r>
      <w:r>
        <w:t xml:space="preserve"> at 2-7.</w:t>
      </w:r>
    </w:p>
  </w:footnote>
  <w:footnote w:id="31">
    <w:p w:rsidR="005950EA" w:rsidP="005950EA" w14:paraId="348B9631" w14:textId="5F28FF93">
      <w:pPr>
        <w:pStyle w:val="FootnoteText"/>
      </w:pPr>
      <w:r>
        <w:rPr>
          <w:rStyle w:val="FootnoteReference"/>
        </w:rPr>
        <w:footnoteRef/>
      </w:r>
      <w:r>
        <w:t xml:space="preserve"> </w:t>
      </w:r>
      <w:r w:rsidR="007F57A5">
        <w:rPr>
          <w:i/>
          <w:iCs/>
        </w:rPr>
        <w:t>Id.</w:t>
      </w:r>
      <w:r>
        <w:t xml:space="preserve"> at 1, 7-8; </w:t>
      </w:r>
      <w:r>
        <w:rPr>
          <w:i/>
          <w:iCs/>
        </w:rPr>
        <w:t>s</w:t>
      </w:r>
      <w:r w:rsidRPr="00C85F85">
        <w:rPr>
          <w:i/>
          <w:iCs/>
        </w:rPr>
        <w:t>ee also Alaska Drive Test Order</w:t>
      </w:r>
      <w:r>
        <w:t xml:space="preserve"> at 17, para.</w:t>
      </w:r>
      <w:r w:rsidRPr="00C85F85">
        <w:t xml:space="preserve"> 3</w:t>
      </w:r>
      <w:r>
        <w:t>0</w:t>
      </w:r>
      <w:r w:rsidRPr="00C85F85">
        <w:t xml:space="preserve"> n.127</w:t>
      </w:r>
      <w:r>
        <w:t>.</w:t>
      </w:r>
      <w:r w:rsidR="00125C97">
        <w:t xml:space="preserve">  As part of this request, GCI filed a petition requesting waiver of section 22.925 of the Commission’s rules for the two grid cells where it seeks to conduct UAS testing. </w:t>
      </w:r>
      <w:r w:rsidR="002A00C8">
        <w:t xml:space="preserve"> Second Supplemental Petition at 1, 7</w:t>
      </w:r>
      <w:r w:rsidR="00733902">
        <w:t>-8</w:t>
      </w:r>
      <w:r w:rsidR="002A00C8">
        <w:t>.</w:t>
      </w:r>
    </w:p>
  </w:footnote>
  <w:footnote w:id="32">
    <w:p w:rsidR="005950EA" w:rsidP="005950EA" w14:paraId="6A0DAD04" w14:textId="77777777">
      <w:pPr>
        <w:pStyle w:val="FootnoteText"/>
      </w:pPr>
      <w:r>
        <w:rPr>
          <w:rStyle w:val="FootnoteReference"/>
        </w:rPr>
        <w:footnoteRef/>
      </w:r>
      <w:r>
        <w:t xml:space="preserve"> Letter from Julie Veach, Counsel, GCI, to Marlene H. Dortch, Secretary, FCC, WC Docket No. 16-271, at 1-2 (filed Sept. 14, 2023).</w:t>
      </w:r>
    </w:p>
  </w:footnote>
  <w:footnote w:id="33">
    <w:p w:rsidR="005950EA" w:rsidP="005950EA" w14:paraId="29B35CC7" w14:textId="77777777">
      <w:pPr>
        <w:pStyle w:val="FootnoteText"/>
      </w:pPr>
      <w:r>
        <w:rPr>
          <w:rStyle w:val="FootnoteReference"/>
        </w:rPr>
        <w:footnoteRef/>
      </w:r>
      <w:r>
        <w:t xml:space="preserve"> Third Supplemental Petition at 2-5.</w:t>
      </w:r>
    </w:p>
  </w:footnote>
  <w:footnote w:id="34">
    <w:p w:rsidR="005950EA" w:rsidP="005950EA" w14:paraId="60FB0E77" w14:textId="01A55C2B">
      <w:pPr>
        <w:pStyle w:val="FootnoteText"/>
      </w:pPr>
      <w:r>
        <w:rPr>
          <w:rStyle w:val="FootnoteReference"/>
        </w:rPr>
        <w:footnoteRef/>
      </w:r>
      <w:r>
        <w:t xml:space="preserve"> </w:t>
      </w:r>
      <w:r w:rsidR="007F57A5">
        <w:rPr>
          <w:i/>
          <w:iCs/>
        </w:rPr>
        <w:t>Id.</w:t>
      </w:r>
      <w:r>
        <w:t xml:space="preserve"> at 1, 5-7.</w:t>
      </w:r>
    </w:p>
  </w:footnote>
  <w:footnote w:id="35">
    <w:p w:rsidR="0036461A" w14:paraId="4D31C36E" w14:textId="4B9D8D49">
      <w:pPr>
        <w:pStyle w:val="FootnoteText"/>
      </w:pPr>
      <w:r>
        <w:rPr>
          <w:rStyle w:val="FootnoteReference"/>
        </w:rPr>
        <w:footnoteRef/>
      </w:r>
      <w:r>
        <w:t xml:space="preserve"> </w:t>
      </w:r>
      <w:r w:rsidR="007F57A5">
        <w:rPr>
          <w:i/>
          <w:iCs/>
        </w:rPr>
        <w:t>Id.</w:t>
      </w:r>
      <w:r w:rsidR="00DD0430">
        <w:t xml:space="preserve"> at </w:t>
      </w:r>
      <w:r w:rsidR="00CE05B9">
        <w:t>5-7</w:t>
      </w:r>
      <w:r w:rsidR="00DD0430">
        <w:t>.</w:t>
      </w:r>
    </w:p>
  </w:footnote>
  <w:footnote w:id="36">
    <w:p w:rsidR="00C41921" w14:paraId="4B71AF5F" w14:textId="224FE656">
      <w:pPr>
        <w:pStyle w:val="FootnoteText"/>
      </w:pPr>
      <w:r>
        <w:rPr>
          <w:rStyle w:val="FootnoteReference"/>
        </w:rPr>
        <w:footnoteRef/>
      </w:r>
      <w:r>
        <w:t xml:space="preserve"> </w:t>
      </w:r>
      <w:r w:rsidR="007F57A5">
        <w:rPr>
          <w:i/>
          <w:iCs/>
        </w:rPr>
        <w:t>Id.</w:t>
      </w:r>
      <w:r>
        <w:t xml:space="preserve"> at 6.</w:t>
      </w:r>
      <w:r w:rsidR="00376DF3">
        <w:t xml:space="preserve">  </w:t>
      </w:r>
      <w:r w:rsidR="00024755">
        <w:t xml:space="preserve">GCI </w:t>
      </w:r>
      <w:r w:rsidR="00E849D1">
        <w:t xml:space="preserve">notes that </w:t>
      </w:r>
      <w:r w:rsidR="00225CD6">
        <w:t xml:space="preserve">it was successfully able to test </w:t>
      </w:r>
      <w:r w:rsidR="00AF71FB">
        <w:t>most of the grid cells affected by the outage</w:t>
      </w:r>
      <w:r w:rsidR="00806E4A">
        <w:t xml:space="preserve">, but </w:t>
      </w:r>
      <w:r w:rsidR="00602EC7">
        <w:t xml:space="preserve">that </w:t>
      </w:r>
      <w:r w:rsidR="00806E4A">
        <w:t>the</w:t>
      </w:r>
      <w:r w:rsidRPr="00BC332E" w:rsidR="00BC332E">
        <w:rPr>
          <w:snapToGrid w:val="0"/>
          <w:kern w:val="28"/>
          <w:sz w:val="22"/>
        </w:rPr>
        <w:t xml:space="preserve"> </w:t>
      </w:r>
      <w:r w:rsidRPr="00BC332E" w:rsidR="00BC332E">
        <w:t xml:space="preserve">additional traffic on the backhaul serving the area appears to have caused service speeds to fall below the minimum levels for service in </w:t>
      </w:r>
      <w:r w:rsidR="00BC332E">
        <w:t>Utqiagvik</w:t>
      </w:r>
      <w:r w:rsidR="00BC332E">
        <w:t xml:space="preserve">. </w:t>
      </w:r>
      <w:r w:rsidR="00175F00">
        <w:t xml:space="preserve"> </w:t>
      </w:r>
      <w:r w:rsidRPr="004D7E28" w:rsidR="0034472E">
        <w:rPr>
          <w:i/>
          <w:iCs/>
        </w:rPr>
        <w:t>Id</w:t>
      </w:r>
      <w:r w:rsidR="0034472E">
        <w:t>.</w:t>
      </w:r>
      <w:r w:rsidR="00985B52">
        <w:t xml:space="preserve"> at 5.  </w:t>
      </w:r>
      <w:r w:rsidR="00AD5F01">
        <w:t xml:space="preserve">GCI </w:t>
      </w:r>
      <w:r w:rsidR="00542B79">
        <w:t xml:space="preserve">states that </w:t>
      </w:r>
      <w:r w:rsidR="00FB44AE">
        <w:t>“[</w:t>
      </w:r>
      <w:r w:rsidR="00A52F63">
        <w:t>r</w:t>
      </w:r>
      <w:r w:rsidR="00FB44AE">
        <w:t>]</w:t>
      </w:r>
      <w:r w:rsidR="00A52F63">
        <w:t>esults</w:t>
      </w:r>
      <w:r w:rsidR="00A52F63">
        <w:t xml:space="preserve"> of o</w:t>
      </w:r>
      <w:r w:rsidR="00FB44AE">
        <w:t xml:space="preserve">ther affected grid cells” </w:t>
      </w:r>
      <w:r w:rsidR="006E0A51">
        <w:t xml:space="preserve">will be submitted by October 2, 2023.  </w:t>
      </w:r>
      <w:r w:rsidRPr="004D7E28" w:rsidR="0034472E">
        <w:rPr>
          <w:i/>
          <w:iCs/>
        </w:rPr>
        <w:t>Id</w:t>
      </w:r>
      <w:r w:rsidR="0034472E">
        <w:t xml:space="preserve">. at 7.  However, </w:t>
      </w:r>
      <w:r w:rsidR="00B91141">
        <w:t>“[s]</w:t>
      </w:r>
      <w:r w:rsidR="00B91141">
        <w:t>trict</w:t>
      </w:r>
      <w:r w:rsidR="00B91141">
        <w:t xml:space="preserve"> enforcement of the October 2, 2023 deadline</w:t>
      </w:r>
      <w:r w:rsidR="00841034">
        <w:t>”</w:t>
      </w:r>
      <w:r w:rsidR="00065507">
        <w:t xml:space="preserve"> “would provide the Bureau with incorrect information regarding the performance of GCI’s mobile </w:t>
      </w:r>
      <w:r w:rsidR="00F05730">
        <w:t xml:space="preserve">network” and “could also potentially result in penalties for GCI that would not arise if GCI had performed the retests before or </w:t>
      </w:r>
      <w:r w:rsidR="003335C0">
        <w:t xml:space="preserve">after the outage.”  </w:t>
      </w:r>
      <w:r w:rsidRPr="004D7E28" w:rsidR="003335C0">
        <w:rPr>
          <w:i/>
          <w:iCs/>
        </w:rPr>
        <w:t>Id</w:t>
      </w:r>
      <w:r w:rsidR="003335C0">
        <w:t>. at 6-7.</w:t>
      </w:r>
      <w:r w:rsidR="00EB21A8">
        <w:t xml:space="preserve">  We interpret the Petition as asking for leniency of the October 2, 2023 deadline</w:t>
      </w:r>
      <w:r w:rsidR="00FF3F79">
        <w:t xml:space="preserve"> in the service areas affected </w:t>
      </w:r>
      <w:r w:rsidR="00680FC2">
        <w:t>by the e</w:t>
      </w:r>
      <w:r w:rsidR="00EB21A8">
        <w:t xml:space="preserve">xtended outage </w:t>
      </w:r>
      <w:r w:rsidR="00A86AAD">
        <w:t>of the Quintillion fiber cable.</w:t>
      </w:r>
    </w:p>
  </w:footnote>
  <w:footnote w:id="37">
    <w:p w:rsidR="00441716" w14:paraId="24B222A5" w14:textId="2BF932B1">
      <w:pPr>
        <w:pStyle w:val="FootnoteText"/>
      </w:pPr>
      <w:r>
        <w:rPr>
          <w:rStyle w:val="FootnoteReference"/>
        </w:rPr>
        <w:footnoteRef/>
      </w:r>
      <w:r>
        <w:t xml:space="preserve"> </w:t>
      </w:r>
      <w:r w:rsidRPr="004D7E28">
        <w:rPr>
          <w:i/>
          <w:iCs/>
        </w:rPr>
        <w:t>See</w:t>
      </w:r>
      <w:r>
        <w:t xml:space="preserve"> </w:t>
      </w:r>
      <w:r w:rsidR="00E00C8A">
        <w:t>Third Supplemental Petition at 5-7.</w:t>
      </w:r>
    </w:p>
  </w:footnote>
  <w:footnote w:id="38">
    <w:p w:rsidR="005950EA" w:rsidRPr="000E0A32" w:rsidP="005950EA" w14:paraId="7D59FBCA" w14:textId="77777777">
      <w:pPr>
        <w:pStyle w:val="FootnoteText"/>
      </w:pPr>
      <w:r w:rsidRPr="000E0A32">
        <w:rPr>
          <w:rStyle w:val="FootnoteReference"/>
        </w:rPr>
        <w:footnoteRef/>
      </w:r>
      <w:r w:rsidRPr="000E0A32">
        <w:t xml:space="preserve"> 47 CFR § 1.3.  </w:t>
      </w:r>
    </w:p>
  </w:footnote>
  <w:footnote w:id="39">
    <w:p w:rsidR="005950EA" w:rsidRPr="000E0A32" w:rsidP="005950EA" w14:paraId="001D7FFA" w14:textId="77777777">
      <w:pPr>
        <w:pStyle w:val="FootnoteText"/>
      </w:pPr>
      <w:r w:rsidRPr="000E0A32">
        <w:rPr>
          <w:rStyle w:val="FootnoteReference"/>
        </w:rPr>
        <w:footnoteRef/>
      </w:r>
      <w:r w:rsidRPr="000E0A32">
        <w:t xml:space="preserve"> </w:t>
      </w:r>
      <w:r>
        <w:rPr>
          <w:i/>
          <w:iCs/>
        </w:rPr>
        <w:t>E</w:t>
      </w:r>
      <w:r w:rsidRPr="000E0A32">
        <w:rPr>
          <w:i/>
          <w:iCs/>
        </w:rPr>
        <w:t>.g</w:t>
      </w:r>
      <w:r w:rsidRPr="000E0A32">
        <w:t xml:space="preserve">., </w:t>
      </w:r>
      <w:r w:rsidRPr="000E0A32">
        <w:rPr>
          <w:i/>
          <w:iCs/>
        </w:rPr>
        <w:t>Ne. Cellular Tel. Co. v. FCC</w:t>
      </w:r>
      <w:r w:rsidRPr="000E0A32">
        <w:t xml:space="preserve">, 897 F.2d 1164, 1166 (D.C. Cir. 1990); </w:t>
      </w:r>
      <w:r w:rsidRPr="000E0A32">
        <w:rPr>
          <w:i/>
          <w:iCs/>
        </w:rPr>
        <w:t>see WAIT Radio v. FCC</w:t>
      </w:r>
      <w:r w:rsidRPr="000E0A32">
        <w:t>, 418 F.2d 1153, 1157-59 (D.C. Cir. 1969) (</w:t>
      </w:r>
      <w:r w:rsidRPr="000E0A32">
        <w:rPr>
          <w:i/>
          <w:iCs/>
        </w:rPr>
        <w:t>WAIT Radio</w:t>
      </w:r>
      <w:r w:rsidRPr="000E0A32">
        <w:t>).</w:t>
      </w:r>
    </w:p>
  </w:footnote>
  <w:footnote w:id="40">
    <w:p w:rsidR="005950EA" w:rsidRPr="000E0A32" w:rsidP="005950EA" w14:paraId="06C35C96" w14:textId="77777777">
      <w:pPr>
        <w:pStyle w:val="FootnoteText"/>
      </w:pPr>
      <w:r w:rsidRPr="000E0A32">
        <w:rPr>
          <w:rStyle w:val="FootnoteReference"/>
        </w:rPr>
        <w:footnoteRef/>
      </w:r>
      <w:r w:rsidRPr="000E0A32">
        <w:t xml:space="preserve"> </w:t>
      </w:r>
      <w:r w:rsidRPr="000E0A32">
        <w:rPr>
          <w:i/>
          <w:iCs/>
        </w:rPr>
        <w:t>See</w:t>
      </w:r>
      <w:r w:rsidRPr="000E0A32">
        <w:t xml:space="preserve"> </w:t>
      </w:r>
      <w:r w:rsidRPr="000E0A32">
        <w:rPr>
          <w:i/>
          <w:iCs/>
        </w:rPr>
        <w:t>WAIT Radio</w:t>
      </w:r>
      <w:r w:rsidRPr="000E0A32">
        <w:t>, 418 F.2d at 1157.</w:t>
      </w:r>
    </w:p>
  </w:footnote>
  <w:footnote w:id="41">
    <w:p w:rsidR="005950EA" w:rsidP="005950EA" w14:paraId="0FC393E7" w14:textId="77777777">
      <w:pPr>
        <w:pStyle w:val="FootnoteText"/>
      </w:pPr>
      <w:r>
        <w:rPr>
          <w:rStyle w:val="FootnoteReference"/>
        </w:rPr>
        <w:footnoteRef/>
      </w:r>
      <w:r>
        <w:t xml:space="preserve"> </w:t>
      </w:r>
      <w:r w:rsidRPr="00A92969">
        <w:rPr>
          <w:i/>
          <w:iCs/>
        </w:rPr>
        <w:t>See</w:t>
      </w:r>
      <w:r>
        <w:t xml:space="preserve"> Second Supplemental Petition at 1, 2-7; Third Supplemental Petition at 1, 2-5; </w:t>
      </w:r>
      <w:r>
        <w:rPr>
          <w:i/>
          <w:iCs/>
        </w:rPr>
        <w:t>s</w:t>
      </w:r>
      <w:r w:rsidRPr="007D0822">
        <w:rPr>
          <w:i/>
          <w:iCs/>
        </w:rPr>
        <w:t>ee also</w:t>
      </w:r>
      <w:r>
        <w:t xml:space="preserve"> Letter from Julie Veach, Counsel, GCI, to Marlene H. Dortch, Secretary, FCC, WC Docket No. 16-271, at 1-2 (filed Sept. 14, 2023).</w:t>
      </w:r>
    </w:p>
  </w:footnote>
  <w:footnote w:id="42">
    <w:p w:rsidR="005950EA" w:rsidP="005950EA" w14:paraId="5D0DC99E" w14:textId="37C7EF20">
      <w:pPr>
        <w:pStyle w:val="FootnoteText"/>
      </w:pPr>
      <w:r>
        <w:rPr>
          <w:rStyle w:val="FootnoteReference"/>
        </w:rPr>
        <w:footnoteRef/>
      </w:r>
      <w:r>
        <w:t xml:space="preserve"> </w:t>
      </w:r>
      <w:bookmarkStart w:id="2" w:name="_Hlk145685038"/>
      <w:r w:rsidRPr="00CF7888">
        <w:rPr>
          <w:i/>
          <w:iCs/>
        </w:rPr>
        <w:t>See infra</w:t>
      </w:r>
      <w:r>
        <w:t xml:space="preserve"> Appendix.</w:t>
      </w:r>
      <w:bookmarkEnd w:id="2"/>
    </w:p>
  </w:footnote>
  <w:footnote w:id="43">
    <w:p w:rsidR="005950EA" w:rsidRPr="006812D7" w:rsidP="005950EA" w14:paraId="74FC92A4" w14:textId="0979E56F">
      <w:pPr>
        <w:pStyle w:val="FootnoteText"/>
        <w:tabs>
          <w:tab w:val="left" w:pos="1920"/>
        </w:tabs>
        <w:rPr>
          <w:i/>
        </w:rPr>
      </w:pPr>
      <w:r>
        <w:rPr>
          <w:rStyle w:val="FootnoteReference"/>
        </w:rPr>
        <w:footnoteRef/>
      </w:r>
      <w:r>
        <w:t xml:space="preserve"> Letter at 2 n.3; </w:t>
      </w:r>
      <w:r>
        <w:rPr>
          <w:i/>
          <w:iCs/>
        </w:rPr>
        <w:t>s</w:t>
      </w:r>
      <w:r w:rsidRPr="007D0822">
        <w:rPr>
          <w:i/>
          <w:iCs/>
        </w:rPr>
        <w:t>ee also</w:t>
      </w:r>
      <w:r>
        <w:t xml:space="preserve"> </w:t>
      </w:r>
      <w:r w:rsidRPr="00CF7888">
        <w:rPr>
          <w:i/>
          <w:iCs/>
        </w:rPr>
        <w:t>First Waiver Order</w:t>
      </w:r>
      <w:r>
        <w:t xml:space="preserve"> at 5, para. 9; </w:t>
      </w:r>
      <w:r w:rsidRPr="003A5E74">
        <w:rPr>
          <w:i/>
        </w:rPr>
        <w:t>Alaska Drive Test Order</w:t>
      </w:r>
      <w:r w:rsidR="007F57A5">
        <w:rPr>
          <w:iCs/>
        </w:rPr>
        <w:t xml:space="preserve">, </w:t>
      </w:r>
      <w:r w:rsidRPr="007F57A5" w:rsidR="007F57A5">
        <w:t xml:space="preserve">37 FCC Rcd </w:t>
      </w:r>
      <w:r w:rsidR="007F57A5">
        <w:t>at 5828-29</w:t>
      </w:r>
      <w:r>
        <w:rPr>
          <w:iCs/>
        </w:rPr>
        <w:t>,</w:t>
      </w:r>
      <w:r>
        <w:t xml:space="preserve"> Appx. B.</w:t>
      </w:r>
    </w:p>
  </w:footnote>
  <w:footnote w:id="44">
    <w:p w:rsidR="005950EA" w:rsidP="005950EA" w14:paraId="189296D1" w14:textId="77777777">
      <w:pPr>
        <w:pStyle w:val="FootnoteText"/>
      </w:pPr>
      <w:r>
        <w:rPr>
          <w:rStyle w:val="FootnoteReference"/>
        </w:rPr>
        <w:footnoteRef/>
      </w:r>
      <w:r>
        <w:t xml:space="preserve"> Second Supplemental Petition at 2-5; Third Supplemental Petition at 3; </w:t>
      </w:r>
      <w:r w:rsidRPr="00E16178">
        <w:rPr>
          <w:i/>
          <w:iCs/>
        </w:rPr>
        <w:t>see</w:t>
      </w:r>
      <w:r>
        <w:t xml:space="preserve"> </w:t>
      </w:r>
      <w:r w:rsidRPr="00E16178">
        <w:t>Letter</w:t>
      </w:r>
      <w:r>
        <w:t xml:space="preserve"> from Julie Veach, Counsel, GCI, to Marlene H. Dortch, Secretary, FCC, WC Docket No. 16-271, at 1-2 (filed Sept. 14, 2023).</w:t>
      </w:r>
    </w:p>
  </w:footnote>
  <w:footnote w:id="45">
    <w:p w:rsidR="005950EA" w:rsidP="005950EA" w14:paraId="4AB07F81" w14:textId="77777777">
      <w:pPr>
        <w:pStyle w:val="FootnoteText"/>
      </w:pPr>
      <w:r>
        <w:rPr>
          <w:rStyle w:val="FootnoteReference"/>
        </w:rPr>
        <w:footnoteRef/>
      </w:r>
      <w:r>
        <w:t xml:space="preserve"> Second Supplemental Petition at 5-6; Third Supplemental Petition at 4.</w:t>
      </w:r>
    </w:p>
  </w:footnote>
  <w:footnote w:id="46">
    <w:p w:rsidR="005950EA" w:rsidP="005950EA" w14:paraId="70185ED0" w14:textId="4707A247">
      <w:pPr>
        <w:pStyle w:val="FootnoteText"/>
      </w:pPr>
      <w:r>
        <w:rPr>
          <w:rStyle w:val="FootnoteReference"/>
        </w:rPr>
        <w:footnoteRef/>
      </w:r>
      <w:r>
        <w:t xml:space="preserve"> Second Supplemental Petition at 6.</w:t>
      </w:r>
      <w:r w:rsidR="004F0D7C">
        <w:t xml:space="preserve">  Grid </w:t>
      </w:r>
      <w:r w:rsidRPr="008A0156" w:rsidR="008A0156">
        <w:t>G23440601</w:t>
      </w:r>
      <w:r w:rsidR="008A0156">
        <w:t xml:space="preserve"> lacks roadways and has dense vegetation in the </w:t>
      </w:r>
      <w:r w:rsidR="008A0156">
        <w:t>nonroadway</w:t>
      </w:r>
      <w:r w:rsidR="008A0156">
        <w:t xml:space="preserve"> areas.</w:t>
      </w:r>
      <w:r w:rsidR="002F6861">
        <w:t xml:space="preserve">  </w:t>
      </w:r>
      <w:r w:rsidRPr="004D7E28" w:rsidR="002F6861">
        <w:rPr>
          <w:i/>
          <w:iCs/>
        </w:rPr>
        <w:t>See</w:t>
      </w:r>
      <w:r w:rsidR="002F6861">
        <w:t xml:space="preserve"> </w:t>
      </w:r>
      <w:r w:rsidR="007F57A5">
        <w:rPr>
          <w:i/>
          <w:iCs/>
        </w:rPr>
        <w:t>id.</w:t>
      </w:r>
      <w:r w:rsidR="002F6861">
        <w:t xml:space="preserve"> at </w:t>
      </w:r>
      <w:r w:rsidR="002046D3">
        <w:t>26.</w:t>
      </w:r>
    </w:p>
  </w:footnote>
  <w:footnote w:id="47">
    <w:p w:rsidR="005950EA" w:rsidP="005950EA" w14:paraId="71FA416D" w14:textId="5AFBB5A8">
      <w:pPr>
        <w:pStyle w:val="FootnoteText"/>
      </w:pPr>
      <w:r>
        <w:rPr>
          <w:rStyle w:val="FootnoteReference"/>
        </w:rPr>
        <w:footnoteRef/>
      </w:r>
      <w:r>
        <w:t xml:space="preserve"> </w:t>
      </w:r>
      <w:r w:rsidR="007F57A5">
        <w:rPr>
          <w:i/>
          <w:iCs/>
        </w:rPr>
        <w:t>Id.</w:t>
      </w:r>
      <w:r>
        <w:t xml:space="preserve"> at 6.</w:t>
      </w:r>
    </w:p>
  </w:footnote>
  <w:footnote w:id="48">
    <w:p w:rsidR="005950EA" w:rsidP="005950EA" w14:paraId="28ACFA25" w14:textId="1FD23022">
      <w:pPr>
        <w:pStyle w:val="FootnoteText"/>
      </w:pPr>
      <w:r>
        <w:rPr>
          <w:rStyle w:val="FootnoteReference"/>
        </w:rPr>
        <w:footnoteRef/>
      </w:r>
      <w:r>
        <w:t xml:space="preserve"> </w:t>
      </w:r>
      <w:r w:rsidR="007F57A5">
        <w:rPr>
          <w:i/>
          <w:iCs/>
        </w:rPr>
        <w:t>Id.</w:t>
      </w:r>
      <w:r>
        <w:t xml:space="preserve"> at 6-7.</w:t>
      </w:r>
    </w:p>
  </w:footnote>
  <w:footnote w:id="49">
    <w:p w:rsidR="005950EA" w:rsidP="005950EA" w14:paraId="0F05278C" w14:textId="1631CF91">
      <w:pPr>
        <w:pStyle w:val="FootnoteText"/>
      </w:pPr>
      <w:r>
        <w:rPr>
          <w:rStyle w:val="FootnoteReference"/>
        </w:rPr>
        <w:footnoteRef/>
      </w:r>
      <w:r>
        <w:t xml:space="preserve"> Third Supplemental Petition at 4.</w:t>
      </w:r>
    </w:p>
  </w:footnote>
  <w:footnote w:id="50">
    <w:p w:rsidR="005950EA" w:rsidP="005950EA" w14:paraId="59E3BCFD" w14:textId="77777777">
      <w:pPr>
        <w:pStyle w:val="FootnoteText"/>
      </w:pPr>
      <w:r>
        <w:rPr>
          <w:rStyle w:val="FootnoteReference"/>
        </w:rPr>
        <w:footnoteRef/>
      </w:r>
      <w:r>
        <w:t xml:space="preserve"> Second Supplemental Petition at 7, 30.</w:t>
      </w:r>
    </w:p>
  </w:footnote>
  <w:footnote w:id="51">
    <w:p w:rsidR="005950EA" w:rsidP="005950EA" w14:paraId="10D62063" w14:textId="5C6616B8">
      <w:pPr>
        <w:pStyle w:val="FootnoteText"/>
      </w:pPr>
      <w:r>
        <w:rPr>
          <w:rStyle w:val="FootnoteReference"/>
        </w:rPr>
        <w:footnoteRef/>
      </w:r>
      <w:r>
        <w:t xml:space="preserve"> </w:t>
      </w:r>
      <w:r w:rsidR="007F57A5">
        <w:rPr>
          <w:i/>
          <w:iCs/>
        </w:rPr>
        <w:t>Id.</w:t>
      </w:r>
      <w:r w:rsidRPr="003B1F8C">
        <w:t xml:space="preserve"> at 7</w:t>
      </w:r>
      <w:r>
        <w:t>.</w:t>
      </w:r>
    </w:p>
  </w:footnote>
  <w:footnote w:id="52">
    <w:p w:rsidR="006363C1" w14:paraId="79569064" w14:textId="77F53FF0">
      <w:pPr>
        <w:pStyle w:val="FootnoteText"/>
      </w:pPr>
      <w:r>
        <w:rPr>
          <w:rStyle w:val="FootnoteReference"/>
        </w:rPr>
        <w:footnoteRef/>
      </w:r>
      <w:r>
        <w:t xml:space="preserve"> </w:t>
      </w:r>
      <w:r w:rsidRPr="006363C1">
        <w:t>Letter from Julie Veach, Counsel, GCI, to Marlene H. Dortch, Secretary, FCC, WC Docket No. 16-271, at 1-2 (filed Sept. 14, 2023)</w:t>
      </w:r>
      <w:r>
        <w:t>.</w:t>
      </w:r>
    </w:p>
  </w:footnote>
  <w:footnote w:id="53">
    <w:p w:rsidR="005950EA" w:rsidP="005950EA" w14:paraId="01A52DB7" w14:textId="77777777">
      <w:pPr>
        <w:pStyle w:val="FootnoteText"/>
      </w:pPr>
      <w:r>
        <w:rPr>
          <w:rStyle w:val="FootnoteReference"/>
        </w:rPr>
        <w:footnoteRef/>
      </w:r>
      <w:r>
        <w:t xml:space="preserve"> </w:t>
      </w:r>
      <w:r w:rsidRPr="00CF7888">
        <w:rPr>
          <w:i/>
          <w:iCs/>
        </w:rPr>
        <w:t>See</w:t>
      </w:r>
      <w:r>
        <w:t xml:space="preserve"> Second Supplemental Petition at 7, 31; </w:t>
      </w:r>
      <w:r w:rsidRPr="00D61CEB">
        <w:t>Letter from Julie Veach, Counsel, GCI, to Marlene H. Dortch, Secretary, FCC, WC Docket No. 16-271</w:t>
      </w:r>
      <w:r>
        <w:t>, at 1-2</w:t>
      </w:r>
      <w:r w:rsidRPr="00D61CEB">
        <w:t xml:space="preserve"> (filed Sept. 14, 2023).</w:t>
      </w:r>
    </w:p>
  </w:footnote>
  <w:footnote w:id="54">
    <w:p w:rsidR="005950EA" w:rsidP="005950EA" w14:paraId="38D77E5A" w14:textId="77777777">
      <w:pPr>
        <w:pStyle w:val="FootnoteText"/>
      </w:pPr>
      <w:r>
        <w:rPr>
          <w:rStyle w:val="FootnoteReference"/>
        </w:rPr>
        <w:footnoteRef/>
      </w:r>
      <w:r>
        <w:t xml:space="preserve"> </w:t>
      </w:r>
      <w:r w:rsidRPr="00CF7888">
        <w:rPr>
          <w:i/>
          <w:iCs/>
        </w:rPr>
        <w:t>See</w:t>
      </w:r>
      <w:r>
        <w:rPr>
          <w:i/>
          <w:iCs/>
        </w:rPr>
        <w:t xml:space="preserve"> generally</w:t>
      </w:r>
      <w:r w:rsidRPr="00CF7888">
        <w:rPr>
          <w:i/>
          <w:iCs/>
        </w:rPr>
        <w:t xml:space="preserve"> Connect America Fund—Alaska Plan</w:t>
      </w:r>
      <w:r>
        <w:t>, WC Docket No. 16-271, Order, 37 FCC Rcd 7960 (WTB 2022) (</w:t>
      </w:r>
      <w:r>
        <w:rPr>
          <w:i/>
          <w:iCs/>
        </w:rPr>
        <w:t>Alaska Drive Test Waiver Order</w:t>
      </w:r>
      <w:r>
        <w:t>).</w:t>
      </w:r>
    </w:p>
  </w:footnote>
  <w:footnote w:id="55">
    <w:p w:rsidR="00201CB5" w14:paraId="5E2ACCF3" w14:textId="57667F56">
      <w:pPr>
        <w:pStyle w:val="FootnoteText"/>
      </w:pPr>
      <w:r>
        <w:rPr>
          <w:rStyle w:val="FootnoteReference"/>
        </w:rPr>
        <w:footnoteRef/>
      </w:r>
      <w:r>
        <w:t xml:space="preserve"> </w:t>
      </w:r>
      <w:r>
        <w:rPr>
          <w:i/>
          <w:iCs/>
        </w:rPr>
        <w:t xml:space="preserve">See </w:t>
      </w:r>
      <w:r w:rsidRPr="00201CB5">
        <w:rPr>
          <w:i/>
          <w:iCs/>
        </w:rPr>
        <w:t>Connect America Fund—Alaska Plan</w:t>
      </w:r>
      <w:r w:rsidRPr="00201CB5">
        <w:t>, WC Docket No. 16-271, Order, 35 FCC Rcd 10373, 10375</w:t>
      </w:r>
      <w:r>
        <w:t>-76</w:t>
      </w:r>
      <w:r w:rsidRPr="00201CB5">
        <w:t xml:space="preserve">, paras. </w:t>
      </w:r>
      <w:r>
        <w:t>5</w:t>
      </w:r>
      <w:r w:rsidRPr="00201CB5">
        <w:t xml:space="preserve">, </w:t>
      </w:r>
      <w:r>
        <w:t>9</w:t>
      </w:r>
      <w:r w:rsidRPr="00201CB5">
        <w:t xml:space="preserve"> (WTB 2020)</w:t>
      </w:r>
      <w:r>
        <w:t>.</w:t>
      </w:r>
    </w:p>
  </w:footnote>
  <w:footnote w:id="56">
    <w:p w:rsidR="005950EA" w:rsidP="005950EA" w14:paraId="3E17175E" w14:textId="1C456C06">
      <w:pPr>
        <w:pStyle w:val="FootnoteText"/>
      </w:pPr>
      <w:r>
        <w:rPr>
          <w:rStyle w:val="FootnoteReference"/>
        </w:rPr>
        <w:footnoteRef/>
      </w:r>
      <w:r>
        <w:t xml:space="preserve"> These 2</w:t>
      </w:r>
      <w:r w:rsidR="000023DC">
        <w:t>5</w:t>
      </w:r>
      <w:r>
        <w:t xml:space="preserve"> grid cells are also listed in the Appendix attached to this Order.  </w:t>
      </w:r>
      <w:r w:rsidRPr="00CF7888">
        <w:rPr>
          <w:i/>
          <w:iCs/>
        </w:rPr>
        <w:t>See infra</w:t>
      </w:r>
      <w:r w:rsidRPr="008F6BA0">
        <w:t xml:space="preserve"> Appendix.</w:t>
      </w:r>
    </w:p>
  </w:footnote>
  <w:footnote w:id="57">
    <w:p w:rsidR="005950EA" w:rsidRPr="00BD0A9D" w:rsidP="005950EA" w14:paraId="16E839D5" w14:textId="77777777">
      <w:pPr>
        <w:pStyle w:val="FootnoteText"/>
      </w:pPr>
      <w:r>
        <w:rPr>
          <w:rStyle w:val="FootnoteReference"/>
        </w:rPr>
        <w:footnoteRef/>
      </w:r>
      <w:r>
        <w:t xml:space="preserve"> For example, GCI may not have performed a sufficient number of tests for some of the grid cells in its original drive testing, or may have entirely skipped some grid cells the first time around.  </w:t>
      </w:r>
      <w:r w:rsidRPr="00976B43">
        <w:rPr>
          <w:i/>
          <w:iCs/>
        </w:rPr>
        <w:t>See</w:t>
      </w:r>
      <w:r>
        <w:t xml:space="preserve"> </w:t>
      </w:r>
      <w:r w:rsidRPr="00D45282">
        <w:t>Email from Matthew Warner, Attorney Advisor, Competition and Infrastructure Policy Division of the Wireless Telecommunications Bureau, FCC, to Chris Nierman, Vice President &amp; Senior Counsel, Federal Affairs, GCI, Attach. 2 (June 2, 2023 11:38 ET)</w:t>
      </w:r>
      <w:r>
        <w:t>.  Where GCI does not submit new drive test data as part of its retesting, Commission staff will have to rely on the data that were submitted in the initial testing, which includes some grid cells where GCI did not have a sufficient number of drive tests to pass..</w:t>
      </w:r>
    </w:p>
  </w:footnote>
  <w:footnote w:id="58">
    <w:p w:rsidR="005950EA" w:rsidP="005950EA" w14:paraId="65FF5B32" w14:textId="77777777">
      <w:pPr>
        <w:pStyle w:val="FootnoteText"/>
      </w:pPr>
      <w:r>
        <w:rPr>
          <w:rStyle w:val="FootnoteReference"/>
        </w:rPr>
        <w:footnoteRef/>
      </w:r>
      <w:r>
        <w:t xml:space="preserve"> </w:t>
      </w:r>
      <w:r w:rsidRPr="003D6CA8">
        <w:rPr>
          <w:i/>
          <w:iCs/>
        </w:rPr>
        <w:t>See</w:t>
      </w:r>
      <w:r>
        <w:t xml:space="preserve"> </w:t>
      </w:r>
      <w:r w:rsidRPr="003D6CA8">
        <w:rPr>
          <w:i/>
          <w:iCs/>
        </w:rPr>
        <w:t>First Waiver Order</w:t>
      </w:r>
      <w:r>
        <w:t xml:space="preserve"> at 6, para. 12.</w:t>
      </w:r>
    </w:p>
  </w:footnote>
  <w:footnote w:id="59">
    <w:p w:rsidR="006B63FD" w14:paraId="6068F52D" w14:textId="600F3080">
      <w:pPr>
        <w:pStyle w:val="FootnoteText"/>
      </w:pPr>
      <w:r>
        <w:rPr>
          <w:rStyle w:val="FootnoteReference"/>
        </w:rPr>
        <w:footnoteRef/>
      </w:r>
      <w:r>
        <w:t xml:space="preserve"> </w:t>
      </w:r>
      <w:r w:rsidRPr="006B63FD">
        <w:t xml:space="preserve">Third Supplemental Petition at </w:t>
      </w:r>
      <w:r>
        <w:t>7.</w:t>
      </w:r>
    </w:p>
  </w:footnote>
  <w:footnote w:id="60">
    <w:p w:rsidR="000B2296" w14:paraId="39653C1B" w14:textId="2962F3C7">
      <w:pPr>
        <w:pStyle w:val="FootnoteText"/>
      </w:pPr>
      <w:r>
        <w:rPr>
          <w:rStyle w:val="FootnoteReference"/>
        </w:rPr>
        <w:footnoteRef/>
      </w:r>
      <w:r>
        <w:t xml:space="preserve"> </w:t>
      </w:r>
      <w:r>
        <w:rPr>
          <w:i/>
          <w:iCs/>
        </w:rPr>
        <w:t>See</w:t>
      </w:r>
      <w:r w:rsidRPr="00F64CEE">
        <w:rPr>
          <w:i/>
          <w:iCs/>
        </w:rPr>
        <w:t xml:space="preserve"> supra</w:t>
      </w:r>
      <w:r>
        <w:t xml:space="preserve"> note 34.</w:t>
      </w:r>
    </w:p>
  </w:footnote>
  <w:footnote w:id="61">
    <w:p w:rsidR="00435E00" w:rsidP="00435E00" w14:paraId="79BD9CA1" w14:textId="56860E23">
      <w:pPr>
        <w:pStyle w:val="FootnoteText"/>
      </w:pPr>
      <w:r>
        <w:rPr>
          <w:rStyle w:val="FootnoteReference"/>
        </w:rPr>
        <w:footnoteRef/>
      </w:r>
      <w:r>
        <w:t xml:space="preserve"> </w:t>
      </w:r>
      <w:r w:rsidRPr="00BA6B10" w:rsidR="00BA6B10">
        <w:t xml:space="preserve">Quintillion announced that it repaired its fiber line on September 19, 2023, and that service to customers has been fully restored.  Press Release, Quintillion, </w:t>
      </w:r>
      <w:r w:rsidRPr="00BA6B10" w:rsidR="00BA6B10">
        <w:rPr>
          <w:i/>
          <w:iCs/>
        </w:rPr>
        <w:t>Quintillion Subsea Fiber Cable Repair Complete</w:t>
      </w:r>
      <w:r w:rsidRPr="00BA6B10" w:rsidR="00BA6B10">
        <w:t xml:space="preserve"> (Sept. 19, 2023) (Quintillion Sept. 19, 2023, Press Release), </w:t>
      </w:r>
      <w:hyperlink r:id="rId1" w:history="1">
        <w:r w:rsidRPr="00BA6B10" w:rsidR="00BA6B10">
          <w:rPr>
            <w:rStyle w:val="Hyperlink"/>
          </w:rPr>
          <w:t>https://www.quintillionglobal.com/quintillion-subsea-fiber-cable-repair-complete/</w:t>
        </w:r>
      </w:hyperlink>
      <w:r w:rsidRPr="00BA6B10" w:rsidR="00BA6B10">
        <w:t xml:space="preserve">.  </w:t>
      </w:r>
      <w:r>
        <w:t xml:space="preserve">  </w:t>
      </w:r>
    </w:p>
  </w:footnote>
  <w:footnote w:id="62">
    <w:p w:rsidR="00854A2A" w14:paraId="75F7E564" w14:textId="5E8E3F5E">
      <w:pPr>
        <w:pStyle w:val="FootnoteText"/>
      </w:pPr>
      <w:r>
        <w:rPr>
          <w:rStyle w:val="FootnoteReference"/>
        </w:rPr>
        <w:footnoteRef/>
      </w:r>
      <w:r w:rsidR="00AF1BC1">
        <w:t xml:space="preserve"> The Third Supplemental Petition </w:t>
      </w:r>
      <w:r w:rsidR="004139D5">
        <w:t xml:space="preserve">was received </w:t>
      </w:r>
      <w:r w:rsidR="00DA541C">
        <w:t>by the Commission’s Electronic Comment Filing System on</w:t>
      </w:r>
      <w:r w:rsidR="00AF1BC1">
        <w:t xml:space="preserve"> Sept</w:t>
      </w:r>
      <w:r w:rsidR="00DA541C">
        <w:t>ember</w:t>
      </w:r>
      <w:r w:rsidR="00AF1BC1">
        <w:t xml:space="preserve"> 15, 2023.</w:t>
      </w:r>
      <w:r w:rsidR="00DA541C">
        <w:t xml:space="preserve">  </w:t>
      </w:r>
    </w:p>
  </w:footnote>
  <w:footnote w:id="63">
    <w:p w:rsidR="000F4059" w14:paraId="42F61223" w14:textId="7130A706">
      <w:pPr>
        <w:pStyle w:val="FootnoteText"/>
      </w:pPr>
      <w:r>
        <w:rPr>
          <w:rStyle w:val="FootnoteReference"/>
        </w:rPr>
        <w:footnoteRef/>
      </w:r>
      <w:r>
        <w:t xml:space="preserve"> </w:t>
      </w:r>
      <w:r w:rsidRPr="003D6CA8">
        <w:rPr>
          <w:i/>
          <w:iCs/>
        </w:rPr>
        <w:t>See</w:t>
      </w:r>
      <w:r>
        <w:t xml:space="preserve"> </w:t>
      </w:r>
      <w:r w:rsidRPr="003D6CA8">
        <w:rPr>
          <w:i/>
          <w:iCs/>
        </w:rPr>
        <w:t>First Waiver Order</w:t>
      </w:r>
      <w:r>
        <w:t xml:space="preserve"> at</w:t>
      </w:r>
      <w:r w:rsidR="00AD1B6B">
        <w:t xml:space="preserve"> 7, para. 14.</w:t>
      </w:r>
    </w:p>
  </w:footnote>
  <w:footnote w:id="64">
    <w:p w:rsidR="000B47F5" w14:paraId="6AE3A3E7" w14:textId="224CC1AC">
      <w:pPr>
        <w:pStyle w:val="FootnoteText"/>
      </w:pPr>
      <w:r>
        <w:rPr>
          <w:rStyle w:val="FootnoteReference"/>
        </w:rPr>
        <w:footnoteRef/>
      </w:r>
      <w:r>
        <w:t xml:space="preserve"> </w:t>
      </w:r>
      <w:r w:rsidRPr="006B63FD" w:rsidR="007A5725">
        <w:t xml:space="preserve">Third Supplemental Petition at </w:t>
      </w:r>
      <w:r w:rsidR="007A5725">
        <w:t>7.</w:t>
      </w:r>
      <w:r w:rsidR="00490EA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A6955" w14:paraId="4A78E4AC" w14:textId="66ACDA47">
    <w:pPr>
      <w:pStyle w:val="Header"/>
    </w:pPr>
    <w:r>
      <w:tab/>
      <w:t>Federal Communications Commission</w:t>
    </w:r>
    <w:r>
      <w:tab/>
    </w:r>
    <w:r w:rsidR="00B05366">
      <w:t>DA 23-</w:t>
    </w:r>
    <w:r w:rsidR="00D11022">
      <w:t>913</w:t>
    </w:r>
  </w:p>
  <w:p w:rsidR="00D25FB5" w14:paraId="1AE9711B" w14:textId="760A66F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16615020" name="Rectangle 6166150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16615020"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A6955" w14:paraId="221310C3" w14:textId="0418A628">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450751871" name="Rectangle 4507518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5075187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05366">
      <w:rPr>
        <w:spacing w:val="-2"/>
      </w:rPr>
      <w:t xml:space="preserve">DA </w:t>
    </w:r>
    <w:r w:rsidR="00D11022">
      <w:rPr>
        <w:spacing w:val="-2"/>
      </w:rPr>
      <w:t>23-913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608446"/>
    <w:multiLevelType w:val="hybridMultilevel"/>
    <w:tmpl w:val="720C9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 w:numId="9">
    <w:abstractNumId w:val="6"/>
    <w:lvlOverride w:ilvl="0">
      <w:startOverride w:val="1"/>
    </w:lvlOverride>
  </w:num>
  <w:num w:numId="10">
    <w:abstractNumId w:val="6"/>
    <w:lvlOverride w:ilvl="0">
      <w:startOverride w:val="1"/>
    </w:lvlOverride>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DB"/>
    <w:rsid w:val="000003C9"/>
    <w:rsid w:val="000023DC"/>
    <w:rsid w:val="000047C5"/>
    <w:rsid w:val="00004844"/>
    <w:rsid w:val="0000510A"/>
    <w:rsid w:val="00005D49"/>
    <w:rsid w:val="0000601F"/>
    <w:rsid w:val="000111FB"/>
    <w:rsid w:val="00011CF3"/>
    <w:rsid w:val="000120D2"/>
    <w:rsid w:val="0001744E"/>
    <w:rsid w:val="00023B72"/>
    <w:rsid w:val="000245E7"/>
    <w:rsid w:val="00024755"/>
    <w:rsid w:val="00024869"/>
    <w:rsid w:val="000269EC"/>
    <w:rsid w:val="00027544"/>
    <w:rsid w:val="00027FD1"/>
    <w:rsid w:val="00030BC0"/>
    <w:rsid w:val="000335F0"/>
    <w:rsid w:val="00033809"/>
    <w:rsid w:val="00033891"/>
    <w:rsid w:val="00036039"/>
    <w:rsid w:val="00037222"/>
    <w:rsid w:val="00037F90"/>
    <w:rsid w:val="00040027"/>
    <w:rsid w:val="000420D9"/>
    <w:rsid w:val="00044048"/>
    <w:rsid w:val="00045722"/>
    <w:rsid w:val="00045C51"/>
    <w:rsid w:val="0004751B"/>
    <w:rsid w:val="00050316"/>
    <w:rsid w:val="00050D8D"/>
    <w:rsid w:val="0006168C"/>
    <w:rsid w:val="000624B8"/>
    <w:rsid w:val="0006369A"/>
    <w:rsid w:val="00065507"/>
    <w:rsid w:val="00066BBB"/>
    <w:rsid w:val="0007038E"/>
    <w:rsid w:val="00071C22"/>
    <w:rsid w:val="000725E7"/>
    <w:rsid w:val="00072CA6"/>
    <w:rsid w:val="00074BE8"/>
    <w:rsid w:val="00075155"/>
    <w:rsid w:val="0007783F"/>
    <w:rsid w:val="000779DB"/>
    <w:rsid w:val="000800ED"/>
    <w:rsid w:val="00080191"/>
    <w:rsid w:val="00081CAE"/>
    <w:rsid w:val="00081E48"/>
    <w:rsid w:val="00082C2A"/>
    <w:rsid w:val="00084199"/>
    <w:rsid w:val="00084342"/>
    <w:rsid w:val="000875BF"/>
    <w:rsid w:val="000914D9"/>
    <w:rsid w:val="000930D9"/>
    <w:rsid w:val="00096D8C"/>
    <w:rsid w:val="000A0F79"/>
    <w:rsid w:val="000A1F2A"/>
    <w:rsid w:val="000A3AA1"/>
    <w:rsid w:val="000A42BA"/>
    <w:rsid w:val="000A4DAA"/>
    <w:rsid w:val="000A5198"/>
    <w:rsid w:val="000A6955"/>
    <w:rsid w:val="000A79DA"/>
    <w:rsid w:val="000B0055"/>
    <w:rsid w:val="000B1ED3"/>
    <w:rsid w:val="000B2296"/>
    <w:rsid w:val="000B47F5"/>
    <w:rsid w:val="000B5267"/>
    <w:rsid w:val="000B598B"/>
    <w:rsid w:val="000B6203"/>
    <w:rsid w:val="000B723A"/>
    <w:rsid w:val="000C0B65"/>
    <w:rsid w:val="000C0BD6"/>
    <w:rsid w:val="000C1BB3"/>
    <w:rsid w:val="000C217E"/>
    <w:rsid w:val="000C4A8F"/>
    <w:rsid w:val="000C4ECC"/>
    <w:rsid w:val="000C60EE"/>
    <w:rsid w:val="000C6786"/>
    <w:rsid w:val="000D1B1F"/>
    <w:rsid w:val="000D23D9"/>
    <w:rsid w:val="000D32FA"/>
    <w:rsid w:val="000D41DA"/>
    <w:rsid w:val="000D758A"/>
    <w:rsid w:val="000E01A2"/>
    <w:rsid w:val="000E05FE"/>
    <w:rsid w:val="000E0A32"/>
    <w:rsid w:val="000E0C36"/>
    <w:rsid w:val="000E3D42"/>
    <w:rsid w:val="000E4192"/>
    <w:rsid w:val="000E4767"/>
    <w:rsid w:val="000E4C95"/>
    <w:rsid w:val="000E5C88"/>
    <w:rsid w:val="000E70D3"/>
    <w:rsid w:val="000E7A1B"/>
    <w:rsid w:val="000F10E2"/>
    <w:rsid w:val="000F37F7"/>
    <w:rsid w:val="000F4059"/>
    <w:rsid w:val="000F4D73"/>
    <w:rsid w:val="000F7B09"/>
    <w:rsid w:val="00101735"/>
    <w:rsid w:val="001035E0"/>
    <w:rsid w:val="00104FDE"/>
    <w:rsid w:val="001059C2"/>
    <w:rsid w:val="0011107C"/>
    <w:rsid w:val="00114F11"/>
    <w:rsid w:val="001168FE"/>
    <w:rsid w:val="00117A1D"/>
    <w:rsid w:val="00117EF4"/>
    <w:rsid w:val="00120C06"/>
    <w:rsid w:val="00122BD5"/>
    <w:rsid w:val="00125998"/>
    <w:rsid w:val="00125C97"/>
    <w:rsid w:val="00126643"/>
    <w:rsid w:val="00126DA3"/>
    <w:rsid w:val="00130B9E"/>
    <w:rsid w:val="001315E6"/>
    <w:rsid w:val="001337B0"/>
    <w:rsid w:val="00133F79"/>
    <w:rsid w:val="001358EE"/>
    <w:rsid w:val="00136680"/>
    <w:rsid w:val="00136C0E"/>
    <w:rsid w:val="00140DC1"/>
    <w:rsid w:val="00143251"/>
    <w:rsid w:val="00143F6B"/>
    <w:rsid w:val="00144F4E"/>
    <w:rsid w:val="00145C22"/>
    <w:rsid w:val="00146B4B"/>
    <w:rsid w:val="00146CBE"/>
    <w:rsid w:val="00147EF7"/>
    <w:rsid w:val="00150467"/>
    <w:rsid w:val="00150584"/>
    <w:rsid w:val="00151E35"/>
    <w:rsid w:val="001535C3"/>
    <w:rsid w:val="0015442E"/>
    <w:rsid w:val="001559A7"/>
    <w:rsid w:val="001559C1"/>
    <w:rsid w:val="001564A2"/>
    <w:rsid w:val="00156C20"/>
    <w:rsid w:val="00157CCA"/>
    <w:rsid w:val="00161E4D"/>
    <w:rsid w:val="00162A3B"/>
    <w:rsid w:val="00163AC1"/>
    <w:rsid w:val="00166F4E"/>
    <w:rsid w:val="00166FF0"/>
    <w:rsid w:val="0016718C"/>
    <w:rsid w:val="00173284"/>
    <w:rsid w:val="00175B5E"/>
    <w:rsid w:val="00175F00"/>
    <w:rsid w:val="0017654B"/>
    <w:rsid w:val="0017677D"/>
    <w:rsid w:val="00176C67"/>
    <w:rsid w:val="00177425"/>
    <w:rsid w:val="00180CB8"/>
    <w:rsid w:val="00181385"/>
    <w:rsid w:val="00181418"/>
    <w:rsid w:val="00183544"/>
    <w:rsid w:val="00183B84"/>
    <w:rsid w:val="00187BA0"/>
    <w:rsid w:val="00190F0A"/>
    <w:rsid w:val="00191F0D"/>
    <w:rsid w:val="00192684"/>
    <w:rsid w:val="001929B3"/>
    <w:rsid w:val="00192E4E"/>
    <w:rsid w:val="00194A66"/>
    <w:rsid w:val="00196C84"/>
    <w:rsid w:val="00196CA8"/>
    <w:rsid w:val="001975EF"/>
    <w:rsid w:val="001A1ABC"/>
    <w:rsid w:val="001A22C3"/>
    <w:rsid w:val="001A2B27"/>
    <w:rsid w:val="001A2BD2"/>
    <w:rsid w:val="001A3FAF"/>
    <w:rsid w:val="001A637F"/>
    <w:rsid w:val="001A7F4F"/>
    <w:rsid w:val="001B0303"/>
    <w:rsid w:val="001B0F56"/>
    <w:rsid w:val="001B128C"/>
    <w:rsid w:val="001B264F"/>
    <w:rsid w:val="001B2F4C"/>
    <w:rsid w:val="001B453C"/>
    <w:rsid w:val="001B4BD3"/>
    <w:rsid w:val="001B5A6F"/>
    <w:rsid w:val="001B5AF2"/>
    <w:rsid w:val="001B5D42"/>
    <w:rsid w:val="001B5DE3"/>
    <w:rsid w:val="001B5E03"/>
    <w:rsid w:val="001B6151"/>
    <w:rsid w:val="001B7073"/>
    <w:rsid w:val="001B73B3"/>
    <w:rsid w:val="001C144F"/>
    <w:rsid w:val="001C1E59"/>
    <w:rsid w:val="001C4CFA"/>
    <w:rsid w:val="001C4FC8"/>
    <w:rsid w:val="001C5353"/>
    <w:rsid w:val="001C74AF"/>
    <w:rsid w:val="001D2AE9"/>
    <w:rsid w:val="001D4D2F"/>
    <w:rsid w:val="001D5E1D"/>
    <w:rsid w:val="001D6056"/>
    <w:rsid w:val="001D6BCF"/>
    <w:rsid w:val="001E01CA"/>
    <w:rsid w:val="001E069D"/>
    <w:rsid w:val="001E2199"/>
    <w:rsid w:val="001E4263"/>
    <w:rsid w:val="001F059D"/>
    <w:rsid w:val="001F27AC"/>
    <w:rsid w:val="001F474A"/>
    <w:rsid w:val="001F56A2"/>
    <w:rsid w:val="001F6823"/>
    <w:rsid w:val="00200601"/>
    <w:rsid w:val="002006E8"/>
    <w:rsid w:val="002010F9"/>
    <w:rsid w:val="00201A9D"/>
    <w:rsid w:val="00201CB5"/>
    <w:rsid w:val="002046D3"/>
    <w:rsid w:val="00204FBC"/>
    <w:rsid w:val="0020581E"/>
    <w:rsid w:val="00206583"/>
    <w:rsid w:val="0020721A"/>
    <w:rsid w:val="00207248"/>
    <w:rsid w:val="00207B20"/>
    <w:rsid w:val="00211792"/>
    <w:rsid w:val="0021422B"/>
    <w:rsid w:val="00216989"/>
    <w:rsid w:val="00217405"/>
    <w:rsid w:val="00220E4A"/>
    <w:rsid w:val="002219A2"/>
    <w:rsid w:val="00225CD6"/>
    <w:rsid w:val="0022642C"/>
    <w:rsid w:val="00230FED"/>
    <w:rsid w:val="00231D40"/>
    <w:rsid w:val="00234994"/>
    <w:rsid w:val="00234AAC"/>
    <w:rsid w:val="002371E6"/>
    <w:rsid w:val="00240482"/>
    <w:rsid w:val="00241636"/>
    <w:rsid w:val="00245374"/>
    <w:rsid w:val="00246052"/>
    <w:rsid w:val="002478F4"/>
    <w:rsid w:val="00250593"/>
    <w:rsid w:val="0025108C"/>
    <w:rsid w:val="002547A2"/>
    <w:rsid w:val="00254F3B"/>
    <w:rsid w:val="00256243"/>
    <w:rsid w:val="002569E4"/>
    <w:rsid w:val="00257045"/>
    <w:rsid w:val="00257725"/>
    <w:rsid w:val="00261202"/>
    <w:rsid w:val="002618B8"/>
    <w:rsid w:val="0026263E"/>
    <w:rsid w:val="0026368C"/>
    <w:rsid w:val="00263C24"/>
    <w:rsid w:val="00265594"/>
    <w:rsid w:val="00267113"/>
    <w:rsid w:val="00267B4F"/>
    <w:rsid w:val="00267D79"/>
    <w:rsid w:val="00271BBF"/>
    <w:rsid w:val="00274E28"/>
    <w:rsid w:val="00274E8D"/>
    <w:rsid w:val="0027563D"/>
    <w:rsid w:val="00275C57"/>
    <w:rsid w:val="00275CF5"/>
    <w:rsid w:val="00275DFE"/>
    <w:rsid w:val="002768B1"/>
    <w:rsid w:val="00276B1A"/>
    <w:rsid w:val="002806A8"/>
    <w:rsid w:val="00282261"/>
    <w:rsid w:val="0028301F"/>
    <w:rsid w:val="00283994"/>
    <w:rsid w:val="00283A20"/>
    <w:rsid w:val="00283C63"/>
    <w:rsid w:val="00285017"/>
    <w:rsid w:val="00290605"/>
    <w:rsid w:val="0029097F"/>
    <w:rsid w:val="00290994"/>
    <w:rsid w:val="00291920"/>
    <w:rsid w:val="002919CF"/>
    <w:rsid w:val="002936D7"/>
    <w:rsid w:val="00293FF2"/>
    <w:rsid w:val="00295CD8"/>
    <w:rsid w:val="00297345"/>
    <w:rsid w:val="002A00C8"/>
    <w:rsid w:val="002A2D2E"/>
    <w:rsid w:val="002A3AE0"/>
    <w:rsid w:val="002A6573"/>
    <w:rsid w:val="002B5C32"/>
    <w:rsid w:val="002B691F"/>
    <w:rsid w:val="002C00E8"/>
    <w:rsid w:val="002C0694"/>
    <w:rsid w:val="002C0B57"/>
    <w:rsid w:val="002C1358"/>
    <w:rsid w:val="002C1EF9"/>
    <w:rsid w:val="002C4F39"/>
    <w:rsid w:val="002C52FF"/>
    <w:rsid w:val="002C5E82"/>
    <w:rsid w:val="002C64E5"/>
    <w:rsid w:val="002C773C"/>
    <w:rsid w:val="002D0471"/>
    <w:rsid w:val="002D0BBF"/>
    <w:rsid w:val="002D3397"/>
    <w:rsid w:val="002D4188"/>
    <w:rsid w:val="002E085C"/>
    <w:rsid w:val="002E1192"/>
    <w:rsid w:val="002E17E5"/>
    <w:rsid w:val="002E237A"/>
    <w:rsid w:val="002E2A71"/>
    <w:rsid w:val="002E424E"/>
    <w:rsid w:val="002E44F5"/>
    <w:rsid w:val="002E486C"/>
    <w:rsid w:val="002E5259"/>
    <w:rsid w:val="002E6E18"/>
    <w:rsid w:val="002F2DB4"/>
    <w:rsid w:val="002F6861"/>
    <w:rsid w:val="002F68D5"/>
    <w:rsid w:val="002F702A"/>
    <w:rsid w:val="002F7879"/>
    <w:rsid w:val="0030190D"/>
    <w:rsid w:val="003019B1"/>
    <w:rsid w:val="00302261"/>
    <w:rsid w:val="00305A33"/>
    <w:rsid w:val="003072C3"/>
    <w:rsid w:val="00307C7F"/>
    <w:rsid w:val="00311550"/>
    <w:rsid w:val="00311AB9"/>
    <w:rsid w:val="00311C93"/>
    <w:rsid w:val="00311DC4"/>
    <w:rsid w:val="00312DBC"/>
    <w:rsid w:val="003132B6"/>
    <w:rsid w:val="00313D96"/>
    <w:rsid w:val="0031643B"/>
    <w:rsid w:val="00316461"/>
    <w:rsid w:val="0031667C"/>
    <w:rsid w:val="003173BD"/>
    <w:rsid w:val="00320026"/>
    <w:rsid w:val="003223B0"/>
    <w:rsid w:val="00323E67"/>
    <w:rsid w:val="00325B8A"/>
    <w:rsid w:val="00327CCB"/>
    <w:rsid w:val="003301A7"/>
    <w:rsid w:val="003314BC"/>
    <w:rsid w:val="003328C5"/>
    <w:rsid w:val="003330D0"/>
    <w:rsid w:val="003335C0"/>
    <w:rsid w:val="00333F2C"/>
    <w:rsid w:val="00334993"/>
    <w:rsid w:val="00340613"/>
    <w:rsid w:val="00340B63"/>
    <w:rsid w:val="00342930"/>
    <w:rsid w:val="00343749"/>
    <w:rsid w:val="0034472E"/>
    <w:rsid w:val="0034660E"/>
    <w:rsid w:val="00346851"/>
    <w:rsid w:val="00347962"/>
    <w:rsid w:val="00350904"/>
    <w:rsid w:val="00351891"/>
    <w:rsid w:val="003527FB"/>
    <w:rsid w:val="003528FC"/>
    <w:rsid w:val="0035314B"/>
    <w:rsid w:val="003535F9"/>
    <w:rsid w:val="003539E8"/>
    <w:rsid w:val="00355692"/>
    <w:rsid w:val="00362EB5"/>
    <w:rsid w:val="00363944"/>
    <w:rsid w:val="0036461A"/>
    <w:rsid w:val="00364FB0"/>
    <w:rsid w:val="003653B6"/>
    <w:rsid w:val="00366004"/>
    <w:rsid w:val="003660ED"/>
    <w:rsid w:val="003732DB"/>
    <w:rsid w:val="0037343C"/>
    <w:rsid w:val="00375545"/>
    <w:rsid w:val="00376131"/>
    <w:rsid w:val="00376721"/>
    <w:rsid w:val="00376DF3"/>
    <w:rsid w:val="00377F9A"/>
    <w:rsid w:val="00377FC0"/>
    <w:rsid w:val="003803A1"/>
    <w:rsid w:val="00381D70"/>
    <w:rsid w:val="00382C56"/>
    <w:rsid w:val="00384D30"/>
    <w:rsid w:val="00386265"/>
    <w:rsid w:val="00386DCA"/>
    <w:rsid w:val="00387A87"/>
    <w:rsid w:val="00387C86"/>
    <w:rsid w:val="00391566"/>
    <w:rsid w:val="00395CA0"/>
    <w:rsid w:val="00395DD2"/>
    <w:rsid w:val="00396D4C"/>
    <w:rsid w:val="003A034E"/>
    <w:rsid w:val="003A2372"/>
    <w:rsid w:val="003A5E74"/>
    <w:rsid w:val="003B0550"/>
    <w:rsid w:val="003B0E5A"/>
    <w:rsid w:val="003B16B9"/>
    <w:rsid w:val="003B1F8C"/>
    <w:rsid w:val="003B5E60"/>
    <w:rsid w:val="003B665E"/>
    <w:rsid w:val="003B694F"/>
    <w:rsid w:val="003B7FC1"/>
    <w:rsid w:val="003C2051"/>
    <w:rsid w:val="003C2FCE"/>
    <w:rsid w:val="003D6CA8"/>
    <w:rsid w:val="003E2102"/>
    <w:rsid w:val="003E74E1"/>
    <w:rsid w:val="003F02B5"/>
    <w:rsid w:val="003F051E"/>
    <w:rsid w:val="003F1187"/>
    <w:rsid w:val="003F1303"/>
    <w:rsid w:val="003F171C"/>
    <w:rsid w:val="003F2C53"/>
    <w:rsid w:val="003F38B2"/>
    <w:rsid w:val="003F5FAB"/>
    <w:rsid w:val="003F652D"/>
    <w:rsid w:val="003F78EC"/>
    <w:rsid w:val="00401BA0"/>
    <w:rsid w:val="004021ED"/>
    <w:rsid w:val="004029E4"/>
    <w:rsid w:val="00402AB5"/>
    <w:rsid w:val="00402E71"/>
    <w:rsid w:val="0040347E"/>
    <w:rsid w:val="004072FF"/>
    <w:rsid w:val="00407D18"/>
    <w:rsid w:val="00411A44"/>
    <w:rsid w:val="00412FC5"/>
    <w:rsid w:val="004139D5"/>
    <w:rsid w:val="00414B7D"/>
    <w:rsid w:val="00416BBF"/>
    <w:rsid w:val="00417A2D"/>
    <w:rsid w:val="00420688"/>
    <w:rsid w:val="00420D4F"/>
    <w:rsid w:val="0042113C"/>
    <w:rsid w:val="00421934"/>
    <w:rsid w:val="00422276"/>
    <w:rsid w:val="0042386B"/>
    <w:rsid w:val="004242F1"/>
    <w:rsid w:val="00424C6C"/>
    <w:rsid w:val="004251C4"/>
    <w:rsid w:val="0042546F"/>
    <w:rsid w:val="00425597"/>
    <w:rsid w:val="00425830"/>
    <w:rsid w:val="00426108"/>
    <w:rsid w:val="00426E55"/>
    <w:rsid w:val="00430AD3"/>
    <w:rsid w:val="00430CED"/>
    <w:rsid w:val="00432605"/>
    <w:rsid w:val="004330B2"/>
    <w:rsid w:val="00433730"/>
    <w:rsid w:val="004338EC"/>
    <w:rsid w:val="00434031"/>
    <w:rsid w:val="0043449C"/>
    <w:rsid w:val="00435E00"/>
    <w:rsid w:val="0043677D"/>
    <w:rsid w:val="00436F42"/>
    <w:rsid w:val="004374D9"/>
    <w:rsid w:val="00441716"/>
    <w:rsid w:val="00444800"/>
    <w:rsid w:val="0044591E"/>
    <w:rsid w:val="00445A00"/>
    <w:rsid w:val="00446074"/>
    <w:rsid w:val="0044776E"/>
    <w:rsid w:val="00447C6C"/>
    <w:rsid w:val="004506BD"/>
    <w:rsid w:val="00451B0F"/>
    <w:rsid w:val="00452D67"/>
    <w:rsid w:val="0045356A"/>
    <w:rsid w:val="00453891"/>
    <w:rsid w:val="00454126"/>
    <w:rsid w:val="00455ADD"/>
    <w:rsid w:val="004567E9"/>
    <w:rsid w:val="004607C1"/>
    <w:rsid w:val="00465914"/>
    <w:rsid w:val="00465E7F"/>
    <w:rsid w:val="004705FF"/>
    <w:rsid w:val="0047197E"/>
    <w:rsid w:val="004728EC"/>
    <w:rsid w:val="00472D39"/>
    <w:rsid w:val="00473F99"/>
    <w:rsid w:val="00474C3A"/>
    <w:rsid w:val="00475FA9"/>
    <w:rsid w:val="00476FF7"/>
    <w:rsid w:val="00477CE0"/>
    <w:rsid w:val="004809A9"/>
    <w:rsid w:val="00480E0E"/>
    <w:rsid w:val="00481399"/>
    <w:rsid w:val="004820B3"/>
    <w:rsid w:val="00482B3F"/>
    <w:rsid w:val="00482B9E"/>
    <w:rsid w:val="00482D01"/>
    <w:rsid w:val="00483028"/>
    <w:rsid w:val="00483082"/>
    <w:rsid w:val="004849FF"/>
    <w:rsid w:val="00485987"/>
    <w:rsid w:val="00485AE1"/>
    <w:rsid w:val="00486077"/>
    <w:rsid w:val="004874A0"/>
    <w:rsid w:val="00490490"/>
    <w:rsid w:val="00490EAE"/>
    <w:rsid w:val="00491E6C"/>
    <w:rsid w:val="0049244F"/>
    <w:rsid w:val="00493689"/>
    <w:rsid w:val="00493831"/>
    <w:rsid w:val="004A1057"/>
    <w:rsid w:val="004A12CC"/>
    <w:rsid w:val="004A1727"/>
    <w:rsid w:val="004A2B9B"/>
    <w:rsid w:val="004A4E51"/>
    <w:rsid w:val="004A64BA"/>
    <w:rsid w:val="004A6E7F"/>
    <w:rsid w:val="004B09A9"/>
    <w:rsid w:val="004B30AC"/>
    <w:rsid w:val="004B3888"/>
    <w:rsid w:val="004B39C6"/>
    <w:rsid w:val="004B471E"/>
    <w:rsid w:val="004B4B57"/>
    <w:rsid w:val="004B5A94"/>
    <w:rsid w:val="004B5E6C"/>
    <w:rsid w:val="004B6EFC"/>
    <w:rsid w:val="004B779E"/>
    <w:rsid w:val="004C0978"/>
    <w:rsid w:val="004C0BA0"/>
    <w:rsid w:val="004C1C4A"/>
    <w:rsid w:val="004C2EE3"/>
    <w:rsid w:val="004C4886"/>
    <w:rsid w:val="004C7559"/>
    <w:rsid w:val="004D2E74"/>
    <w:rsid w:val="004D42F2"/>
    <w:rsid w:val="004D4A83"/>
    <w:rsid w:val="004D4C1E"/>
    <w:rsid w:val="004D7E28"/>
    <w:rsid w:val="004E0875"/>
    <w:rsid w:val="004E0E97"/>
    <w:rsid w:val="004E153B"/>
    <w:rsid w:val="004E2290"/>
    <w:rsid w:val="004E395C"/>
    <w:rsid w:val="004E3EAA"/>
    <w:rsid w:val="004E41D4"/>
    <w:rsid w:val="004E4A22"/>
    <w:rsid w:val="004E5C76"/>
    <w:rsid w:val="004F0D7C"/>
    <w:rsid w:val="004F2232"/>
    <w:rsid w:val="004F3154"/>
    <w:rsid w:val="004F41CB"/>
    <w:rsid w:val="004F68D5"/>
    <w:rsid w:val="00502C93"/>
    <w:rsid w:val="00504E53"/>
    <w:rsid w:val="0050741E"/>
    <w:rsid w:val="00507C72"/>
    <w:rsid w:val="00511968"/>
    <w:rsid w:val="00511FF1"/>
    <w:rsid w:val="00512AA6"/>
    <w:rsid w:val="00513633"/>
    <w:rsid w:val="00514FE3"/>
    <w:rsid w:val="005158CF"/>
    <w:rsid w:val="00515E6C"/>
    <w:rsid w:val="005175B7"/>
    <w:rsid w:val="005216D0"/>
    <w:rsid w:val="00522A4B"/>
    <w:rsid w:val="00522B89"/>
    <w:rsid w:val="005232C1"/>
    <w:rsid w:val="00523430"/>
    <w:rsid w:val="00524721"/>
    <w:rsid w:val="00524B1A"/>
    <w:rsid w:val="00527B7E"/>
    <w:rsid w:val="00531B6A"/>
    <w:rsid w:val="0053479A"/>
    <w:rsid w:val="00540E57"/>
    <w:rsid w:val="005416F3"/>
    <w:rsid w:val="00542218"/>
    <w:rsid w:val="00542B79"/>
    <w:rsid w:val="00542BC1"/>
    <w:rsid w:val="00542DF8"/>
    <w:rsid w:val="00544E9B"/>
    <w:rsid w:val="00551D97"/>
    <w:rsid w:val="00554BB6"/>
    <w:rsid w:val="00554D2F"/>
    <w:rsid w:val="0055614C"/>
    <w:rsid w:val="005570D8"/>
    <w:rsid w:val="0055750B"/>
    <w:rsid w:val="00562202"/>
    <w:rsid w:val="0056366D"/>
    <w:rsid w:val="00563E07"/>
    <w:rsid w:val="0056506B"/>
    <w:rsid w:val="00566D06"/>
    <w:rsid w:val="005707EF"/>
    <w:rsid w:val="005714CC"/>
    <w:rsid w:val="00571FDD"/>
    <w:rsid w:val="00572C26"/>
    <w:rsid w:val="00572C58"/>
    <w:rsid w:val="00572D8E"/>
    <w:rsid w:val="005730BC"/>
    <w:rsid w:val="00573176"/>
    <w:rsid w:val="00574587"/>
    <w:rsid w:val="0057571A"/>
    <w:rsid w:val="00575EB9"/>
    <w:rsid w:val="00580B03"/>
    <w:rsid w:val="005810D7"/>
    <w:rsid w:val="0058171D"/>
    <w:rsid w:val="00584563"/>
    <w:rsid w:val="00587B5C"/>
    <w:rsid w:val="005903B3"/>
    <w:rsid w:val="005911B9"/>
    <w:rsid w:val="00593605"/>
    <w:rsid w:val="005950EA"/>
    <w:rsid w:val="00595739"/>
    <w:rsid w:val="00595BEF"/>
    <w:rsid w:val="005966D0"/>
    <w:rsid w:val="00596B83"/>
    <w:rsid w:val="00597047"/>
    <w:rsid w:val="00597F1A"/>
    <w:rsid w:val="005A0110"/>
    <w:rsid w:val="005A188C"/>
    <w:rsid w:val="005A18B3"/>
    <w:rsid w:val="005A35E1"/>
    <w:rsid w:val="005A39BD"/>
    <w:rsid w:val="005A4A01"/>
    <w:rsid w:val="005A5F78"/>
    <w:rsid w:val="005A7323"/>
    <w:rsid w:val="005B2E34"/>
    <w:rsid w:val="005B4BB7"/>
    <w:rsid w:val="005B5891"/>
    <w:rsid w:val="005B7EFE"/>
    <w:rsid w:val="005C2DFC"/>
    <w:rsid w:val="005C4007"/>
    <w:rsid w:val="005C7233"/>
    <w:rsid w:val="005D1AF6"/>
    <w:rsid w:val="005D2C84"/>
    <w:rsid w:val="005D5946"/>
    <w:rsid w:val="005D63D3"/>
    <w:rsid w:val="005E14AF"/>
    <w:rsid w:val="005E14C2"/>
    <w:rsid w:val="005E2420"/>
    <w:rsid w:val="005E27C8"/>
    <w:rsid w:val="005E3BA1"/>
    <w:rsid w:val="005E4534"/>
    <w:rsid w:val="005E65AE"/>
    <w:rsid w:val="005E71B4"/>
    <w:rsid w:val="005F0162"/>
    <w:rsid w:val="005F0190"/>
    <w:rsid w:val="005F0A2A"/>
    <w:rsid w:val="005F14CC"/>
    <w:rsid w:val="005F3D22"/>
    <w:rsid w:val="005F4E86"/>
    <w:rsid w:val="005F6B29"/>
    <w:rsid w:val="005F7D58"/>
    <w:rsid w:val="00600517"/>
    <w:rsid w:val="00601877"/>
    <w:rsid w:val="006021C8"/>
    <w:rsid w:val="00602EC7"/>
    <w:rsid w:val="00602F1F"/>
    <w:rsid w:val="006067F0"/>
    <w:rsid w:val="0060763D"/>
    <w:rsid w:val="00607BA5"/>
    <w:rsid w:val="00611638"/>
    <w:rsid w:val="0061180A"/>
    <w:rsid w:val="006119BA"/>
    <w:rsid w:val="00612309"/>
    <w:rsid w:val="006132A7"/>
    <w:rsid w:val="006140E7"/>
    <w:rsid w:val="006148F0"/>
    <w:rsid w:val="0061653C"/>
    <w:rsid w:val="00617BE2"/>
    <w:rsid w:val="00620339"/>
    <w:rsid w:val="00621F53"/>
    <w:rsid w:val="00625F26"/>
    <w:rsid w:val="00626EB6"/>
    <w:rsid w:val="006276C2"/>
    <w:rsid w:val="0063115E"/>
    <w:rsid w:val="0063211F"/>
    <w:rsid w:val="006352E6"/>
    <w:rsid w:val="006363C1"/>
    <w:rsid w:val="006407DC"/>
    <w:rsid w:val="006416E9"/>
    <w:rsid w:val="00641876"/>
    <w:rsid w:val="00643C37"/>
    <w:rsid w:val="00643E1F"/>
    <w:rsid w:val="00646775"/>
    <w:rsid w:val="00647659"/>
    <w:rsid w:val="00655D03"/>
    <w:rsid w:val="00657640"/>
    <w:rsid w:val="00661118"/>
    <w:rsid w:val="00665351"/>
    <w:rsid w:val="00665D1B"/>
    <w:rsid w:val="006666D0"/>
    <w:rsid w:val="00666E63"/>
    <w:rsid w:val="00667301"/>
    <w:rsid w:val="00667DDC"/>
    <w:rsid w:val="00670AFC"/>
    <w:rsid w:val="00671950"/>
    <w:rsid w:val="00673158"/>
    <w:rsid w:val="00673683"/>
    <w:rsid w:val="00674A21"/>
    <w:rsid w:val="00676F81"/>
    <w:rsid w:val="006806F3"/>
    <w:rsid w:val="00680EB3"/>
    <w:rsid w:val="00680FC2"/>
    <w:rsid w:val="006812D7"/>
    <w:rsid w:val="00682D09"/>
    <w:rsid w:val="00683388"/>
    <w:rsid w:val="00683F84"/>
    <w:rsid w:val="00685333"/>
    <w:rsid w:val="00685410"/>
    <w:rsid w:val="00686A2D"/>
    <w:rsid w:val="0068731E"/>
    <w:rsid w:val="00693350"/>
    <w:rsid w:val="00693F62"/>
    <w:rsid w:val="00697689"/>
    <w:rsid w:val="00697D29"/>
    <w:rsid w:val="006A28FF"/>
    <w:rsid w:val="006A2927"/>
    <w:rsid w:val="006A3659"/>
    <w:rsid w:val="006A3FA4"/>
    <w:rsid w:val="006A49D0"/>
    <w:rsid w:val="006A6686"/>
    <w:rsid w:val="006A6A81"/>
    <w:rsid w:val="006A724E"/>
    <w:rsid w:val="006B0181"/>
    <w:rsid w:val="006B1288"/>
    <w:rsid w:val="006B3B21"/>
    <w:rsid w:val="006B6213"/>
    <w:rsid w:val="006B62B5"/>
    <w:rsid w:val="006B63FD"/>
    <w:rsid w:val="006B6672"/>
    <w:rsid w:val="006C656E"/>
    <w:rsid w:val="006C672B"/>
    <w:rsid w:val="006C7DE8"/>
    <w:rsid w:val="006D0D7A"/>
    <w:rsid w:val="006D3E06"/>
    <w:rsid w:val="006D466A"/>
    <w:rsid w:val="006E0A51"/>
    <w:rsid w:val="006E353A"/>
    <w:rsid w:val="006E677C"/>
    <w:rsid w:val="006E6A54"/>
    <w:rsid w:val="006E6C74"/>
    <w:rsid w:val="006E701C"/>
    <w:rsid w:val="006F0CE0"/>
    <w:rsid w:val="006F13DA"/>
    <w:rsid w:val="006F16B8"/>
    <w:rsid w:val="006F5095"/>
    <w:rsid w:val="006F57AD"/>
    <w:rsid w:val="006F57D4"/>
    <w:rsid w:val="006F5EE7"/>
    <w:rsid w:val="006F7393"/>
    <w:rsid w:val="0070224F"/>
    <w:rsid w:val="007050C2"/>
    <w:rsid w:val="0070562B"/>
    <w:rsid w:val="00705A35"/>
    <w:rsid w:val="00707902"/>
    <w:rsid w:val="007115F7"/>
    <w:rsid w:val="00712864"/>
    <w:rsid w:val="00712BBF"/>
    <w:rsid w:val="00713BAD"/>
    <w:rsid w:val="0071559B"/>
    <w:rsid w:val="0071563D"/>
    <w:rsid w:val="007160E8"/>
    <w:rsid w:val="007222E8"/>
    <w:rsid w:val="00722345"/>
    <w:rsid w:val="00724656"/>
    <w:rsid w:val="00724AF8"/>
    <w:rsid w:val="0072697A"/>
    <w:rsid w:val="007270BB"/>
    <w:rsid w:val="00727E51"/>
    <w:rsid w:val="00731E07"/>
    <w:rsid w:val="00732056"/>
    <w:rsid w:val="007320A4"/>
    <w:rsid w:val="00732DD3"/>
    <w:rsid w:val="00733902"/>
    <w:rsid w:val="007352CA"/>
    <w:rsid w:val="00746C05"/>
    <w:rsid w:val="00746DF7"/>
    <w:rsid w:val="0074790A"/>
    <w:rsid w:val="00750C82"/>
    <w:rsid w:val="00751130"/>
    <w:rsid w:val="00754691"/>
    <w:rsid w:val="00754A27"/>
    <w:rsid w:val="007558EB"/>
    <w:rsid w:val="00755A8C"/>
    <w:rsid w:val="00761750"/>
    <w:rsid w:val="0076260E"/>
    <w:rsid w:val="00765078"/>
    <w:rsid w:val="00766B59"/>
    <w:rsid w:val="00766B5D"/>
    <w:rsid w:val="00767E68"/>
    <w:rsid w:val="0077029A"/>
    <w:rsid w:val="00771424"/>
    <w:rsid w:val="00772035"/>
    <w:rsid w:val="00774E26"/>
    <w:rsid w:val="007754AB"/>
    <w:rsid w:val="007757D5"/>
    <w:rsid w:val="007764F6"/>
    <w:rsid w:val="00776F7E"/>
    <w:rsid w:val="00781150"/>
    <w:rsid w:val="00781B91"/>
    <w:rsid w:val="0078232B"/>
    <w:rsid w:val="007823FB"/>
    <w:rsid w:val="00782B39"/>
    <w:rsid w:val="00785689"/>
    <w:rsid w:val="007862F5"/>
    <w:rsid w:val="007865EA"/>
    <w:rsid w:val="00786B8B"/>
    <w:rsid w:val="00796A33"/>
    <w:rsid w:val="00796BD5"/>
    <w:rsid w:val="0079754B"/>
    <w:rsid w:val="007A0264"/>
    <w:rsid w:val="007A1E6D"/>
    <w:rsid w:val="007A228A"/>
    <w:rsid w:val="007A33AF"/>
    <w:rsid w:val="007A3571"/>
    <w:rsid w:val="007A3593"/>
    <w:rsid w:val="007A4C18"/>
    <w:rsid w:val="007A4E2A"/>
    <w:rsid w:val="007A5725"/>
    <w:rsid w:val="007B0EB2"/>
    <w:rsid w:val="007B367A"/>
    <w:rsid w:val="007B3AEA"/>
    <w:rsid w:val="007B52F3"/>
    <w:rsid w:val="007B67AF"/>
    <w:rsid w:val="007B6DE0"/>
    <w:rsid w:val="007C0D63"/>
    <w:rsid w:val="007C34B7"/>
    <w:rsid w:val="007C44F9"/>
    <w:rsid w:val="007C4A40"/>
    <w:rsid w:val="007C6193"/>
    <w:rsid w:val="007C69D5"/>
    <w:rsid w:val="007D0822"/>
    <w:rsid w:val="007D0D58"/>
    <w:rsid w:val="007D2256"/>
    <w:rsid w:val="007D3DC9"/>
    <w:rsid w:val="007D4A06"/>
    <w:rsid w:val="007D4B22"/>
    <w:rsid w:val="007D5905"/>
    <w:rsid w:val="007E0773"/>
    <w:rsid w:val="007E1DC1"/>
    <w:rsid w:val="007E451D"/>
    <w:rsid w:val="007E501B"/>
    <w:rsid w:val="007E503A"/>
    <w:rsid w:val="007E5B19"/>
    <w:rsid w:val="007F12DA"/>
    <w:rsid w:val="007F170F"/>
    <w:rsid w:val="007F267D"/>
    <w:rsid w:val="007F27ED"/>
    <w:rsid w:val="007F3D27"/>
    <w:rsid w:val="007F57A5"/>
    <w:rsid w:val="007F71E5"/>
    <w:rsid w:val="00800075"/>
    <w:rsid w:val="00800C48"/>
    <w:rsid w:val="00800F7E"/>
    <w:rsid w:val="008021D5"/>
    <w:rsid w:val="00805F8A"/>
    <w:rsid w:val="00806E4A"/>
    <w:rsid w:val="00810612"/>
    <w:rsid w:val="00810B6F"/>
    <w:rsid w:val="008110DB"/>
    <w:rsid w:val="008111E3"/>
    <w:rsid w:val="00811C68"/>
    <w:rsid w:val="00812802"/>
    <w:rsid w:val="008176A6"/>
    <w:rsid w:val="008214BF"/>
    <w:rsid w:val="008219BD"/>
    <w:rsid w:val="00822CE0"/>
    <w:rsid w:val="00826180"/>
    <w:rsid w:val="00830A32"/>
    <w:rsid w:val="00830B06"/>
    <w:rsid w:val="0083374A"/>
    <w:rsid w:val="008345E8"/>
    <w:rsid w:val="00834CEF"/>
    <w:rsid w:val="00836706"/>
    <w:rsid w:val="00836A24"/>
    <w:rsid w:val="00836B40"/>
    <w:rsid w:val="0083706F"/>
    <w:rsid w:val="0084012B"/>
    <w:rsid w:val="00841034"/>
    <w:rsid w:val="00841AB1"/>
    <w:rsid w:val="00842498"/>
    <w:rsid w:val="00842618"/>
    <w:rsid w:val="00842B02"/>
    <w:rsid w:val="0084546D"/>
    <w:rsid w:val="00845A5A"/>
    <w:rsid w:val="00846CAA"/>
    <w:rsid w:val="00852CF6"/>
    <w:rsid w:val="008531A4"/>
    <w:rsid w:val="008534E6"/>
    <w:rsid w:val="00854A2A"/>
    <w:rsid w:val="00862CBF"/>
    <w:rsid w:val="00866678"/>
    <w:rsid w:val="00866B94"/>
    <w:rsid w:val="00870779"/>
    <w:rsid w:val="0087097F"/>
    <w:rsid w:val="00871004"/>
    <w:rsid w:val="0087209B"/>
    <w:rsid w:val="00873312"/>
    <w:rsid w:val="008739E7"/>
    <w:rsid w:val="008760AE"/>
    <w:rsid w:val="008761CD"/>
    <w:rsid w:val="00881145"/>
    <w:rsid w:val="00881406"/>
    <w:rsid w:val="00881459"/>
    <w:rsid w:val="00881E89"/>
    <w:rsid w:val="008843B3"/>
    <w:rsid w:val="00884870"/>
    <w:rsid w:val="00884F6A"/>
    <w:rsid w:val="00885864"/>
    <w:rsid w:val="00890695"/>
    <w:rsid w:val="008929C4"/>
    <w:rsid w:val="00892B6D"/>
    <w:rsid w:val="00893CC4"/>
    <w:rsid w:val="0089641F"/>
    <w:rsid w:val="00897217"/>
    <w:rsid w:val="008A0155"/>
    <w:rsid w:val="008A0156"/>
    <w:rsid w:val="008A2A3D"/>
    <w:rsid w:val="008A3F11"/>
    <w:rsid w:val="008A4CE5"/>
    <w:rsid w:val="008A7B1F"/>
    <w:rsid w:val="008B1F66"/>
    <w:rsid w:val="008B4AE3"/>
    <w:rsid w:val="008C1B10"/>
    <w:rsid w:val="008C1C48"/>
    <w:rsid w:val="008C25CA"/>
    <w:rsid w:val="008C35E9"/>
    <w:rsid w:val="008C5773"/>
    <w:rsid w:val="008C5EBD"/>
    <w:rsid w:val="008C68F1"/>
    <w:rsid w:val="008C6FD6"/>
    <w:rsid w:val="008D2F5F"/>
    <w:rsid w:val="008D3AD7"/>
    <w:rsid w:val="008D490A"/>
    <w:rsid w:val="008D6ACA"/>
    <w:rsid w:val="008E08B8"/>
    <w:rsid w:val="008E15FA"/>
    <w:rsid w:val="008E3281"/>
    <w:rsid w:val="008E34B6"/>
    <w:rsid w:val="008E3819"/>
    <w:rsid w:val="008E534C"/>
    <w:rsid w:val="008E5783"/>
    <w:rsid w:val="008E5D9A"/>
    <w:rsid w:val="008E65A3"/>
    <w:rsid w:val="008E690D"/>
    <w:rsid w:val="008F02E1"/>
    <w:rsid w:val="008F0C1C"/>
    <w:rsid w:val="008F1E72"/>
    <w:rsid w:val="008F1E77"/>
    <w:rsid w:val="008F2F0D"/>
    <w:rsid w:val="008F3ABC"/>
    <w:rsid w:val="008F4910"/>
    <w:rsid w:val="008F4F4D"/>
    <w:rsid w:val="008F51B0"/>
    <w:rsid w:val="008F6BA0"/>
    <w:rsid w:val="00900BFF"/>
    <w:rsid w:val="00901007"/>
    <w:rsid w:val="00903F75"/>
    <w:rsid w:val="009120AF"/>
    <w:rsid w:val="00912636"/>
    <w:rsid w:val="0091338F"/>
    <w:rsid w:val="00913E00"/>
    <w:rsid w:val="00914621"/>
    <w:rsid w:val="00916066"/>
    <w:rsid w:val="00916856"/>
    <w:rsid w:val="00916ADD"/>
    <w:rsid w:val="00921755"/>
    <w:rsid w:val="00921803"/>
    <w:rsid w:val="009219FD"/>
    <w:rsid w:val="0092640B"/>
    <w:rsid w:val="00926503"/>
    <w:rsid w:val="00933D1C"/>
    <w:rsid w:val="0093473D"/>
    <w:rsid w:val="00936079"/>
    <w:rsid w:val="00940025"/>
    <w:rsid w:val="0094062C"/>
    <w:rsid w:val="00940A79"/>
    <w:rsid w:val="009424B8"/>
    <w:rsid w:val="00942749"/>
    <w:rsid w:val="00943C11"/>
    <w:rsid w:val="00944B5E"/>
    <w:rsid w:val="00947209"/>
    <w:rsid w:val="0094786E"/>
    <w:rsid w:val="00947D26"/>
    <w:rsid w:val="00953E10"/>
    <w:rsid w:val="00954E3A"/>
    <w:rsid w:val="009553C0"/>
    <w:rsid w:val="00955CC3"/>
    <w:rsid w:val="00960BB2"/>
    <w:rsid w:val="0096189F"/>
    <w:rsid w:val="00962216"/>
    <w:rsid w:val="00962CFC"/>
    <w:rsid w:val="009726D8"/>
    <w:rsid w:val="00972794"/>
    <w:rsid w:val="00973BC4"/>
    <w:rsid w:val="00976A7D"/>
    <w:rsid w:val="00976B43"/>
    <w:rsid w:val="0097751E"/>
    <w:rsid w:val="00977670"/>
    <w:rsid w:val="0098009C"/>
    <w:rsid w:val="00982542"/>
    <w:rsid w:val="009849A7"/>
    <w:rsid w:val="00985B52"/>
    <w:rsid w:val="00986015"/>
    <w:rsid w:val="0098624A"/>
    <w:rsid w:val="009863A7"/>
    <w:rsid w:val="00991AA6"/>
    <w:rsid w:val="0099249B"/>
    <w:rsid w:val="009927C6"/>
    <w:rsid w:val="00992F9B"/>
    <w:rsid w:val="009930E3"/>
    <w:rsid w:val="00993B41"/>
    <w:rsid w:val="00993E14"/>
    <w:rsid w:val="009A3214"/>
    <w:rsid w:val="009A4D9D"/>
    <w:rsid w:val="009B0607"/>
    <w:rsid w:val="009B0F5A"/>
    <w:rsid w:val="009B3047"/>
    <w:rsid w:val="009B4E71"/>
    <w:rsid w:val="009B524F"/>
    <w:rsid w:val="009B5528"/>
    <w:rsid w:val="009B746D"/>
    <w:rsid w:val="009C3CB7"/>
    <w:rsid w:val="009C48CD"/>
    <w:rsid w:val="009C5E73"/>
    <w:rsid w:val="009D182D"/>
    <w:rsid w:val="009D2C62"/>
    <w:rsid w:val="009D3984"/>
    <w:rsid w:val="009D5C3C"/>
    <w:rsid w:val="009D7308"/>
    <w:rsid w:val="009E20C7"/>
    <w:rsid w:val="009E3D2F"/>
    <w:rsid w:val="009E4558"/>
    <w:rsid w:val="009E58C1"/>
    <w:rsid w:val="009E5F7B"/>
    <w:rsid w:val="009E6AFF"/>
    <w:rsid w:val="009E6B83"/>
    <w:rsid w:val="009E6FBB"/>
    <w:rsid w:val="009F0331"/>
    <w:rsid w:val="009F12F9"/>
    <w:rsid w:val="009F2C8B"/>
    <w:rsid w:val="009F5410"/>
    <w:rsid w:val="009F76DB"/>
    <w:rsid w:val="00A03331"/>
    <w:rsid w:val="00A04825"/>
    <w:rsid w:val="00A04F54"/>
    <w:rsid w:val="00A06530"/>
    <w:rsid w:val="00A071A3"/>
    <w:rsid w:val="00A07EBC"/>
    <w:rsid w:val="00A07FE4"/>
    <w:rsid w:val="00A101C4"/>
    <w:rsid w:val="00A10A4C"/>
    <w:rsid w:val="00A10F45"/>
    <w:rsid w:val="00A10FB9"/>
    <w:rsid w:val="00A114A2"/>
    <w:rsid w:val="00A11DE7"/>
    <w:rsid w:val="00A14003"/>
    <w:rsid w:val="00A14167"/>
    <w:rsid w:val="00A15032"/>
    <w:rsid w:val="00A20B73"/>
    <w:rsid w:val="00A2738C"/>
    <w:rsid w:val="00A30947"/>
    <w:rsid w:val="00A3121B"/>
    <w:rsid w:val="00A323CD"/>
    <w:rsid w:val="00A32C3B"/>
    <w:rsid w:val="00A33925"/>
    <w:rsid w:val="00A343EA"/>
    <w:rsid w:val="00A355D4"/>
    <w:rsid w:val="00A36362"/>
    <w:rsid w:val="00A3711D"/>
    <w:rsid w:val="00A43BFA"/>
    <w:rsid w:val="00A442C0"/>
    <w:rsid w:val="00A45F4F"/>
    <w:rsid w:val="00A522C7"/>
    <w:rsid w:val="00A52F63"/>
    <w:rsid w:val="00A52FD2"/>
    <w:rsid w:val="00A531CD"/>
    <w:rsid w:val="00A53AE1"/>
    <w:rsid w:val="00A55C25"/>
    <w:rsid w:val="00A57569"/>
    <w:rsid w:val="00A600A9"/>
    <w:rsid w:val="00A60CD6"/>
    <w:rsid w:val="00A6228B"/>
    <w:rsid w:val="00A64F52"/>
    <w:rsid w:val="00A6548C"/>
    <w:rsid w:val="00A71DBC"/>
    <w:rsid w:val="00A7289D"/>
    <w:rsid w:val="00A75137"/>
    <w:rsid w:val="00A75653"/>
    <w:rsid w:val="00A7567A"/>
    <w:rsid w:val="00A765BD"/>
    <w:rsid w:val="00A76F73"/>
    <w:rsid w:val="00A77628"/>
    <w:rsid w:val="00A77CE7"/>
    <w:rsid w:val="00A813EC"/>
    <w:rsid w:val="00A8157C"/>
    <w:rsid w:val="00A85140"/>
    <w:rsid w:val="00A86AAD"/>
    <w:rsid w:val="00A905A2"/>
    <w:rsid w:val="00A92969"/>
    <w:rsid w:val="00A942F8"/>
    <w:rsid w:val="00A95B9C"/>
    <w:rsid w:val="00A965B6"/>
    <w:rsid w:val="00A97462"/>
    <w:rsid w:val="00AA1DD5"/>
    <w:rsid w:val="00AA292A"/>
    <w:rsid w:val="00AA35B3"/>
    <w:rsid w:val="00AA411E"/>
    <w:rsid w:val="00AA55B7"/>
    <w:rsid w:val="00AA5B9E"/>
    <w:rsid w:val="00AB0C18"/>
    <w:rsid w:val="00AB0D26"/>
    <w:rsid w:val="00AB14A3"/>
    <w:rsid w:val="00AB2407"/>
    <w:rsid w:val="00AB2456"/>
    <w:rsid w:val="00AB2C0C"/>
    <w:rsid w:val="00AB459A"/>
    <w:rsid w:val="00AB53DF"/>
    <w:rsid w:val="00AB703B"/>
    <w:rsid w:val="00AC012E"/>
    <w:rsid w:val="00AC146C"/>
    <w:rsid w:val="00AC148A"/>
    <w:rsid w:val="00AC1C84"/>
    <w:rsid w:val="00AC26F3"/>
    <w:rsid w:val="00AC6931"/>
    <w:rsid w:val="00AD14A8"/>
    <w:rsid w:val="00AD1B6B"/>
    <w:rsid w:val="00AD2864"/>
    <w:rsid w:val="00AD2B20"/>
    <w:rsid w:val="00AD5F01"/>
    <w:rsid w:val="00AD6D48"/>
    <w:rsid w:val="00AD7FEF"/>
    <w:rsid w:val="00AE0761"/>
    <w:rsid w:val="00AE30EF"/>
    <w:rsid w:val="00AE3A31"/>
    <w:rsid w:val="00AE3B6D"/>
    <w:rsid w:val="00AE411D"/>
    <w:rsid w:val="00AE76FF"/>
    <w:rsid w:val="00AF11BD"/>
    <w:rsid w:val="00AF1BC1"/>
    <w:rsid w:val="00AF28AB"/>
    <w:rsid w:val="00AF2DE9"/>
    <w:rsid w:val="00AF3C7A"/>
    <w:rsid w:val="00AF4716"/>
    <w:rsid w:val="00AF5348"/>
    <w:rsid w:val="00AF5B44"/>
    <w:rsid w:val="00AF71FB"/>
    <w:rsid w:val="00AF7FD0"/>
    <w:rsid w:val="00B04363"/>
    <w:rsid w:val="00B05366"/>
    <w:rsid w:val="00B055A3"/>
    <w:rsid w:val="00B061CA"/>
    <w:rsid w:val="00B07ADF"/>
    <w:rsid w:val="00B07E5C"/>
    <w:rsid w:val="00B11529"/>
    <w:rsid w:val="00B11652"/>
    <w:rsid w:val="00B116C2"/>
    <w:rsid w:val="00B11A36"/>
    <w:rsid w:val="00B12018"/>
    <w:rsid w:val="00B13059"/>
    <w:rsid w:val="00B13949"/>
    <w:rsid w:val="00B16425"/>
    <w:rsid w:val="00B22C57"/>
    <w:rsid w:val="00B23E6B"/>
    <w:rsid w:val="00B251DF"/>
    <w:rsid w:val="00B2532E"/>
    <w:rsid w:val="00B26F29"/>
    <w:rsid w:val="00B31050"/>
    <w:rsid w:val="00B3108B"/>
    <w:rsid w:val="00B31FD4"/>
    <w:rsid w:val="00B332A9"/>
    <w:rsid w:val="00B3386D"/>
    <w:rsid w:val="00B34A20"/>
    <w:rsid w:val="00B356BE"/>
    <w:rsid w:val="00B35895"/>
    <w:rsid w:val="00B35E1B"/>
    <w:rsid w:val="00B37FFE"/>
    <w:rsid w:val="00B40481"/>
    <w:rsid w:val="00B40B84"/>
    <w:rsid w:val="00B41882"/>
    <w:rsid w:val="00B42628"/>
    <w:rsid w:val="00B42FC0"/>
    <w:rsid w:val="00B43063"/>
    <w:rsid w:val="00B4383D"/>
    <w:rsid w:val="00B43CC2"/>
    <w:rsid w:val="00B43D55"/>
    <w:rsid w:val="00B453E0"/>
    <w:rsid w:val="00B46169"/>
    <w:rsid w:val="00B47754"/>
    <w:rsid w:val="00B513B2"/>
    <w:rsid w:val="00B52228"/>
    <w:rsid w:val="00B54BA5"/>
    <w:rsid w:val="00B56A6B"/>
    <w:rsid w:val="00B56F82"/>
    <w:rsid w:val="00B60201"/>
    <w:rsid w:val="00B60A63"/>
    <w:rsid w:val="00B61DB7"/>
    <w:rsid w:val="00B64BE2"/>
    <w:rsid w:val="00B65518"/>
    <w:rsid w:val="00B657B9"/>
    <w:rsid w:val="00B66E95"/>
    <w:rsid w:val="00B72254"/>
    <w:rsid w:val="00B727E2"/>
    <w:rsid w:val="00B72C3D"/>
    <w:rsid w:val="00B75C21"/>
    <w:rsid w:val="00B77208"/>
    <w:rsid w:val="00B810E1"/>
    <w:rsid w:val="00B811F7"/>
    <w:rsid w:val="00B81D3E"/>
    <w:rsid w:val="00B81D8F"/>
    <w:rsid w:val="00B82AD2"/>
    <w:rsid w:val="00B8598E"/>
    <w:rsid w:val="00B86E94"/>
    <w:rsid w:val="00B90D00"/>
    <w:rsid w:val="00B91141"/>
    <w:rsid w:val="00B913DD"/>
    <w:rsid w:val="00B92592"/>
    <w:rsid w:val="00B92DF4"/>
    <w:rsid w:val="00B968DA"/>
    <w:rsid w:val="00B96949"/>
    <w:rsid w:val="00B96C7F"/>
    <w:rsid w:val="00B96F87"/>
    <w:rsid w:val="00B97167"/>
    <w:rsid w:val="00BA041A"/>
    <w:rsid w:val="00BA0CA2"/>
    <w:rsid w:val="00BA2618"/>
    <w:rsid w:val="00BA3224"/>
    <w:rsid w:val="00BA446A"/>
    <w:rsid w:val="00BA451C"/>
    <w:rsid w:val="00BA5DC6"/>
    <w:rsid w:val="00BA6196"/>
    <w:rsid w:val="00BA6B10"/>
    <w:rsid w:val="00BA78CC"/>
    <w:rsid w:val="00BB320B"/>
    <w:rsid w:val="00BB4669"/>
    <w:rsid w:val="00BB4E2C"/>
    <w:rsid w:val="00BB5B41"/>
    <w:rsid w:val="00BB6C2E"/>
    <w:rsid w:val="00BC2D17"/>
    <w:rsid w:val="00BC332E"/>
    <w:rsid w:val="00BC402B"/>
    <w:rsid w:val="00BC48EC"/>
    <w:rsid w:val="00BC6D8C"/>
    <w:rsid w:val="00BD0A9D"/>
    <w:rsid w:val="00BD2045"/>
    <w:rsid w:val="00BD4E63"/>
    <w:rsid w:val="00BD6A51"/>
    <w:rsid w:val="00BD7CF9"/>
    <w:rsid w:val="00BE044A"/>
    <w:rsid w:val="00BE0934"/>
    <w:rsid w:val="00BE0EA8"/>
    <w:rsid w:val="00BE17A2"/>
    <w:rsid w:val="00BE44D5"/>
    <w:rsid w:val="00BE5035"/>
    <w:rsid w:val="00BE60F8"/>
    <w:rsid w:val="00BE7389"/>
    <w:rsid w:val="00BE74A2"/>
    <w:rsid w:val="00BE74CE"/>
    <w:rsid w:val="00BF067F"/>
    <w:rsid w:val="00BF37D4"/>
    <w:rsid w:val="00BF5FB4"/>
    <w:rsid w:val="00BF6428"/>
    <w:rsid w:val="00BF6608"/>
    <w:rsid w:val="00BF6670"/>
    <w:rsid w:val="00BF673E"/>
    <w:rsid w:val="00BF6AE4"/>
    <w:rsid w:val="00BF6F82"/>
    <w:rsid w:val="00BF7D2C"/>
    <w:rsid w:val="00C02006"/>
    <w:rsid w:val="00C06C49"/>
    <w:rsid w:val="00C07243"/>
    <w:rsid w:val="00C177EF"/>
    <w:rsid w:val="00C207FD"/>
    <w:rsid w:val="00C22A91"/>
    <w:rsid w:val="00C239FF"/>
    <w:rsid w:val="00C24795"/>
    <w:rsid w:val="00C26CF4"/>
    <w:rsid w:val="00C275DD"/>
    <w:rsid w:val="00C316DD"/>
    <w:rsid w:val="00C34006"/>
    <w:rsid w:val="00C34790"/>
    <w:rsid w:val="00C34F3F"/>
    <w:rsid w:val="00C36B4C"/>
    <w:rsid w:val="00C40D05"/>
    <w:rsid w:val="00C41921"/>
    <w:rsid w:val="00C426B1"/>
    <w:rsid w:val="00C42C9F"/>
    <w:rsid w:val="00C43AA2"/>
    <w:rsid w:val="00C4705C"/>
    <w:rsid w:val="00C479F9"/>
    <w:rsid w:val="00C47FE1"/>
    <w:rsid w:val="00C50421"/>
    <w:rsid w:val="00C50AAB"/>
    <w:rsid w:val="00C51144"/>
    <w:rsid w:val="00C536E1"/>
    <w:rsid w:val="00C55E93"/>
    <w:rsid w:val="00C609F4"/>
    <w:rsid w:val="00C60EAD"/>
    <w:rsid w:val="00C618EC"/>
    <w:rsid w:val="00C635A3"/>
    <w:rsid w:val="00C63D40"/>
    <w:rsid w:val="00C63F0D"/>
    <w:rsid w:val="00C65489"/>
    <w:rsid w:val="00C66160"/>
    <w:rsid w:val="00C66F08"/>
    <w:rsid w:val="00C721AC"/>
    <w:rsid w:val="00C723C3"/>
    <w:rsid w:val="00C7414A"/>
    <w:rsid w:val="00C76E16"/>
    <w:rsid w:val="00C81459"/>
    <w:rsid w:val="00C83E5A"/>
    <w:rsid w:val="00C85F85"/>
    <w:rsid w:val="00C90D6A"/>
    <w:rsid w:val="00C91A64"/>
    <w:rsid w:val="00C94183"/>
    <w:rsid w:val="00C95228"/>
    <w:rsid w:val="00C9642E"/>
    <w:rsid w:val="00C96787"/>
    <w:rsid w:val="00C96B06"/>
    <w:rsid w:val="00C96B55"/>
    <w:rsid w:val="00C96F21"/>
    <w:rsid w:val="00CA0521"/>
    <w:rsid w:val="00CA1783"/>
    <w:rsid w:val="00CA247E"/>
    <w:rsid w:val="00CA2B2D"/>
    <w:rsid w:val="00CA38A6"/>
    <w:rsid w:val="00CA3CD6"/>
    <w:rsid w:val="00CA52BA"/>
    <w:rsid w:val="00CA5ABD"/>
    <w:rsid w:val="00CA6D21"/>
    <w:rsid w:val="00CB169C"/>
    <w:rsid w:val="00CB16BC"/>
    <w:rsid w:val="00CB1D0F"/>
    <w:rsid w:val="00CB2046"/>
    <w:rsid w:val="00CB333C"/>
    <w:rsid w:val="00CB3962"/>
    <w:rsid w:val="00CB4493"/>
    <w:rsid w:val="00CB55D1"/>
    <w:rsid w:val="00CB65F7"/>
    <w:rsid w:val="00CB7EE0"/>
    <w:rsid w:val="00CC023B"/>
    <w:rsid w:val="00CC0838"/>
    <w:rsid w:val="00CC1629"/>
    <w:rsid w:val="00CC19C8"/>
    <w:rsid w:val="00CC1EA9"/>
    <w:rsid w:val="00CC72B6"/>
    <w:rsid w:val="00CC76B2"/>
    <w:rsid w:val="00CC77D3"/>
    <w:rsid w:val="00CD03B1"/>
    <w:rsid w:val="00CD0FC5"/>
    <w:rsid w:val="00CD20BD"/>
    <w:rsid w:val="00CD30C7"/>
    <w:rsid w:val="00CD66EB"/>
    <w:rsid w:val="00CD6B85"/>
    <w:rsid w:val="00CD7B9E"/>
    <w:rsid w:val="00CE05B9"/>
    <w:rsid w:val="00CE1D0D"/>
    <w:rsid w:val="00CE54DC"/>
    <w:rsid w:val="00CE75E1"/>
    <w:rsid w:val="00CE7B80"/>
    <w:rsid w:val="00CF0623"/>
    <w:rsid w:val="00CF11EE"/>
    <w:rsid w:val="00CF2FBA"/>
    <w:rsid w:val="00CF3789"/>
    <w:rsid w:val="00CF3BAD"/>
    <w:rsid w:val="00CF5710"/>
    <w:rsid w:val="00CF7888"/>
    <w:rsid w:val="00D0060F"/>
    <w:rsid w:val="00D01354"/>
    <w:rsid w:val="00D01EF4"/>
    <w:rsid w:val="00D0218D"/>
    <w:rsid w:val="00D02568"/>
    <w:rsid w:val="00D03576"/>
    <w:rsid w:val="00D051BE"/>
    <w:rsid w:val="00D0637C"/>
    <w:rsid w:val="00D06C4D"/>
    <w:rsid w:val="00D07831"/>
    <w:rsid w:val="00D07C7A"/>
    <w:rsid w:val="00D10496"/>
    <w:rsid w:val="00D11022"/>
    <w:rsid w:val="00D200AD"/>
    <w:rsid w:val="00D2040A"/>
    <w:rsid w:val="00D255C4"/>
    <w:rsid w:val="00D256A4"/>
    <w:rsid w:val="00D25FB5"/>
    <w:rsid w:val="00D263AC"/>
    <w:rsid w:val="00D32788"/>
    <w:rsid w:val="00D3504E"/>
    <w:rsid w:val="00D36152"/>
    <w:rsid w:val="00D36827"/>
    <w:rsid w:val="00D41874"/>
    <w:rsid w:val="00D41CFD"/>
    <w:rsid w:val="00D42085"/>
    <w:rsid w:val="00D44071"/>
    <w:rsid w:val="00D44223"/>
    <w:rsid w:val="00D44A6C"/>
    <w:rsid w:val="00D44B45"/>
    <w:rsid w:val="00D45282"/>
    <w:rsid w:val="00D4728A"/>
    <w:rsid w:val="00D52648"/>
    <w:rsid w:val="00D52B32"/>
    <w:rsid w:val="00D536F9"/>
    <w:rsid w:val="00D53BD1"/>
    <w:rsid w:val="00D54E6D"/>
    <w:rsid w:val="00D5699E"/>
    <w:rsid w:val="00D57E0A"/>
    <w:rsid w:val="00D60418"/>
    <w:rsid w:val="00D606E8"/>
    <w:rsid w:val="00D608A1"/>
    <w:rsid w:val="00D610C9"/>
    <w:rsid w:val="00D61CEB"/>
    <w:rsid w:val="00D61FF4"/>
    <w:rsid w:val="00D626FD"/>
    <w:rsid w:val="00D62E41"/>
    <w:rsid w:val="00D64201"/>
    <w:rsid w:val="00D64493"/>
    <w:rsid w:val="00D64771"/>
    <w:rsid w:val="00D65202"/>
    <w:rsid w:val="00D65B1E"/>
    <w:rsid w:val="00D719C0"/>
    <w:rsid w:val="00D738E7"/>
    <w:rsid w:val="00D7651A"/>
    <w:rsid w:val="00D76E3C"/>
    <w:rsid w:val="00D80770"/>
    <w:rsid w:val="00D819A5"/>
    <w:rsid w:val="00D82479"/>
    <w:rsid w:val="00D82E49"/>
    <w:rsid w:val="00D91F50"/>
    <w:rsid w:val="00D92B19"/>
    <w:rsid w:val="00D937DA"/>
    <w:rsid w:val="00D97E4C"/>
    <w:rsid w:val="00D97E96"/>
    <w:rsid w:val="00DA090B"/>
    <w:rsid w:val="00DA2529"/>
    <w:rsid w:val="00DA541C"/>
    <w:rsid w:val="00DA6288"/>
    <w:rsid w:val="00DA6C49"/>
    <w:rsid w:val="00DA75EC"/>
    <w:rsid w:val="00DA7DBA"/>
    <w:rsid w:val="00DB0036"/>
    <w:rsid w:val="00DB0CB9"/>
    <w:rsid w:val="00DB130A"/>
    <w:rsid w:val="00DB209C"/>
    <w:rsid w:val="00DB2BCA"/>
    <w:rsid w:val="00DB2EBB"/>
    <w:rsid w:val="00DB37D9"/>
    <w:rsid w:val="00DB531B"/>
    <w:rsid w:val="00DB54FC"/>
    <w:rsid w:val="00DB6924"/>
    <w:rsid w:val="00DC10A1"/>
    <w:rsid w:val="00DC2615"/>
    <w:rsid w:val="00DC655F"/>
    <w:rsid w:val="00DC786E"/>
    <w:rsid w:val="00DD0430"/>
    <w:rsid w:val="00DD0B59"/>
    <w:rsid w:val="00DD127B"/>
    <w:rsid w:val="00DD1350"/>
    <w:rsid w:val="00DD3AE1"/>
    <w:rsid w:val="00DD4B90"/>
    <w:rsid w:val="00DD5208"/>
    <w:rsid w:val="00DD69BE"/>
    <w:rsid w:val="00DD7D6C"/>
    <w:rsid w:val="00DD7EBD"/>
    <w:rsid w:val="00DE17C3"/>
    <w:rsid w:val="00DE2214"/>
    <w:rsid w:val="00DE4328"/>
    <w:rsid w:val="00DE4405"/>
    <w:rsid w:val="00DE52C0"/>
    <w:rsid w:val="00DE623C"/>
    <w:rsid w:val="00DE7D63"/>
    <w:rsid w:val="00DF1397"/>
    <w:rsid w:val="00DF4BFA"/>
    <w:rsid w:val="00DF4C09"/>
    <w:rsid w:val="00DF62B6"/>
    <w:rsid w:val="00DF6622"/>
    <w:rsid w:val="00DF7D9E"/>
    <w:rsid w:val="00E00C8A"/>
    <w:rsid w:val="00E0144A"/>
    <w:rsid w:val="00E0297F"/>
    <w:rsid w:val="00E0310D"/>
    <w:rsid w:val="00E044CD"/>
    <w:rsid w:val="00E05F57"/>
    <w:rsid w:val="00E06D64"/>
    <w:rsid w:val="00E07225"/>
    <w:rsid w:val="00E10BD4"/>
    <w:rsid w:val="00E10CAC"/>
    <w:rsid w:val="00E110A4"/>
    <w:rsid w:val="00E11EE5"/>
    <w:rsid w:val="00E151B4"/>
    <w:rsid w:val="00E16178"/>
    <w:rsid w:val="00E16DCD"/>
    <w:rsid w:val="00E20633"/>
    <w:rsid w:val="00E218F8"/>
    <w:rsid w:val="00E22AAA"/>
    <w:rsid w:val="00E24CB8"/>
    <w:rsid w:val="00E253BB"/>
    <w:rsid w:val="00E25B88"/>
    <w:rsid w:val="00E31731"/>
    <w:rsid w:val="00E31FA6"/>
    <w:rsid w:val="00E32A65"/>
    <w:rsid w:val="00E32AB9"/>
    <w:rsid w:val="00E34347"/>
    <w:rsid w:val="00E34CD2"/>
    <w:rsid w:val="00E36C8B"/>
    <w:rsid w:val="00E3735B"/>
    <w:rsid w:val="00E41874"/>
    <w:rsid w:val="00E4193A"/>
    <w:rsid w:val="00E43DEC"/>
    <w:rsid w:val="00E447C4"/>
    <w:rsid w:val="00E47BA4"/>
    <w:rsid w:val="00E5409F"/>
    <w:rsid w:val="00E55AFC"/>
    <w:rsid w:val="00E5749E"/>
    <w:rsid w:val="00E6082B"/>
    <w:rsid w:val="00E63FA2"/>
    <w:rsid w:val="00E648B6"/>
    <w:rsid w:val="00E64FE1"/>
    <w:rsid w:val="00E667EC"/>
    <w:rsid w:val="00E70C4D"/>
    <w:rsid w:val="00E72154"/>
    <w:rsid w:val="00E72B8E"/>
    <w:rsid w:val="00E731B5"/>
    <w:rsid w:val="00E76219"/>
    <w:rsid w:val="00E81B0E"/>
    <w:rsid w:val="00E83A65"/>
    <w:rsid w:val="00E83E63"/>
    <w:rsid w:val="00E8418B"/>
    <w:rsid w:val="00E8489C"/>
    <w:rsid w:val="00E849D1"/>
    <w:rsid w:val="00E8512D"/>
    <w:rsid w:val="00E87090"/>
    <w:rsid w:val="00E87FA5"/>
    <w:rsid w:val="00E9033B"/>
    <w:rsid w:val="00E94F33"/>
    <w:rsid w:val="00EA04BB"/>
    <w:rsid w:val="00EA1691"/>
    <w:rsid w:val="00EA4FF0"/>
    <w:rsid w:val="00EA54AC"/>
    <w:rsid w:val="00EA5671"/>
    <w:rsid w:val="00EA5A31"/>
    <w:rsid w:val="00EA5DCA"/>
    <w:rsid w:val="00EB1500"/>
    <w:rsid w:val="00EB1FCA"/>
    <w:rsid w:val="00EB21A8"/>
    <w:rsid w:val="00EB248F"/>
    <w:rsid w:val="00EB26F8"/>
    <w:rsid w:val="00EB311A"/>
    <w:rsid w:val="00EB4582"/>
    <w:rsid w:val="00EB458F"/>
    <w:rsid w:val="00EB4CED"/>
    <w:rsid w:val="00EB7850"/>
    <w:rsid w:val="00EC1C59"/>
    <w:rsid w:val="00EC2EE2"/>
    <w:rsid w:val="00EC73BB"/>
    <w:rsid w:val="00EC7EDB"/>
    <w:rsid w:val="00ED3E52"/>
    <w:rsid w:val="00ED4124"/>
    <w:rsid w:val="00ED5094"/>
    <w:rsid w:val="00ED7B00"/>
    <w:rsid w:val="00EE0F0D"/>
    <w:rsid w:val="00EE2282"/>
    <w:rsid w:val="00EE234E"/>
    <w:rsid w:val="00EE249D"/>
    <w:rsid w:val="00EE3B85"/>
    <w:rsid w:val="00EE4D12"/>
    <w:rsid w:val="00EE5180"/>
    <w:rsid w:val="00EE5681"/>
    <w:rsid w:val="00EE5E97"/>
    <w:rsid w:val="00EE6488"/>
    <w:rsid w:val="00EE7581"/>
    <w:rsid w:val="00EF1358"/>
    <w:rsid w:val="00EF1F8D"/>
    <w:rsid w:val="00EF3A31"/>
    <w:rsid w:val="00EF7256"/>
    <w:rsid w:val="00F00F12"/>
    <w:rsid w:val="00F017AB"/>
    <w:rsid w:val="00F021FA"/>
    <w:rsid w:val="00F0434F"/>
    <w:rsid w:val="00F04431"/>
    <w:rsid w:val="00F04F7D"/>
    <w:rsid w:val="00F051ED"/>
    <w:rsid w:val="00F05730"/>
    <w:rsid w:val="00F06335"/>
    <w:rsid w:val="00F06D5C"/>
    <w:rsid w:val="00F07D7D"/>
    <w:rsid w:val="00F104D3"/>
    <w:rsid w:val="00F10FFE"/>
    <w:rsid w:val="00F12792"/>
    <w:rsid w:val="00F15A52"/>
    <w:rsid w:val="00F17CAD"/>
    <w:rsid w:val="00F22037"/>
    <w:rsid w:val="00F22C94"/>
    <w:rsid w:val="00F23613"/>
    <w:rsid w:val="00F27BF5"/>
    <w:rsid w:val="00F3101F"/>
    <w:rsid w:val="00F32B91"/>
    <w:rsid w:val="00F34703"/>
    <w:rsid w:val="00F36056"/>
    <w:rsid w:val="00F37343"/>
    <w:rsid w:val="00F40B47"/>
    <w:rsid w:val="00F42664"/>
    <w:rsid w:val="00F4314F"/>
    <w:rsid w:val="00F431A3"/>
    <w:rsid w:val="00F43F41"/>
    <w:rsid w:val="00F5073E"/>
    <w:rsid w:val="00F53F6D"/>
    <w:rsid w:val="00F54605"/>
    <w:rsid w:val="00F5583C"/>
    <w:rsid w:val="00F57550"/>
    <w:rsid w:val="00F60CAE"/>
    <w:rsid w:val="00F62E97"/>
    <w:rsid w:val="00F62EF2"/>
    <w:rsid w:val="00F64209"/>
    <w:rsid w:val="00F64547"/>
    <w:rsid w:val="00F64CEE"/>
    <w:rsid w:val="00F65C25"/>
    <w:rsid w:val="00F6787B"/>
    <w:rsid w:val="00F71267"/>
    <w:rsid w:val="00F71614"/>
    <w:rsid w:val="00F72F3B"/>
    <w:rsid w:val="00F7319C"/>
    <w:rsid w:val="00F740D0"/>
    <w:rsid w:val="00F7795E"/>
    <w:rsid w:val="00F77A62"/>
    <w:rsid w:val="00F81278"/>
    <w:rsid w:val="00F820C1"/>
    <w:rsid w:val="00F8542E"/>
    <w:rsid w:val="00F85EF6"/>
    <w:rsid w:val="00F90884"/>
    <w:rsid w:val="00F914A3"/>
    <w:rsid w:val="00F92A97"/>
    <w:rsid w:val="00F93BF5"/>
    <w:rsid w:val="00F9436B"/>
    <w:rsid w:val="00F94414"/>
    <w:rsid w:val="00F947E1"/>
    <w:rsid w:val="00F957E2"/>
    <w:rsid w:val="00F959A8"/>
    <w:rsid w:val="00FA01F9"/>
    <w:rsid w:val="00FA05AA"/>
    <w:rsid w:val="00FA1449"/>
    <w:rsid w:val="00FA3748"/>
    <w:rsid w:val="00FA5AFB"/>
    <w:rsid w:val="00FA5FD1"/>
    <w:rsid w:val="00FA7DCD"/>
    <w:rsid w:val="00FB01A2"/>
    <w:rsid w:val="00FB134C"/>
    <w:rsid w:val="00FB3C13"/>
    <w:rsid w:val="00FB44AE"/>
    <w:rsid w:val="00FB4D37"/>
    <w:rsid w:val="00FB4FD4"/>
    <w:rsid w:val="00FC0D99"/>
    <w:rsid w:val="00FC3C1F"/>
    <w:rsid w:val="00FC4E58"/>
    <w:rsid w:val="00FC57B6"/>
    <w:rsid w:val="00FC688E"/>
    <w:rsid w:val="00FC7C07"/>
    <w:rsid w:val="00FD0452"/>
    <w:rsid w:val="00FD0A85"/>
    <w:rsid w:val="00FD0BAC"/>
    <w:rsid w:val="00FD1AF9"/>
    <w:rsid w:val="00FD2B84"/>
    <w:rsid w:val="00FD2C56"/>
    <w:rsid w:val="00FD2F42"/>
    <w:rsid w:val="00FD665C"/>
    <w:rsid w:val="00FE3CFC"/>
    <w:rsid w:val="00FE48C6"/>
    <w:rsid w:val="00FE4CF0"/>
    <w:rsid w:val="00FE58DA"/>
    <w:rsid w:val="00FE5D9D"/>
    <w:rsid w:val="00FE60D2"/>
    <w:rsid w:val="00FF091B"/>
    <w:rsid w:val="00FF3F79"/>
    <w:rsid w:val="00FF47B0"/>
    <w:rsid w:val="00FF4D1E"/>
    <w:rsid w:val="00FF7734"/>
    <w:rsid w:val="04BF5C4F"/>
    <w:rsid w:val="05F07483"/>
    <w:rsid w:val="071A8602"/>
    <w:rsid w:val="0E40BB33"/>
    <w:rsid w:val="0EDFCF1E"/>
    <w:rsid w:val="1057DF94"/>
    <w:rsid w:val="109EE0FA"/>
    <w:rsid w:val="10ED3BC9"/>
    <w:rsid w:val="11263317"/>
    <w:rsid w:val="15B37518"/>
    <w:rsid w:val="1BC16FC8"/>
    <w:rsid w:val="1CC94B70"/>
    <w:rsid w:val="1ED3504C"/>
    <w:rsid w:val="1F0568BF"/>
    <w:rsid w:val="209A96DF"/>
    <w:rsid w:val="20F149AD"/>
    <w:rsid w:val="21C215DF"/>
    <w:rsid w:val="28E144A5"/>
    <w:rsid w:val="29AF2B2E"/>
    <w:rsid w:val="29CC4B2F"/>
    <w:rsid w:val="2BF4E9D4"/>
    <w:rsid w:val="32A0A3B3"/>
    <w:rsid w:val="34EC8A9E"/>
    <w:rsid w:val="367CB6D3"/>
    <w:rsid w:val="38B37017"/>
    <w:rsid w:val="3AC0638A"/>
    <w:rsid w:val="435BF7C5"/>
    <w:rsid w:val="4447F293"/>
    <w:rsid w:val="45ECF9AB"/>
    <w:rsid w:val="493D7FE3"/>
    <w:rsid w:val="4A00A397"/>
    <w:rsid w:val="4B3D0F52"/>
    <w:rsid w:val="4B6D2F36"/>
    <w:rsid w:val="4E0E44BD"/>
    <w:rsid w:val="51C44B71"/>
    <w:rsid w:val="53DE798D"/>
    <w:rsid w:val="5763CAD0"/>
    <w:rsid w:val="5B947EBF"/>
    <w:rsid w:val="5E578DF6"/>
    <w:rsid w:val="5F73063F"/>
    <w:rsid w:val="61201AB8"/>
    <w:rsid w:val="625D0FEF"/>
    <w:rsid w:val="638F8352"/>
    <w:rsid w:val="6407712A"/>
    <w:rsid w:val="6687140A"/>
    <w:rsid w:val="688D6774"/>
    <w:rsid w:val="68B5D3E7"/>
    <w:rsid w:val="6D8BFF73"/>
    <w:rsid w:val="731A9063"/>
    <w:rsid w:val="740C8C4F"/>
    <w:rsid w:val="75691CD1"/>
    <w:rsid w:val="7A097F87"/>
    <w:rsid w:val="7BB69C00"/>
    <w:rsid w:val="7D4D1D1B"/>
    <w:rsid w:val="7D58E6B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71AC701"/>
  <w15:chartTrackingRefBased/>
  <w15:docId w15:val="{EFD5669D-06E9-4F14-9F74-00CCC33D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7BA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6955"/>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uiPriority w:val="99"/>
    <w:rsid w:val="00E47BA4"/>
  </w:style>
  <w:style w:type="character" w:styleId="CommentReference">
    <w:name w:val="annotation reference"/>
    <w:rsid w:val="00E47BA4"/>
    <w:rPr>
      <w:sz w:val="16"/>
      <w:szCs w:val="16"/>
    </w:rPr>
  </w:style>
  <w:style w:type="table" w:styleId="TableGrid">
    <w:name w:val="Table Grid"/>
    <w:basedOn w:val="TableNormal"/>
    <w:uiPriority w:val="39"/>
    <w:rsid w:val="00E47BA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31643B"/>
    <w:rPr>
      <w:sz w:val="20"/>
    </w:rPr>
  </w:style>
  <w:style w:type="character" w:customStyle="1" w:styleId="CommentTextChar">
    <w:name w:val="Comment Text Char"/>
    <w:basedOn w:val="DefaultParagraphFont"/>
    <w:link w:val="CommentText"/>
    <w:rsid w:val="0031643B"/>
    <w:rPr>
      <w:snapToGrid w:val="0"/>
      <w:kern w:val="28"/>
    </w:rPr>
  </w:style>
  <w:style w:type="paragraph" w:styleId="CommentSubject">
    <w:name w:val="annotation subject"/>
    <w:basedOn w:val="CommentText"/>
    <w:next w:val="CommentText"/>
    <w:link w:val="CommentSubjectChar"/>
    <w:rsid w:val="0031643B"/>
    <w:rPr>
      <w:b/>
      <w:bCs/>
    </w:rPr>
  </w:style>
  <w:style w:type="character" w:customStyle="1" w:styleId="CommentSubjectChar">
    <w:name w:val="Comment Subject Char"/>
    <w:basedOn w:val="CommentTextChar"/>
    <w:link w:val="CommentSubject"/>
    <w:rsid w:val="0031643B"/>
    <w:rPr>
      <w:b/>
      <w:bCs/>
      <w:snapToGrid w:val="0"/>
      <w:kern w:val="28"/>
    </w:rPr>
  </w:style>
  <w:style w:type="paragraph" w:styleId="Revision">
    <w:name w:val="Revision"/>
    <w:hidden/>
    <w:uiPriority w:val="99"/>
    <w:semiHidden/>
    <w:rsid w:val="00173284"/>
    <w:rPr>
      <w:snapToGrid w:val="0"/>
      <w:kern w:val="28"/>
      <w:sz w:val="22"/>
    </w:rPr>
  </w:style>
  <w:style w:type="character" w:styleId="Mention">
    <w:name w:val="Mention"/>
    <w:basedOn w:val="DefaultParagraphFont"/>
    <w:uiPriority w:val="99"/>
    <w:unhideWhenUsed/>
    <w:rsid w:val="006416E9"/>
    <w:rPr>
      <w:color w:val="2B579A"/>
      <w:shd w:val="clear" w:color="auto" w:fill="E1DFDD"/>
    </w:rPr>
  </w:style>
  <w:style w:type="character" w:styleId="UnresolvedMention">
    <w:name w:val="Unresolved Mention"/>
    <w:basedOn w:val="DefaultParagraphFont"/>
    <w:uiPriority w:val="99"/>
    <w:semiHidden/>
    <w:unhideWhenUsed/>
    <w:rsid w:val="00912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quintillionglobal.com/quintillion-subsea-fiber-cable-repair-comple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