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0C2A5F1" w14:textId="12D2AB21">
      <w:pPr>
        <w:jc w:val="right"/>
        <w:rPr>
          <w:b/>
          <w:sz w:val="24"/>
        </w:rPr>
      </w:pPr>
      <w:r>
        <w:rPr>
          <w:b/>
          <w:sz w:val="24"/>
        </w:rPr>
        <w:t>DA 23-34</w:t>
      </w:r>
    </w:p>
    <w:p w:rsidR="00013A8B" w:rsidRPr="00B20363" w:rsidP="00013A8B" w14:paraId="766504C9" w14:textId="5A0F48E7">
      <w:pPr>
        <w:spacing w:before="60"/>
        <w:jc w:val="right"/>
        <w:rPr>
          <w:b/>
          <w:sz w:val="24"/>
        </w:rPr>
      </w:pPr>
      <w:r>
        <w:rPr>
          <w:b/>
          <w:sz w:val="24"/>
        </w:rPr>
        <w:t xml:space="preserve">Released:  </w:t>
      </w:r>
      <w:r w:rsidR="008B24F0">
        <w:rPr>
          <w:b/>
          <w:sz w:val="24"/>
        </w:rPr>
        <w:t>January 13, 2023</w:t>
      </w:r>
    </w:p>
    <w:p w:rsidR="00013A8B" w:rsidP="00013A8B" w14:paraId="1C758523" w14:textId="77777777">
      <w:pPr>
        <w:jc w:val="right"/>
        <w:rPr>
          <w:sz w:val="24"/>
        </w:rPr>
      </w:pPr>
    </w:p>
    <w:p w:rsidR="005466E7" w:rsidRPr="005466E7" w:rsidP="005466E7" w14:paraId="421ECD89" w14:textId="77777777">
      <w:pPr>
        <w:jc w:val="center"/>
        <w:rPr>
          <w:b/>
          <w:caps/>
          <w:sz w:val="24"/>
          <w:szCs w:val="24"/>
        </w:rPr>
      </w:pPr>
      <w:r w:rsidRPr="005466E7">
        <w:rPr>
          <w:b/>
          <w:caps/>
          <w:sz w:val="24"/>
          <w:szCs w:val="24"/>
        </w:rPr>
        <w:t>Comment due dates SET for Further Notice on Affordable</w:t>
      </w:r>
    </w:p>
    <w:p w:rsidR="00013A8B" w:rsidRPr="00B20363" w:rsidP="005466E7" w14:paraId="63815BC4" w14:textId="32BFC614">
      <w:pPr>
        <w:spacing w:after="240"/>
        <w:jc w:val="center"/>
        <w:rPr>
          <w:rFonts w:ascii="Times New Roman Bold" w:hAnsi="Times New Roman Bold"/>
          <w:b/>
          <w:caps/>
          <w:sz w:val="24"/>
        </w:rPr>
      </w:pPr>
      <w:r w:rsidRPr="005466E7">
        <w:rPr>
          <w:b/>
          <w:caps/>
          <w:sz w:val="24"/>
          <w:szCs w:val="24"/>
        </w:rPr>
        <w:t>connectivity program transparenCy data collection</w:t>
      </w:r>
    </w:p>
    <w:p w:rsidR="00013A8B" w:rsidP="00013A8B" w14:paraId="45B4277C" w14:textId="3E8F0501">
      <w:pPr>
        <w:jc w:val="center"/>
        <w:rPr>
          <w:b/>
          <w:sz w:val="24"/>
        </w:rPr>
      </w:pPr>
      <w:r>
        <w:rPr>
          <w:b/>
          <w:sz w:val="24"/>
        </w:rPr>
        <w:t>WC Docket No. 21-450</w:t>
      </w:r>
    </w:p>
    <w:p w:rsidR="005466E7" w:rsidP="005466E7" w14:paraId="0FBFDF4B" w14:textId="0198C78A">
      <w:pPr>
        <w:rPr>
          <w:b/>
          <w:sz w:val="24"/>
        </w:rPr>
      </w:pPr>
    </w:p>
    <w:p w:rsidR="005466E7" w:rsidRPr="00060AEC" w:rsidP="005466E7" w14:paraId="20A42F65" w14:textId="77777777">
      <w:pPr>
        <w:rPr>
          <w:b/>
          <w:szCs w:val="22"/>
        </w:rPr>
      </w:pPr>
      <w:r w:rsidRPr="00060AEC">
        <w:rPr>
          <w:b/>
          <w:szCs w:val="22"/>
        </w:rPr>
        <w:t xml:space="preserve">Comments Due:  </w:t>
      </w:r>
      <w:r>
        <w:rPr>
          <w:b/>
          <w:szCs w:val="22"/>
        </w:rPr>
        <w:t>February 13, 2023</w:t>
      </w:r>
    </w:p>
    <w:p w:rsidR="005466E7" w:rsidRPr="00060AEC" w:rsidP="005466E7" w14:paraId="55BB0BC8" w14:textId="77777777">
      <w:pPr>
        <w:rPr>
          <w:b/>
          <w:szCs w:val="22"/>
        </w:rPr>
      </w:pPr>
      <w:r w:rsidRPr="00060AEC">
        <w:rPr>
          <w:b/>
          <w:szCs w:val="22"/>
        </w:rPr>
        <w:t xml:space="preserve">Reply Comments Due:  </w:t>
      </w:r>
      <w:r>
        <w:rPr>
          <w:b/>
          <w:szCs w:val="22"/>
        </w:rPr>
        <w:t>February 27, 2023</w:t>
      </w:r>
    </w:p>
    <w:p w:rsidR="005466E7" w:rsidRPr="00060AEC" w:rsidP="005466E7" w14:paraId="03BFEC8C" w14:textId="77777777">
      <w:pPr>
        <w:jc w:val="center"/>
        <w:rPr>
          <w:b/>
          <w:szCs w:val="22"/>
        </w:rPr>
      </w:pPr>
    </w:p>
    <w:p w:rsidR="005466E7" w:rsidRPr="0095506B" w:rsidP="00227EA3" w14:paraId="74E2781E" w14:textId="77777777">
      <w:pPr>
        <w:spacing w:after="120"/>
        <w:rPr>
          <w:szCs w:val="22"/>
        </w:rPr>
      </w:pPr>
      <w:r w:rsidRPr="00060AEC">
        <w:rPr>
          <w:b/>
          <w:szCs w:val="22"/>
        </w:rPr>
        <w:tab/>
      </w:r>
      <w:r w:rsidRPr="003365F0">
        <w:rPr>
          <w:bCs/>
          <w:szCs w:val="22"/>
        </w:rPr>
        <w:t xml:space="preserve">By this Public Notice, the </w:t>
      </w:r>
      <w:r>
        <w:rPr>
          <w:szCs w:val="22"/>
        </w:rPr>
        <w:t xml:space="preserve">Wireline Competition Bureau announces that comments in response to </w:t>
      </w:r>
      <w:r w:rsidRPr="0095506B">
        <w:rPr>
          <w:szCs w:val="22"/>
        </w:rPr>
        <w:t xml:space="preserve">the Fourth Report and Order and </w:t>
      </w:r>
      <w:r w:rsidRPr="0095506B">
        <w:rPr>
          <w:bCs/>
          <w:szCs w:val="22"/>
        </w:rPr>
        <w:t>Further Notice of Proposed Rulemaking (</w:t>
      </w:r>
      <w:r w:rsidRPr="0095506B">
        <w:rPr>
          <w:bCs/>
          <w:i/>
          <w:iCs/>
          <w:szCs w:val="22"/>
        </w:rPr>
        <w:t>Further Notice</w:t>
      </w:r>
      <w:r w:rsidRPr="0095506B">
        <w:rPr>
          <w:bCs/>
          <w:szCs w:val="22"/>
        </w:rPr>
        <w:t xml:space="preserve">) on the Affordable Connectivity Program (ACP) Transparency Data Collection are due no later than February 13, 2023, and reply comments are due no later than February </w:t>
      </w:r>
      <w:r>
        <w:rPr>
          <w:bCs/>
          <w:szCs w:val="22"/>
        </w:rPr>
        <w:t>27</w:t>
      </w:r>
      <w:r w:rsidRPr="0095506B">
        <w:rPr>
          <w:bCs/>
          <w:szCs w:val="22"/>
        </w:rPr>
        <w:t>, 2023</w:t>
      </w:r>
      <w:r w:rsidRPr="0095506B">
        <w:rPr>
          <w:szCs w:val="22"/>
        </w:rPr>
        <w:t>.</w:t>
      </w:r>
      <w:r>
        <w:rPr>
          <w:rStyle w:val="FootnoteReference"/>
          <w:szCs w:val="22"/>
        </w:rPr>
        <w:footnoteReference w:id="3"/>
      </w:r>
      <w:r w:rsidRPr="0095506B">
        <w:rPr>
          <w:szCs w:val="22"/>
        </w:rPr>
        <w:t xml:space="preserve">  </w:t>
      </w:r>
    </w:p>
    <w:p w:rsidR="005466E7" w:rsidRPr="00343E20" w:rsidP="00227EA3" w14:paraId="0AE1A46F" w14:textId="77777777">
      <w:pPr>
        <w:spacing w:after="120"/>
        <w:ind w:firstLine="720"/>
        <w:rPr>
          <w:szCs w:val="22"/>
        </w:rPr>
      </w:pPr>
      <w:r w:rsidRPr="0095506B">
        <w:rPr>
          <w:szCs w:val="22"/>
        </w:rPr>
        <w:t xml:space="preserve">The </w:t>
      </w:r>
      <w:r w:rsidRPr="0095506B">
        <w:rPr>
          <w:i/>
          <w:iCs/>
          <w:szCs w:val="22"/>
        </w:rPr>
        <w:t>Further Notice</w:t>
      </w:r>
      <w:r w:rsidRPr="0095506B">
        <w:rPr>
          <w:szCs w:val="22"/>
        </w:rPr>
        <w:t xml:space="preserve"> seeks comment on the statutory requirement to revise the ACP Transparency Data Collection rules the Commission adopts to verify the accuracy of the data submitted, and on collecting additional information.  On January 13, 2023, the Federal Register published a summary of the </w:t>
      </w:r>
      <w:r w:rsidRPr="0095506B">
        <w:rPr>
          <w:i/>
          <w:iCs/>
          <w:szCs w:val="22"/>
        </w:rPr>
        <w:t>Further Notice,</w:t>
      </w:r>
      <w:r w:rsidRPr="0095506B">
        <w:rPr>
          <w:szCs w:val="22"/>
        </w:rPr>
        <w:t xml:space="preserve"> establishing February 13, 2023, as the comment deadline and February 27, 2023, as the reply comment deadline.</w:t>
      </w:r>
      <w:r>
        <w:rPr>
          <w:rStyle w:val="FootnoteReference"/>
          <w:szCs w:val="22"/>
        </w:rPr>
        <w:footnoteReference w:id="4"/>
      </w:r>
      <w:r w:rsidRPr="0095506B">
        <w:rPr>
          <w:szCs w:val="22"/>
        </w:rPr>
        <w:t xml:space="preserve">  The </w:t>
      </w:r>
      <w:r w:rsidRPr="0095506B">
        <w:rPr>
          <w:i/>
          <w:iCs/>
          <w:szCs w:val="22"/>
        </w:rPr>
        <w:t>Further</w:t>
      </w:r>
      <w:r w:rsidRPr="0095506B">
        <w:rPr>
          <w:szCs w:val="22"/>
        </w:rPr>
        <w:t xml:space="preserve"> </w:t>
      </w:r>
      <w:r w:rsidRPr="0095506B">
        <w:rPr>
          <w:i/>
          <w:iCs/>
          <w:szCs w:val="22"/>
        </w:rPr>
        <w:t>Notice</w:t>
      </w:r>
      <w:r w:rsidRPr="0095506B">
        <w:rPr>
          <w:szCs w:val="22"/>
        </w:rPr>
        <w:t xml:space="preserve"> and the </w:t>
      </w:r>
      <w:r w:rsidRPr="0095506B">
        <w:rPr>
          <w:i/>
          <w:iCs/>
          <w:szCs w:val="22"/>
        </w:rPr>
        <w:t>Federal Register Notice</w:t>
      </w:r>
      <w:r w:rsidRPr="0095506B">
        <w:rPr>
          <w:szCs w:val="22"/>
        </w:rPr>
        <w:t xml:space="preserve"> contain complete filing instructions.</w:t>
      </w:r>
      <w:r>
        <w:rPr>
          <w:rStyle w:val="FootnoteReference"/>
          <w:szCs w:val="22"/>
        </w:rPr>
        <w:footnoteReference w:id="5"/>
      </w:r>
    </w:p>
    <w:p w:rsidR="005466E7" w:rsidP="00227EA3" w14:paraId="4BDD5896" w14:textId="77777777">
      <w:pPr>
        <w:spacing w:after="120"/>
        <w:ind w:firstLine="720"/>
        <w:rPr>
          <w:szCs w:val="22"/>
        </w:rPr>
      </w:pPr>
      <w:r w:rsidRPr="00066082">
        <w:rPr>
          <w:szCs w:val="22"/>
        </w:rPr>
        <w:t xml:space="preserve">To request materials in accessible formats for people with disabilities (Braille, large print, electronic files, audio format), send an e-mail to </w:t>
      </w:r>
      <w:hyperlink r:id="rId5" w:history="1">
        <w:r w:rsidRPr="00066082">
          <w:rPr>
            <w:rStyle w:val="Hyperlink"/>
            <w:szCs w:val="22"/>
          </w:rPr>
          <w:t>fcc504@fcc.gov</w:t>
        </w:r>
      </w:hyperlink>
      <w:r w:rsidRPr="00066082">
        <w:rPr>
          <w:szCs w:val="22"/>
        </w:rPr>
        <w:t xml:space="preserve"> or call the Consumer and Governmental Affairs Bureau at 202-418-0530 (voice).</w:t>
      </w:r>
    </w:p>
    <w:p w:rsidR="005466E7" w:rsidP="00227EA3" w14:paraId="059C45D1" w14:textId="77777777">
      <w:pPr>
        <w:spacing w:after="120"/>
        <w:ind w:firstLine="720"/>
        <w:rPr>
          <w:szCs w:val="22"/>
        </w:rPr>
      </w:pPr>
      <w:r w:rsidRPr="00066082">
        <w:rPr>
          <w:szCs w:val="22"/>
        </w:rPr>
        <w:t xml:space="preserve">For further information, please contact </w:t>
      </w:r>
      <w:r>
        <w:rPr>
          <w:szCs w:val="22"/>
        </w:rPr>
        <w:t>Eric Wu</w:t>
      </w:r>
      <w:r w:rsidRPr="00066082">
        <w:rPr>
          <w:szCs w:val="22"/>
        </w:rPr>
        <w:t xml:space="preserve">, </w:t>
      </w:r>
      <w:r>
        <w:rPr>
          <w:szCs w:val="22"/>
        </w:rPr>
        <w:t>Telecommunications Access Policy Division</w:t>
      </w:r>
      <w:r w:rsidRPr="00066082">
        <w:rPr>
          <w:szCs w:val="22"/>
        </w:rPr>
        <w:t xml:space="preserve">, </w:t>
      </w:r>
      <w:r>
        <w:rPr>
          <w:szCs w:val="22"/>
        </w:rPr>
        <w:t>Wireline Competition</w:t>
      </w:r>
      <w:r w:rsidRPr="00066082">
        <w:rPr>
          <w:szCs w:val="22"/>
        </w:rPr>
        <w:t xml:space="preserve"> Bureau, at (202) 418-1</w:t>
      </w:r>
      <w:r>
        <w:rPr>
          <w:szCs w:val="22"/>
        </w:rPr>
        <w:t>543</w:t>
      </w:r>
      <w:r w:rsidRPr="00066082">
        <w:rPr>
          <w:szCs w:val="22"/>
        </w:rPr>
        <w:t xml:space="preserve"> or </w:t>
      </w:r>
      <w:hyperlink r:id="rId6" w:history="1">
        <w:r w:rsidRPr="0075242A">
          <w:rPr>
            <w:rStyle w:val="Hyperlink"/>
            <w:szCs w:val="22"/>
          </w:rPr>
          <w:t>Eric.Wu@fcc.gov</w:t>
        </w:r>
      </w:hyperlink>
      <w:r>
        <w:rPr>
          <w:szCs w:val="22"/>
        </w:rPr>
        <w:t>.</w:t>
      </w:r>
    </w:p>
    <w:p w:rsidR="005466E7" w:rsidRPr="003E4DBC" w:rsidP="005466E7" w14:paraId="572F15CD" w14:textId="77777777">
      <w:pPr>
        <w:spacing w:after="120"/>
        <w:ind w:firstLine="720"/>
        <w:rPr>
          <w:color w:val="0000FF"/>
          <w:szCs w:val="22"/>
        </w:rPr>
      </w:pPr>
    </w:p>
    <w:p w:rsidR="005466E7" w:rsidRPr="00066082" w:rsidP="005466E7" w14:paraId="44644020" w14:textId="77777777">
      <w:pPr>
        <w:pStyle w:val="BodyText"/>
        <w:widowControl/>
        <w:ind w:firstLine="0"/>
        <w:jc w:val="center"/>
        <w:rPr>
          <w:b/>
          <w:bCs/>
          <w:szCs w:val="22"/>
        </w:rPr>
      </w:pPr>
      <w:r w:rsidRPr="00066082">
        <w:rPr>
          <w:b/>
          <w:bCs/>
          <w:szCs w:val="22"/>
        </w:rPr>
        <w:t>-FCC-</w:t>
      </w:r>
    </w:p>
    <w:p w:rsidR="005466E7" w:rsidP="005466E7" w14:paraId="5D2BB526" w14:textId="77777777">
      <w:pPr>
        <w:rPr>
          <w:b/>
          <w:sz w:val="24"/>
        </w:rPr>
      </w:pPr>
    </w:p>
    <w:p w:rsidR="00F96F63" w:rsidRPr="00930ECF" w:rsidP="00F96F63" w14:paraId="2B5B9624" w14:textId="77777777">
      <w:pPr>
        <w:rPr>
          <w:sz w:val="24"/>
        </w:rPr>
      </w:pPr>
      <w:bookmarkStart w:id="0" w:name="TOChere"/>
    </w:p>
    <w:bookmarkEnd w:id="0"/>
    <w:p w:rsidR="00F96F63" w:rsidP="00F96F63" w14:paraId="739BB19A" w14:textId="77777777">
      <w:pPr>
        <w:rPr>
          <w:sz w:val="24"/>
        </w:rPr>
      </w:pPr>
    </w:p>
    <w:p w:rsidR="00930ECF" w:rsidRPr="00930ECF" w:rsidP="00F96F63" w14:paraId="36F94892" w14:textId="77777777">
      <w:pPr>
        <w:rPr>
          <w:sz w:val="24"/>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4AF656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7D302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CCFA91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14EF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24F0" w14:paraId="1461EAF9" w14:textId="77777777">
      <w:r>
        <w:separator/>
      </w:r>
    </w:p>
  </w:footnote>
  <w:footnote w:type="continuationSeparator" w:id="1">
    <w:p w:rsidR="008B24F0" w14:paraId="4BC378BA" w14:textId="77777777">
      <w:pPr>
        <w:rPr>
          <w:sz w:val="20"/>
        </w:rPr>
      </w:pPr>
      <w:r>
        <w:rPr>
          <w:sz w:val="20"/>
        </w:rPr>
        <w:t xml:space="preserve">(Continued from previous page)  </w:t>
      </w:r>
      <w:r>
        <w:rPr>
          <w:sz w:val="20"/>
        </w:rPr>
        <w:separator/>
      </w:r>
    </w:p>
  </w:footnote>
  <w:footnote w:type="continuationNotice" w:id="2">
    <w:p w:rsidR="008B24F0" w:rsidP="00910F12" w14:paraId="5701EB3D" w14:textId="77777777">
      <w:pPr>
        <w:jc w:val="right"/>
        <w:rPr>
          <w:sz w:val="20"/>
        </w:rPr>
      </w:pPr>
      <w:r>
        <w:rPr>
          <w:sz w:val="20"/>
        </w:rPr>
        <w:t>(continued….)</w:t>
      </w:r>
    </w:p>
  </w:footnote>
  <w:footnote w:id="3">
    <w:p w:rsidR="005466E7" w:rsidRPr="005754FF" w:rsidP="005466E7" w14:paraId="54FCDF9E" w14:textId="77777777">
      <w:pPr>
        <w:pStyle w:val="FootnoteText"/>
      </w:pPr>
      <w:r>
        <w:rPr>
          <w:rStyle w:val="FootnoteReference"/>
        </w:rPr>
        <w:footnoteRef/>
      </w:r>
      <w:r>
        <w:t xml:space="preserve"> </w:t>
      </w:r>
      <w:r>
        <w:rPr>
          <w:i/>
          <w:iCs/>
        </w:rPr>
        <w:t>Affordable Connectivity Program</w:t>
      </w:r>
      <w:r>
        <w:t>, WC Docket No. 21-450, Fourth Report and Order and Further Notice of Proposed Rulemaking, FCC 22-87 (Nov. 15, 2022) (</w:t>
      </w:r>
      <w:r w:rsidRPr="003F7324">
        <w:rPr>
          <w:i/>
          <w:iCs/>
        </w:rPr>
        <w:t>Further Notice</w:t>
      </w:r>
      <w:r>
        <w:t xml:space="preserve">).  </w:t>
      </w:r>
    </w:p>
  </w:footnote>
  <w:footnote w:id="4">
    <w:p w:rsidR="005466E7" w:rsidRPr="0071087D" w:rsidP="005466E7" w14:paraId="041BA1FE" w14:textId="77777777">
      <w:pPr>
        <w:pStyle w:val="FootnoteText"/>
      </w:pPr>
      <w:r>
        <w:rPr>
          <w:rStyle w:val="FootnoteReference"/>
        </w:rPr>
        <w:footnoteRef/>
      </w:r>
      <w:r>
        <w:t xml:space="preserve"> Federal Communications Commission, Further Notice of </w:t>
      </w:r>
      <w:r w:rsidRPr="006960B8">
        <w:t>Proposed Rulemaking, 88 Fed. Reg. 2305 (Jan</w:t>
      </w:r>
      <w:r w:rsidRPr="0095506B">
        <w:t>. 13, 2023) (</w:t>
      </w:r>
      <w:r w:rsidRPr="0095506B">
        <w:rPr>
          <w:i/>
          <w:iCs/>
        </w:rPr>
        <w:t>Federal Register Notice</w:t>
      </w:r>
      <w:r w:rsidRPr="0095506B">
        <w:t>).</w:t>
      </w:r>
      <w:r>
        <w:t xml:space="preserve">  </w:t>
      </w:r>
    </w:p>
  </w:footnote>
  <w:footnote w:id="5">
    <w:p w:rsidR="005466E7" w:rsidRPr="003365F0" w:rsidP="005466E7" w14:paraId="33224ED6" w14:textId="77777777">
      <w:pPr>
        <w:pStyle w:val="FootnoteText"/>
        <w:rPr>
          <w:i/>
          <w:iCs/>
        </w:rPr>
      </w:pPr>
      <w:r>
        <w:rPr>
          <w:rStyle w:val="FootnoteReference"/>
        </w:rPr>
        <w:footnoteRef/>
      </w:r>
      <w:r>
        <w:t xml:space="preserve"> </w:t>
      </w:r>
      <w:r>
        <w:rPr>
          <w:i/>
          <w:iCs/>
        </w:rPr>
        <w:t xml:space="preserve">See </w:t>
      </w:r>
      <w:r w:rsidRPr="003365F0">
        <w:rPr>
          <w:i/>
          <w:iCs/>
        </w:rPr>
        <w:t>Further</w:t>
      </w:r>
      <w:r>
        <w:t xml:space="preserve"> </w:t>
      </w:r>
      <w:r w:rsidRPr="003365F0">
        <w:rPr>
          <w:i/>
          <w:iCs/>
        </w:rPr>
        <w:t>Notice</w:t>
      </w:r>
      <w:r>
        <w:t xml:space="preserve"> at para. 125; </w:t>
      </w:r>
      <w:r w:rsidRPr="003365F0">
        <w:rPr>
          <w:i/>
          <w:iCs/>
        </w:rPr>
        <w:t>Federal Register Notice</w:t>
      </w:r>
      <w:r>
        <w:t xml:space="preserve"> at 2305.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62CA3F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3E86827"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5F0A29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B9B6A60"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A9630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803D600" w14:textId="77777777">
                <w:pPr>
                  <w:rPr>
                    <w:rFonts w:ascii="Arial" w:hAnsi="Arial"/>
                    <w:b/>
                    <w:snapToGrid/>
                  </w:rPr>
                </w:pPr>
                <w:r>
                  <w:rPr>
                    <w:rFonts w:ascii="Arial" w:hAnsi="Arial"/>
                    <w:b/>
                  </w:rPr>
                  <w:t>Federal Communications Commission</w:t>
                </w:r>
              </w:p>
              <w:p w:rsidR="00DE0AB8" w:rsidP="00DE0AB8" w14:paraId="2635ACD2" w14:textId="77777777">
                <w:pPr>
                  <w:rPr>
                    <w:rFonts w:ascii="Arial" w:hAnsi="Arial"/>
                    <w:b/>
                  </w:rPr>
                </w:pPr>
                <w:r>
                  <w:rPr>
                    <w:rFonts w:ascii="Arial" w:hAnsi="Arial"/>
                    <w:b/>
                  </w:rPr>
                  <w:t>45 L Street NE</w:t>
                </w:r>
              </w:p>
              <w:p w:rsidR="009838BC" w:rsidP="00DE0AB8" w14:paraId="7433C09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248E72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985E3A6" w14:textId="77777777">
                <w:pPr>
                  <w:spacing w:before="40"/>
                  <w:jc w:val="right"/>
                  <w:rPr>
                    <w:rFonts w:ascii="Arial" w:hAnsi="Arial"/>
                    <w:b/>
                    <w:sz w:val="16"/>
                  </w:rPr>
                </w:pPr>
                <w:r>
                  <w:rPr>
                    <w:rFonts w:ascii="Arial" w:hAnsi="Arial"/>
                    <w:b/>
                    <w:sz w:val="16"/>
                  </w:rPr>
                  <w:t>News Media Information 202 / 418-0500</w:t>
                </w:r>
              </w:p>
              <w:p w:rsidR="009838BC" w:rsidP="009838BC" w14:paraId="307B356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1BD0E36" w14:textId="77777777">
                <w:pPr>
                  <w:jc w:val="right"/>
                </w:pPr>
                <w:r>
                  <w:rPr>
                    <w:rFonts w:ascii="Arial" w:hAnsi="Arial"/>
                    <w:b/>
                    <w:sz w:val="16"/>
                  </w:rPr>
                  <w:t>TTY: 1-888-835-5322</w:t>
                </w:r>
              </w:p>
            </w:txbxContent>
          </v:textbox>
        </v:shape>
      </w:pict>
    </w:r>
  </w:p>
  <w:p w:rsidR="006F7393" w:rsidRPr="009838BC" w:rsidP="009838BC" w14:paraId="41D779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F0"/>
    <w:rsid w:val="000072CE"/>
    <w:rsid w:val="00013A8B"/>
    <w:rsid w:val="00021445"/>
    <w:rsid w:val="00036039"/>
    <w:rsid w:val="00037F90"/>
    <w:rsid w:val="00060AEC"/>
    <w:rsid w:val="00066082"/>
    <w:rsid w:val="000875BF"/>
    <w:rsid w:val="00096D8C"/>
    <w:rsid w:val="000C0B65"/>
    <w:rsid w:val="000E3D42"/>
    <w:rsid w:val="000E5884"/>
    <w:rsid w:val="00122BD5"/>
    <w:rsid w:val="001979D9"/>
    <w:rsid w:val="001D6BCF"/>
    <w:rsid w:val="001E01CA"/>
    <w:rsid w:val="002060D9"/>
    <w:rsid w:val="00226822"/>
    <w:rsid w:val="00227EA3"/>
    <w:rsid w:val="00260594"/>
    <w:rsid w:val="00285017"/>
    <w:rsid w:val="002A2D2E"/>
    <w:rsid w:val="003365F0"/>
    <w:rsid w:val="00343749"/>
    <w:rsid w:val="00343E20"/>
    <w:rsid w:val="00357D50"/>
    <w:rsid w:val="003925DC"/>
    <w:rsid w:val="003B0550"/>
    <w:rsid w:val="003B694F"/>
    <w:rsid w:val="003E4DBC"/>
    <w:rsid w:val="003F171C"/>
    <w:rsid w:val="003F7324"/>
    <w:rsid w:val="00412FC5"/>
    <w:rsid w:val="00422276"/>
    <w:rsid w:val="004242F1"/>
    <w:rsid w:val="00445A00"/>
    <w:rsid w:val="00451B0F"/>
    <w:rsid w:val="0046125F"/>
    <w:rsid w:val="00473AE4"/>
    <w:rsid w:val="00487524"/>
    <w:rsid w:val="00496106"/>
    <w:rsid w:val="004C12D0"/>
    <w:rsid w:val="004C2EE3"/>
    <w:rsid w:val="004E4A22"/>
    <w:rsid w:val="00511968"/>
    <w:rsid w:val="005466E7"/>
    <w:rsid w:val="0055614C"/>
    <w:rsid w:val="005754FF"/>
    <w:rsid w:val="00607BA5"/>
    <w:rsid w:val="00626EB6"/>
    <w:rsid w:val="006353A3"/>
    <w:rsid w:val="00655D03"/>
    <w:rsid w:val="00683F84"/>
    <w:rsid w:val="006960B8"/>
    <w:rsid w:val="006A6A81"/>
    <w:rsid w:val="006E26AF"/>
    <w:rsid w:val="006F7393"/>
    <w:rsid w:val="0070224F"/>
    <w:rsid w:val="0071087D"/>
    <w:rsid w:val="007115F7"/>
    <w:rsid w:val="0075242A"/>
    <w:rsid w:val="00785689"/>
    <w:rsid w:val="0079754B"/>
    <w:rsid w:val="007A1E6D"/>
    <w:rsid w:val="00822CE0"/>
    <w:rsid w:val="00837C62"/>
    <w:rsid w:val="00841AB1"/>
    <w:rsid w:val="008B24F0"/>
    <w:rsid w:val="008C22FD"/>
    <w:rsid w:val="00910F12"/>
    <w:rsid w:val="00926503"/>
    <w:rsid w:val="00930ECF"/>
    <w:rsid w:val="0095506B"/>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FDB5AE"/>
  <w15:chartTrackingRefBased/>
  <w15:docId w15:val="{4D342B32-4B90-4661-AD17-1FA1B3F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basedOn w:val="DefaultParagraphFont"/>
    <w:link w:val="FootnoteText"/>
    <w:semiHidden/>
    <w:rsid w:val="005466E7"/>
  </w:style>
  <w:style w:type="paragraph" w:styleId="BodyText">
    <w:name w:val="Body Text"/>
    <w:basedOn w:val="Normal"/>
    <w:link w:val="BodyTextChar1"/>
    <w:rsid w:val="005466E7"/>
    <w:pPr>
      <w:spacing w:after="120"/>
      <w:ind w:firstLine="720"/>
    </w:pPr>
    <w:rPr>
      <w:snapToGrid/>
      <w:kern w:val="0"/>
    </w:rPr>
  </w:style>
  <w:style w:type="character" w:customStyle="1" w:styleId="BodyTextChar">
    <w:name w:val="Body Text Char"/>
    <w:basedOn w:val="DefaultParagraphFont"/>
    <w:uiPriority w:val="99"/>
    <w:semiHidden/>
    <w:rsid w:val="005466E7"/>
    <w:rPr>
      <w:snapToGrid w:val="0"/>
      <w:kern w:val="28"/>
      <w:sz w:val="22"/>
    </w:rPr>
  </w:style>
  <w:style w:type="character" w:customStyle="1" w:styleId="BodyTextChar1">
    <w:name w:val="Body Text Char1"/>
    <w:link w:val="BodyText"/>
    <w:rsid w:val="005466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Eric.Wu@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