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A94F6C" w:rsidRPr="00F6162F" w:rsidP="00A94F6C" w14:paraId="7C0D61F2" w14:textId="5819EFBE">
      <w:pPr>
        <w:widowControl w:val="0"/>
        <w:jc w:val="right"/>
        <w:rPr>
          <w:b/>
          <w:snapToGrid w:val="0"/>
          <w:kern w:val="28"/>
        </w:rPr>
      </w:pPr>
      <w:r w:rsidRPr="00956E17">
        <w:rPr>
          <w:b/>
          <w:snapToGrid w:val="0"/>
          <w:kern w:val="28"/>
        </w:rPr>
        <w:t>DA 2</w:t>
      </w:r>
      <w:r>
        <w:rPr>
          <w:b/>
          <w:snapToGrid w:val="0"/>
          <w:kern w:val="28"/>
        </w:rPr>
        <w:t>3</w:t>
      </w:r>
      <w:r w:rsidRPr="00956E17">
        <w:rPr>
          <w:b/>
          <w:snapToGrid w:val="0"/>
          <w:kern w:val="28"/>
        </w:rPr>
        <w:t>-</w:t>
      </w:r>
      <w:r w:rsidR="009D3F3F">
        <w:rPr>
          <w:b/>
          <w:snapToGrid w:val="0"/>
          <w:kern w:val="28"/>
        </w:rPr>
        <w:t>305</w:t>
      </w:r>
    </w:p>
    <w:p w:rsidR="00A94F6C" w:rsidRPr="00F6162F" w:rsidP="00A94F6C" w14:paraId="28737548" w14:textId="77777777">
      <w:pPr>
        <w:suppressAutoHyphens/>
        <w:spacing w:after="240"/>
        <w:jc w:val="right"/>
        <w:rPr>
          <w:b/>
          <w:bCs/>
          <w:snapToGrid w:val="0"/>
          <w:kern w:val="28"/>
        </w:rPr>
      </w:pPr>
      <w:r w:rsidRPr="23FB2AC6">
        <w:rPr>
          <w:b/>
          <w:bCs/>
          <w:snapToGrid w:val="0"/>
          <w:kern w:val="28"/>
        </w:rPr>
        <w:t>Released:  April 7, 2023</w:t>
      </w:r>
    </w:p>
    <w:p w:rsidR="00A94F6C" w:rsidP="00A94F6C" w14:paraId="70670213" w14:textId="77777777">
      <w:pPr>
        <w:widowControl w:val="0"/>
        <w:autoSpaceDE w:val="0"/>
        <w:autoSpaceDN w:val="0"/>
        <w:adjustRightInd w:val="0"/>
        <w:ind w:left="-180" w:right="90"/>
        <w:jc w:val="center"/>
        <w:rPr>
          <w:b/>
          <w:bCs/>
          <w:snapToGrid w:val="0"/>
          <w:kern w:val="28"/>
          <w:szCs w:val="22"/>
        </w:rPr>
      </w:pPr>
      <w:r w:rsidRPr="00F6162F">
        <w:rPr>
          <w:b/>
          <w:bCs/>
          <w:snapToGrid w:val="0"/>
          <w:kern w:val="28"/>
          <w:szCs w:val="22"/>
        </w:rPr>
        <w:t>DOMESTIC SECTION 214 APPLICATION FILED FOR THE TRANSFER OF CONTROL</w:t>
      </w:r>
    </w:p>
    <w:p w:rsidR="00A94F6C" w:rsidP="00A94F6C" w14:paraId="3AC79893" w14:textId="77777777">
      <w:pPr>
        <w:widowControl w:val="0"/>
        <w:autoSpaceDE w:val="0"/>
        <w:autoSpaceDN w:val="0"/>
        <w:adjustRightInd w:val="0"/>
        <w:ind w:left="-180" w:right="90"/>
        <w:jc w:val="center"/>
        <w:rPr>
          <w:b/>
          <w:bCs/>
          <w:snapToGrid w:val="0"/>
          <w:kern w:val="28"/>
          <w:szCs w:val="22"/>
        </w:rPr>
      </w:pPr>
      <w:r w:rsidRPr="00F6162F">
        <w:rPr>
          <w:b/>
          <w:bCs/>
          <w:snapToGrid w:val="0"/>
          <w:kern w:val="28"/>
          <w:szCs w:val="22"/>
        </w:rPr>
        <w:t xml:space="preserve"> OF CERTAIN A</w:t>
      </w:r>
      <w:r>
        <w:rPr>
          <w:b/>
          <w:bCs/>
          <w:snapToGrid w:val="0"/>
          <w:kern w:val="28"/>
          <w:szCs w:val="22"/>
        </w:rPr>
        <w:t>SSETS</w:t>
      </w:r>
      <w:r w:rsidRPr="00F6162F">
        <w:rPr>
          <w:b/>
          <w:bCs/>
          <w:snapToGrid w:val="0"/>
          <w:kern w:val="28"/>
          <w:szCs w:val="22"/>
        </w:rPr>
        <w:t xml:space="preserve"> OF </w:t>
      </w:r>
      <w:r w:rsidRPr="00FC384C">
        <w:rPr>
          <w:b/>
          <w:bCs/>
          <w:snapToGrid w:val="0"/>
          <w:kern w:val="28"/>
          <w:szCs w:val="22"/>
        </w:rPr>
        <w:t xml:space="preserve">BROADLIFE COMMUNICATIONS, INC. </w:t>
      </w:r>
    </w:p>
    <w:p w:rsidR="00A94F6C" w:rsidRPr="00F6162F" w:rsidP="00A94F6C" w14:paraId="16351B0B" w14:textId="77777777">
      <w:pPr>
        <w:widowControl w:val="0"/>
        <w:autoSpaceDE w:val="0"/>
        <w:autoSpaceDN w:val="0"/>
        <w:adjustRightInd w:val="0"/>
        <w:ind w:left="-180" w:right="90"/>
        <w:jc w:val="center"/>
        <w:rPr>
          <w:b/>
          <w:snapToGrid w:val="0"/>
          <w:kern w:val="28"/>
          <w:szCs w:val="22"/>
        </w:rPr>
      </w:pPr>
      <w:r>
        <w:rPr>
          <w:b/>
          <w:snapToGrid w:val="0"/>
          <w:kern w:val="28"/>
          <w:szCs w:val="22"/>
        </w:rPr>
        <w:t>TO</w:t>
      </w:r>
      <w:r w:rsidRPr="00FC384C">
        <w:rPr>
          <w:b/>
          <w:snapToGrid w:val="0"/>
          <w:kern w:val="28"/>
          <w:szCs w:val="22"/>
        </w:rPr>
        <w:t xml:space="preserve"> YELLOWHAMMER NETWORKS, LLC</w:t>
      </w:r>
    </w:p>
    <w:p w:rsidR="00A94F6C" w:rsidP="00A94F6C" w14:paraId="0E5B2E18" w14:textId="77777777">
      <w:pPr>
        <w:widowControl w:val="0"/>
        <w:autoSpaceDE w:val="0"/>
        <w:autoSpaceDN w:val="0"/>
        <w:adjustRightInd w:val="0"/>
        <w:ind w:left="-180" w:right="90"/>
        <w:jc w:val="center"/>
        <w:rPr>
          <w:b/>
          <w:bCs/>
          <w:snapToGrid w:val="0"/>
          <w:kern w:val="28"/>
        </w:rPr>
      </w:pPr>
    </w:p>
    <w:p w:rsidR="00A94F6C" w:rsidRPr="00F6162F" w:rsidP="00A94F6C" w14:paraId="5B0411EE" w14:textId="77777777">
      <w:pPr>
        <w:widowControl w:val="0"/>
        <w:autoSpaceDE w:val="0"/>
        <w:autoSpaceDN w:val="0"/>
        <w:adjustRightInd w:val="0"/>
        <w:ind w:left="-180" w:right="90"/>
        <w:jc w:val="center"/>
        <w:rPr>
          <w:b/>
          <w:bCs/>
          <w:snapToGrid w:val="0"/>
          <w:kern w:val="28"/>
        </w:rPr>
      </w:pPr>
      <w:r w:rsidRPr="28E367F0">
        <w:rPr>
          <w:b/>
          <w:bCs/>
          <w:snapToGrid w:val="0"/>
          <w:kern w:val="28"/>
        </w:rPr>
        <w:t xml:space="preserve">PETITION FILED FOR THE DESIGNATION OF YELLOWHAMMER NETWORKS, LLC AS AN ELIGIBLE TELECOMMUNICATIONS CARRIER </w:t>
      </w:r>
      <w:r>
        <w:tab/>
      </w:r>
    </w:p>
    <w:p w:rsidR="00A94F6C" w:rsidRPr="00F6162F" w:rsidP="00A94F6C" w14:paraId="4630AEAD" w14:textId="77777777">
      <w:pPr>
        <w:widowControl w:val="0"/>
        <w:autoSpaceDE w:val="0"/>
        <w:autoSpaceDN w:val="0"/>
        <w:adjustRightInd w:val="0"/>
        <w:rPr>
          <w:b/>
          <w:snapToGrid w:val="0"/>
          <w:kern w:val="28"/>
          <w:szCs w:val="22"/>
        </w:rPr>
      </w:pPr>
    </w:p>
    <w:p w:rsidR="00A94F6C" w:rsidRPr="00F6162F" w:rsidP="00A94F6C" w14:paraId="54AA0D2C" w14:textId="77777777">
      <w:pPr>
        <w:widowControl w:val="0"/>
        <w:autoSpaceDE w:val="0"/>
        <w:autoSpaceDN w:val="0"/>
        <w:adjustRightInd w:val="0"/>
        <w:jc w:val="center"/>
        <w:rPr>
          <w:b/>
          <w:snapToGrid w:val="0"/>
          <w:kern w:val="28"/>
          <w:szCs w:val="22"/>
        </w:rPr>
      </w:pPr>
      <w:r w:rsidRPr="00F6162F">
        <w:rPr>
          <w:b/>
          <w:snapToGrid w:val="0"/>
          <w:kern w:val="28"/>
          <w:szCs w:val="22"/>
        </w:rPr>
        <w:t>NON-STREAMLINED PLEADING CYCLE ESTABLISHED</w:t>
      </w:r>
    </w:p>
    <w:p w:rsidR="00A94F6C" w:rsidRPr="00F6162F" w:rsidP="00A94F6C" w14:paraId="1AC82129" w14:textId="77777777">
      <w:pPr>
        <w:widowControl w:val="0"/>
        <w:autoSpaceDE w:val="0"/>
        <w:autoSpaceDN w:val="0"/>
        <w:adjustRightInd w:val="0"/>
        <w:jc w:val="center"/>
        <w:rPr>
          <w:b/>
          <w:snapToGrid w:val="0"/>
          <w:kern w:val="28"/>
          <w:szCs w:val="22"/>
        </w:rPr>
      </w:pPr>
    </w:p>
    <w:p w:rsidR="00A94F6C" w:rsidRPr="00F6162F" w:rsidP="00A94F6C" w14:paraId="0AACE303" w14:textId="77777777">
      <w:pPr>
        <w:widowControl w:val="0"/>
        <w:autoSpaceDE w:val="0"/>
        <w:autoSpaceDN w:val="0"/>
        <w:adjustRightInd w:val="0"/>
        <w:jc w:val="center"/>
        <w:rPr>
          <w:b/>
          <w:snapToGrid w:val="0"/>
          <w:kern w:val="28"/>
          <w:szCs w:val="22"/>
        </w:rPr>
      </w:pPr>
      <w:r w:rsidRPr="00F6162F">
        <w:rPr>
          <w:b/>
          <w:snapToGrid w:val="0"/>
          <w:kern w:val="28"/>
          <w:szCs w:val="22"/>
        </w:rPr>
        <w:t xml:space="preserve">WC Docket </w:t>
      </w:r>
      <w:r w:rsidRPr="28E367F0">
        <w:rPr>
          <w:b/>
          <w:bCs/>
          <w:snapToGrid w:val="0"/>
          <w:kern w:val="28"/>
        </w:rPr>
        <w:t>Nos</w:t>
      </w:r>
      <w:r w:rsidRPr="00F6162F">
        <w:rPr>
          <w:b/>
          <w:snapToGrid w:val="0"/>
          <w:kern w:val="28"/>
          <w:szCs w:val="22"/>
        </w:rPr>
        <w:t>. 2</w:t>
      </w:r>
      <w:r>
        <w:rPr>
          <w:b/>
          <w:snapToGrid w:val="0"/>
          <w:kern w:val="28"/>
          <w:szCs w:val="22"/>
        </w:rPr>
        <w:t>3</w:t>
      </w:r>
      <w:r w:rsidRPr="00F6162F">
        <w:rPr>
          <w:b/>
          <w:snapToGrid w:val="0"/>
          <w:kern w:val="28"/>
          <w:szCs w:val="22"/>
        </w:rPr>
        <w:t>-</w:t>
      </w:r>
      <w:r>
        <w:rPr>
          <w:b/>
          <w:snapToGrid w:val="0"/>
          <w:kern w:val="28"/>
          <w:szCs w:val="22"/>
        </w:rPr>
        <w:t>2</w:t>
      </w:r>
      <w:r w:rsidRPr="00F6162F">
        <w:rPr>
          <w:b/>
          <w:snapToGrid w:val="0"/>
          <w:kern w:val="28"/>
          <w:szCs w:val="22"/>
        </w:rPr>
        <w:t>3</w:t>
      </w:r>
      <w:r w:rsidRPr="28E367F0">
        <w:rPr>
          <w:b/>
          <w:bCs/>
          <w:snapToGrid w:val="0"/>
          <w:kern w:val="28"/>
        </w:rPr>
        <w:t>, 09-197</w:t>
      </w:r>
    </w:p>
    <w:p w:rsidR="00A94F6C" w:rsidRPr="00F6162F" w:rsidP="00A94F6C" w14:paraId="258D97A6" w14:textId="77777777">
      <w:pPr>
        <w:widowControl w:val="0"/>
        <w:autoSpaceDE w:val="0"/>
        <w:autoSpaceDN w:val="0"/>
        <w:adjustRightInd w:val="0"/>
        <w:jc w:val="center"/>
        <w:rPr>
          <w:b/>
          <w:snapToGrid w:val="0"/>
          <w:kern w:val="28"/>
          <w:szCs w:val="22"/>
        </w:rPr>
      </w:pPr>
    </w:p>
    <w:p w:rsidR="00A94F6C" w:rsidRPr="00F6162F" w:rsidP="00A94F6C" w14:paraId="43FF7F90" w14:textId="77777777">
      <w:pPr>
        <w:widowControl w:val="0"/>
        <w:rPr>
          <w:b/>
          <w:bCs/>
        </w:rPr>
      </w:pPr>
      <w:r w:rsidRPr="23FB2AC6">
        <w:rPr>
          <w:b/>
          <w:bCs/>
        </w:rPr>
        <w:t xml:space="preserve">Comments Due:  April 21, 2023 </w:t>
      </w:r>
    </w:p>
    <w:p w:rsidR="00A94F6C" w:rsidRPr="00F6162F" w:rsidP="00A94F6C" w14:paraId="3BCDA35C" w14:textId="77777777">
      <w:pPr>
        <w:widowControl w:val="0"/>
        <w:rPr>
          <w:b/>
          <w:bCs/>
        </w:rPr>
      </w:pPr>
      <w:r w:rsidRPr="23FB2AC6">
        <w:rPr>
          <w:b/>
          <w:bCs/>
        </w:rPr>
        <w:t>Reply Comment Due:  April 28, 2023</w:t>
      </w:r>
    </w:p>
    <w:p w:rsidR="00A94F6C" w:rsidRPr="00F6162F" w:rsidP="00A94F6C" w14:paraId="5B00D76A" w14:textId="77777777">
      <w:pPr>
        <w:widowControl w:val="0"/>
        <w:autoSpaceDE w:val="0"/>
        <w:autoSpaceDN w:val="0"/>
        <w:adjustRightInd w:val="0"/>
        <w:jc w:val="center"/>
        <w:rPr>
          <w:b/>
          <w:snapToGrid w:val="0"/>
          <w:kern w:val="28"/>
          <w:szCs w:val="22"/>
        </w:rPr>
      </w:pPr>
    </w:p>
    <w:p w:rsidR="00A94F6C" w:rsidRPr="00A20C7D" w:rsidP="00A94F6C" w14:paraId="4A54D2ED" w14:textId="77777777">
      <w:pPr>
        <w:spacing w:after="120"/>
        <w:ind w:firstLine="720"/>
        <w:rPr>
          <w:sz w:val="24"/>
          <w:szCs w:val="24"/>
        </w:rPr>
      </w:pPr>
      <w:r w:rsidRPr="00F6162F">
        <w:rPr>
          <w:szCs w:val="22"/>
        </w:rPr>
        <w:t>By this Public Notice, the Wireline Competition Bureau (Bureau) seeks comment from interested parties on an application filed by</w:t>
      </w:r>
      <w:bookmarkStart w:id="1" w:name="_Hlk87961388"/>
      <w:r w:rsidRPr="00F6162F">
        <w:rPr>
          <w:szCs w:val="22"/>
        </w:rPr>
        <w:t xml:space="preserve"> </w:t>
      </w:r>
      <w:bookmarkStart w:id="2" w:name="_Hlk124848123"/>
      <w:r w:rsidRPr="00D332C6">
        <w:rPr>
          <w:szCs w:val="22"/>
        </w:rPr>
        <w:t>BroadLife</w:t>
      </w:r>
      <w:r w:rsidRPr="00D332C6">
        <w:rPr>
          <w:szCs w:val="22"/>
        </w:rPr>
        <w:t xml:space="preserve"> Communications, Inc. (</w:t>
      </w:r>
      <w:r w:rsidRPr="00D332C6">
        <w:rPr>
          <w:szCs w:val="22"/>
        </w:rPr>
        <w:t>BroadLife</w:t>
      </w:r>
      <w:r w:rsidRPr="00D332C6">
        <w:rPr>
          <w:szCs w:val="22"/>
        </w:rPr>
        <w:t>) and Yellowhammer Networks, LLC</w:t>
      </w:r>
      <w:bookmarkEnd w:id="2"/>
      <w:r>
        <w:rPr>
          <w:szCs w:val="22"/>
        </w:rPr>
        <w:t xml:space="preserve"> </w:t>
      </w:r>
      <w:r w:rsidRPr="00D332C6">
        <w:rPr>
          <w:szCs w:val="22"/>
        </w:rPr>
        <w:t>(Yellowhammer</w:t>
      </w:r>
      <w:r>
        <w:rPr>
          <w:szCs w:val="22"/>
        </w:rPr>
        <w:t>)</w:t>
      </w:r>
      <w:r w:rsidRPr="00D332C6">
        <w:rPr>
          <w:szCs w:val="22"/>
        </w:rPr>
        <w:t xml:space="preserve"> </w:t>
      </w:r>
      <w:r w:rsidRPr="00F6162F">
        <w:rPr>
          <w:szCs w:val="22"/>
        </w:rPr>
        <w:t>(collectively, Applicants)</w:t>
      </w:r>
      <w:bookmarkEnd w:id="1"/>
      <w:r w:rsidRPr="00F6162F">
        <w:rPr>
          <w:szCs w:val="22"/>
        </w:rPr>
        <w:t>, pursuant to section 214 of the Communications Act of 1934, as amended, and sections 63.03-04 of the Federal Communications Commission’s (Commission) rules,</w:t>
      </w:r>
      <w:r>
        <w:rPr>
          <w:szCs w:val="22"/>
          <w:vertAlign w:val="superscript"/>
        </w:rPr>
        <w:footnoteReference w:id="3"/>
      </w:r>
      <w:r w:rsidRPr="00F6162F">
        <w:rPr>
          <w:szCs w:val="22"/>
        </w:rPr>
        <w:t xml:space="preserve"> requesting consent for </w:t>
      </w:r>
      <w:r>
        <w:rPr>
          <w:szCs w:val="22"/>
        </w:rPr>
        <w:t xml:space="preserve">the transfer of certain assets from </w:t>
      </w:r>
      <w:r>
        <w:rPr>
          <w:szCs w:val="22"/>
        </w:rPr>
        <w:t>BroadLife</w:t>
      </w:r>
      <w:r>
        <w:rPr>
          <w:szCs w:val="22"/>
        </w:rPr>
        <w:t xml:space="preserve"> to Yellowhammer.</w:t>
      </w:r>
      <w:r>
        <w:rPr>
          <w:rStyle w:val="FootnoteReference"/>
          <w:szCs w:val="22"/>
        </w:rPr>
        <w:footnoteReference w:id="4"/>
      </w:r>
      <w:r>
        <w:rPr>
          <w:szCs w:val="22"/>
        </w:rPr>
        <w:t xml:space="preserve">  </w:t>
      </w:r>
      <w:r>
        <w:rPr>
          <w:snapToGrid w:val="0"/>
          <w:szCs w:val="22"/>
        </w:rPr>
        <w:t>The Bureau also seeks comment on the petition of Yellowhammer for designation as an Eligible Telecommunications Carrier (ETC) in the Assigned Census Blocks.</w:t>
      </w:r>
      <w:r>
        <w:rPr>
          <w:rStyle w:val="FootnoteReference"/>
          <w:snapToGrid w:val="0"/>
          <w:szCs w:val="22"/>
        </w:rPr>
        <w:footnoteReference w:id="5"/>
      </w:r>
      <w:r>
        <w:rPr>
          <w:snapToGrid w:val="0"/>
          <w:szCs w:val="22"/>
        </w:rPr>
        <w:t xml:space="preserve">  </w:t>
      </w:r>
    </w:p>
    <w:p w:rsidR="00A94F6C" w:rsidP="00A94F6C" w14:paraId="332CAAA3" w14:textId="77777777">
      <w:pPr>
        <w:autoSpaceDE w:val="0"/>
        <w:autoSpaceDN w:val="0"/>
        <w:adjustRightInd w:val="0"/>
        <w:spacing w:after="120"/>
        <w:ind w:firstLine="720"/>
      </w:pPr>
      <w:r w:rsidRPr="4617F7C5">
        <w:t>BroadLife</w:t>
      </w:r>
      <w:r>
        <w:rPr>
          <w:szCs w:val="22"/>
        </w:rPr>
        <w:t>,</w:t>
      </w:r>
      <w:r w:rsidRPr="4617F7C5">
        <w:t xml:space="preserve"> a Delaware corporation</w:t>
      </w:r>
      <w:r>
        <w:rPr>
          <w:szCs w:val="22"/>
        </w:rPr>
        <w:t>,</w:t>
      </w:r>
      <w:r w:rsidRPr="4617F7C5">
        <w:t xml:space="preserve"> is</w:t>
      </w:r>
      <w:r w:rsidRPr="00D52211">
        <w:rPr>
          <w:szCs w:val="22"/>
        </w:rPr>
        <w:t xml:space="preserve"> </w:t>
      </w:r>
      <w:r w:rsidRPr="4617F7C5">
        <w:t xml:space="preserve">a </w:t>
      </w:r>
      <w:r>
        <w:rPr>
          <w:szCs w:val="22"/>
        </w:rPr>
        <w:t>“</w:t>
      </w:r>
      <w:r w:rsidRPr="4617F7C5">
        <w:t>developer and potential provider of broadband Internet access service over</w:t>
      </w:r>
      <w:r>
        <w:rPr>
          <w:szCs w:val="22"/>
        </w:rPr>
        <w:t xml:space="preserve"> </w:t>
      </w:r>
      <w:r w:rsidRPr="4617F7C5">
        <w:t>fiber-based networks.</w:t>
      </w:r>
      <w:r>
        <w:rPr>
          <w:szCs w:val="22"/>
        </w:rPr>
        <w:t>”</w:t>
      </w:r>
      <w:r>
        <w:rPr>
          <w:rStyle w:val="FootnoteReference"/>
        </w:rPr>
        <w:footnoteReference w:id="6"/>
      </w:r>
      <w:r>
        <w:rPr>
          <w:szCs w:val="22"/>
        </w:rPr>
        <w:t xml:space="preserve">  </w:t>
      </w:r>
      <w:r w:rsidRPr="4617F7C5">
        <w:t>BroadLife</w:t>
      </w:r>
      <w:r w:rsidRPr="4617F7C5">
        <w:t xml:space="preserve"> is an ETC that is</w:t>
      </w:r>
      <w:r>
        <w:rPr>
          <w:szCs w:val="22"/>
        </w:rPr>
        <w:t xml:space="preserve"> </w:t>
      </w:r>
      <w:r w:rsidRPr="4617F7C5">
        <w:t>authorized to receive $26,461,542 in</w:t>
      </w:r>
      <w:r w:rsidRPr="00D4489D">
        <w:rPr>
          <w:szCs w:val="22"/>
        </w:rPr>
        <w:t xml:space="preserve"> </w:t>
      </w:r>
      <w:r w:rsidRPr="4617F7C5">
        <w:t xml:space="preserve">Rural Digital Opportunity Fund </w:t>
      </w:r>
      <w:r>
        <w:rPr>
          <w:szCs w:val="22"/>
        </w:rPr>
        <w:t>(</w:t>
      </w:r>
      <w:r w:rsidRPr="4617F7C5">
        <w:t>RDOF</w:t>
      </w:r>
      <w:r>
        <w:rPr>
          <w:szCs w:val="22"/>
        </w:rPr>
        <w:t xml:space="preserve">) </w:t>
      </w:r>
      <w:r w:rsidRPr="4617F7C5">
        <w:t xml:space="preserve">support over ten years to provide service to </w:t>
      </w:r>
      <w:r w:rsidRPr="4617F7C5">
        <w:t>7,483 locations in Alabama</w:t>
      </w:r>
      <w:r>
        <w:rPr>
          <w:szCs w:val="22"/>
        </w:rPr>
        <w:t>,</w:t>
      </w:r>
      <w:r w:rsidRPr="4617F7C5">
        <w:t xml:space="preserve"> the “Assigned Census Blocks</w:t>
      </w:r>
      <w:r>
        <w:rPr>
          <w:szCs w:val="22"/>
        </w:rPr>
        <w:t>.”</w:t>
      </w:r>
      <w:r>
        <w:rPr>
          <w:rStyle w:val="FootnoteReference"/>
        </w:rPr>
        <w:footnoteReference w:id="7"/>
      </w:r>
      <w:r w:rsidRPr="00D4489D">
        <w:rPr>
          <w:szCs w:val="22"/>
        </w:rPr>
        <w:t xml:space="preserve"> </w:t>
      </w:r>
      <w:r>
        <w:rPr>
          <w:szCs w:val="22"/>
        </w:rPr>
        <w:t xml:space="preserve"> </w:t>
      </w:r>
      <w:r w:rsidRPr="4617F7C5">
        <w:t>BroadLife</w:t>
      </w:r>
      <w:r w:rsidRPr="4617F7C5">
        <w:t xml:space="preserve"> does not currently offer domestic telecommunications services in the Assigned Census Blocks</w:t>
      </w:r>
      <w:r w:rsidRPr="00D4489D">
        <w:rPr>
          <w:szCs w:val="22"/>
        </w:rPr>
        <w:t>.</w:t>
      </w:r>
      <w:r>
        <w:rPr>
          <w:rStyle w:val="FootnoteReference"/>
        </w:rPr>
        <w:footnoteReference w:id="8"/>
      </w:r>
      <w:r>
        <w:rPr>
          <w:szCs w:val="22"/>
        </w:rPr>
        <w:t xml:space="preserve"> </w:t>
      </w:r>
      <w:r w:rsidRPr="00963A8D">
        <w:rPr>
          <w:szCs w:val="22"/>
        </w:rPr>
        <w:t xml:space="preserve"> </w:t>
      </w:r>
    </w:p>
    <w:p w:rsidR="00A94F6C" w:rsidP="00A94F6C" w14:paraId="539AEF34" w14:textId="77777777">
      <w:pPr>
        <w:autoSpaceDE w:val="0"/>
        <w:autoSpaceDN w:val="0"/>
        <w:adjustRightInd w:val="0"/>
        <w:spacing w:after="120"/>
        <w:ind w:firstLine="720"/>
      </w:pPr>
      <w:r w:rsidRPr="4617F7C5">
        <w:t>Yellowhammer</w:t>
      </w:r>
      <w:r>
        <w:rPr>
          <w:szCs w:val="22"/>
        </w:rPr>
        <w:t xml:space="preserve">, </w:t>
      </w:r>
      <w:r w:rsidRPr="4617F7C5">
        <w:t>a Delaware limited liability company</w:t>
      </w:r>
      <w:r>
        <w:rPr>
          <w:szCs w:val="22"/>
        </w:rPr>
        <w:t>,</w:t>
      </w:r>
      <w:r w:rsidRPr="00D4489D">
        <w:rPr>
          <w:sz w:val="30"/>
          <w:szCs w:val="30"/>
        </w:rPr>
        <w:t xml:space="preserve"> </w:t>
      </w:r>
      <w:r w:rsidRPr="4617F7C5">
        <w:t>and its affiliates are infrastructure development companies that do not currently offer domestic telecommunications services.</w:t>
      </w:r>
      <w:r>
        <w:rPr>
          <w:rStyle w:val="FootnoteReference"/>
        </w:rPr>
        <w:footnoteReference w:id="9"/>
      </w:r>
      <w:r w:rsidRPr="00D4489D">
        <w:rPr>
          <w:szCs w:val="22"/>
        </w:rPr>
        <w:t xml:space="preserve"> </w:t>
      </w:r>
      <w:r w:rsidRPr="4617F7C5">
        <w:t xml:space="preserve"> Applicants state that Yellowhammer will</w:t>
      </w:r>
      <w:r>
        <w:rPr>
          <w:szCs w:val="22"/>
        </w:rPr>
        <w:t xml:space="preserve"> </w:t>
      </w:r>
      <w:r w:rsidRPr="4617F7C5">
        <w:t xml:space="preserve">assume and satisfy </w:t>
      </w:r>
      <w:r w:rsidRPr="4617F7C5">
        <w:t>BroadLife’s</w:t>
      </w:r>
      <w:r w:rsidRPr="4617F7C5">
        <w:t xml:space="preserve"> RDOF obligations in the Assigned Census Blocks</w:t>
      </w:r>
      <w:r>
        <w:rPr>
          <w:szCs w:val="22"/>
        </w:rPr>
        <w:t xml:space="preserve"> </w:t>
      </w:r>
      <w:r w:rsidRPr="4617F7C5">
        <w:t>and provide the</w:t>
      </w:r>
      <w:r>
        <w:rPr>
          <w:szCs w:val="22"/>
        </w:rPr>
        <w:t xml:space="preserve"> </w:t>
      </w:r>
      <w:r w:rsidRPr="4617F7C5">
        <w:t>supported services consistent with its obligations as an ETC.</w:t>
      </w:r>
      <w:r>
        <w:rPr>
          <w:rStyle w:val="FootnoteReference"/>
        </w:rPr>
        <w:footnoteReference w:id="10"/>
      </w:r>
      <w:r>
        <w:rPr>
          <w:szCs w:val="22"/>
        </w:rPr>
        <w:t xml:space="preserve">  </w:t>
      </w:r>
      <w:r w:rsidRPr="4617F7C5">
        <w:t>Yellowhammer will work with “one or more local partners that will provide sales and customer service support (Local Partners</w:t>
      </w:r>
      <w:r>
        <w:rPr>
          <w:szCs w:val="22"/>
        </w:rPr>
        <w:t>).”</w:t>
      </w:r>
      <w:r>
        <w:rPr>
          <w:rStyle w:val="FootnoteReference"/>
        </w:rPr>
        <w:footnoteReference w:id="11"/>
      </w:r>
      <w:r w:rsidRPr="4617F7C5">
        <w:t xml:space="preserve">  Applicants </w:t>
      </w:r>
      <w:r w:rsidRPr="23FB2AC6">
        <w:t>maintain</w:t>
      </w:r>
      <w:r>
        <w:rPr>
          <w:szCs w:val="22"/>
        </w:rPr>
        <w:t xml:space="preserve"> </w:t>
      </w:r>
      <w:r w:rsidRPr="4617F7C5">
        <w:t>that Yellowhammer will “engineer, construct, and own the entire lit network from the internet to end users, and will be responsible for day-to-day control and maintenance of network operations.”</w:t>
      </w:r>
      <w:r>
        <w:rPr>
          <w:rStyle w:val="FootnoteReference"/>
        </w:rPr>
        <w:footnoteReference w:id="12"/>
      </w:r>
      <w:r>
        <w:rPr>
          <w:szCs w:val="22"/>
        </w:rPr>
        <w:t xml:space="preserve">  </w:t>
      </w:r>
      <w:r w:rsidRPr="23FB2AC6">
        <w:t xml:space="preserve">Applicants state that </w:t>
      </w:r>
      <w:r>
        <w:rPr>
          <w:szCs w:val="22"/>
        </w:rPr>
        <w:t>“</w:t>
      </w:r>
      <w:r w:rsidRPr="23FB2AC6">
        <w:t>Yellowhammer will ensure that Affordable Connectivity Program benefits are made available to all qualifying households in</w:t>
      </w:r>
      <w:r>
        <w:rPr>
          <w:szCs w:val="22"/>
        </w:rPr>
        <w:t xml:space="preserve"> </w:t>
      </w:r>
      <w:r w:rsidRPr="23FB2AC6">
        <w:t>the Assigned Census Blocks.”</w:t>
      </w:r>
      <w:r>
        <w:rPr>
          <w:rStyle w:val="FootnoteReference"/>
        </w:rPr>
        <w:footnoteReference w:id="13"/>
      </w:r>
      <w:r>
        <w:rPr>
          <w:szCs w:val="22"/>
        </w:rPr>
        <w:t xml:space="preserve">   </w:t>
      </w:r>
      <w:r w:rsidRPr="4617F7C5">
        <w:t>further state that Yellowhammer is held by private equity funds Meridiam Infrastructure North America Fund III, LP and its parallel funds (collectively, Meridiam Fund III), and thus held indirectly through limited partnership and limited liability company interests by numerous investors.</w:t>
      </w:r>
      <w:r>
        <w:rPr>
          <w:rStyle w:val="FootnoteReference"/>
        </w:rPr>
        <w:footnoteReference w:id="14"/>
      </w:r>
      <w:r w:rsidRPr="4617F7C5">
        <w:t xml:space="preserve">  Meridiam Fund III and all its subsidiaries, including Yellowhammer, are managed by </w:t>
      </w:r>
      <w:bookmarkStart w:id="3" w:name="_Hlk131161752"/>
      <w:r w:rsidRPr="4617F7C5">
        <w:t xml:space="preserve">Meridiam Infrastructure North America </w:t>
      </w:r>
      <w:bookmarkEnd w:id="3"/>
      <w:r w:rsidRPr="4617F7C5">
        <w:t>Corporation (Meridiam), a Delaware corporation.</w:t>
      </w:r>
      <w:r>
        <w:rPr>
          <w:rStyle w:val="FootnoteReference"/>
        </w:rPr>
        <w:footnoteReference w:id="15"/>
      </w:r>
      <w:r w:rsidRPr="00BA5D72">
        <w:rPr>
          <w:szCs w:val="22"/>
        </w:rPr>
        <w:t xml:space="preserve">  </w:t>
      </w:r>
      <w:r w:rsidRPr="4617F7C5">
        <w:t xml:space="preserve">Yellowhammer is ultimately controlled Thierry </w:t>
      </w:r>
      <w:r w:rsidRPr="4617F7C5">
        <w:t>Déau</w:t>
      </w:r>
      <w:r w:rsidRPr="4617F7C5">
        <w:t>, the President of Meridiam, a citizen of France.</w:t>
      </w:r>
      <w:r>
        <w:rPr>
          <w:rStyle w:val="FootnoteReference"/>
        </w:rPr>
        <w:footnoteReference w:id="16"/>
      </w:r>
      <w:r>
        <w:rPr>
          <w:szCs w:val="22"/>
        </w:rPr>
        <w:t xml:space="preserve"> </w:t>
      </w:r>
    </w:p>
    <w:p w:rsidR="00A94F6C" w:rsidRPr="00732BB4" w:rsidP="00A94F6C" w14:paraId="79D77C5F" w14:textId="77777777">
      <w:pPr>
        <w:autoSpaceDE w:val="0"/>
        <w:autoSpaceDN w:val="0"/>
        <w:adjustRightInd w:val="0"/>
        <w:spacing w:after="120"/>
        <w:rPr>
          <w:b/>
          <w:bCs/>
          <w:szCs w:val="22"/>
          <w:u w:val="single"/>
        </w:rPr>
      </w:pPr>
      <w:r w:rsidRPr="00732BB4">
        <w:rPr>
          <w:b/>
          <w:bCs/>
          <w:szCs w:val="22"/>
          <w:u w:val="single"/>
        </w:rPr>
        <w:t xml:space="preserve">Transaction Details and Public Interest </w:t>
      </w:r>
    </w:p>
    <w:p w:rsidR="00A94F6C" w:rsidRPr="00F6162F" w:rsidP="00A94F6C" w14:paraId="5ACB4A96" w14:textId="77777777">
      <w:pPr>
        <w:autoSpaceDE w:val="0"/>
        <w:autoSpaceDN w:val="0"/>
        <w:adjustRightInd w:val="0"/>
        <w:spacing w:after="120"/>
        <w:ind w:firstLine="720"/>
        <w:rPr>
          <w:szCs w:val="22"/>
        </w:rPr>
      </w:pPr>
      <w:r w:rsidRPr="00F6162F">
        <w:rPr>
          <w:szCs w:val="22"/>
        </w:rPr>
        <w:t xml:space="preserve">Pursuant to the terms of the proposed transaction, </w:t>
      </w:r>
      <w:r w:rsidRPr="00C1059B">
        <w:rPr>
          <w:szCs w:val="22"/>
        </w:rPr>
        <w:t>Yellowhammer will</w:t>
      </w:r>
      <w:r>
        <w:rPr>
          <w:szCs w:val="22"/>
        </w:rPr>
        <w:t xml:space="preserve"> </w:t>
      </w:r>
      <w:r w:rsidRPr="00C1059B">
        <w:rPr>
          <w:szCs w:val="22"/>
        </w:rPr>
        <w:t>acquire t</w:t>
      </w:r>
      <w:r>
        <w:rPr>
          <w:szCs w:val="22"/>
        </w:rPr>
        <w:t>he</w:t>
      </w:r>
      <w:r w:rsidRPr="00C1059B">
        <w:rPr>
          <w:szCs w:val="22"/>
        </w:rPr>
        <w:t xml:space="preserve"> RDOF </w:t>
      </w:r>
      <w:r>
        <w:rPr>
          <w:szCs w:val="22"/>
        </w:rPr>
        <w:t xml:space="preserve">obligations and support </w:t>
      </w:r>
      <w:r w:rsidRPr="00C1059B">
        <w:rPr>
          <w:szCs w:val="22"/>
        </w:rPr>
        <w:t>for the</w:t>
      </w:r>
      <w:r>
        <w:rPr>
          <w:szCs w:val="22"/>
        </w:rPr>
        <w:t xml:space="preserve"> </w:t>
      </w:r>
      <w:r w:rsidRPr="00C1059B">
        <w:rPr>
          <w:szCs w:val="22"/>
        </w:rPr>
        <w:t>Assigned Census Blocks in</w:t>
      </w:r>
      <w:r>
        <w:rPr>
          <w:szCs w:val="22"/>
        </w:rPr>
        <w:t xml:space="preserve"> </w:t>
      </w:r>
      <w:r w:rsidRPr="00C1059B">
        <w:rPr>
          <w:szCs w:val="22"/>
        </w:rPr>
        <w:t>Alabama.</w:t>
      </w:r>
      <w:r>
        <w:rPr>
          <w:rStyle w:val="FootnoteReference"/>
          <w:szCs w:val="22"/>
        </w:rPr>
        <w:footnoteReference w:id="17"/>
      </w:r>
      <w:r w:rsidRPr="00C1059B">
        <w:rPr>
          <w:szCs w:val="22"/>
        </w:rPr>
        <w:t xml:space="preserve"> </w:t>
      </w:r>
      <w:r>
        <w:rPr>
          <w:szCs w:val="22"/>
        </w:rPr>
        <w:t xml:space="preserve"> Applicants state that regarding the Assigned Census Blocks, “Yellowhammer will receive all of the RDOF support </w:t>
      </w:r>
      <w:r>
        <w:rPr>
          <w:szCs w:val="22"/>
        </w:rPr>
        <w:t>BroadLife</w:t>
      </w:r>
      <w:r>
        <w:rPr>
          <w:szCs w:val="22"/>
        </w:rPr>
        <w:t xml:space="preserve"> has received </w:t>
      </w:r>
      <w:r>
        <w:rPr>
          <w:szCs w:val="22"/>
        </w:rPr>
        <w:t xml:space="preserve">as of the closing, net of RDOF support equal to the amount of state and federal income tax owed on the RDOF support received by </w:t>
      </w:r>
      <w:r>
        <w:rPr>
          <w:szCs w:val="22"/>
        </w:rPr>
        <w:t>BroadLife</w:t>
      </w:r>
      <w:r>
        <w:rPr>
          <w:szCs w:val="22"/>
        </w:rPr>
        <w:t xml:space="preserve"> in 2022, and monthly support thereafter.”</w:t>
      </w:r>
      <w:r>
        <w:rPr>
          <w:rStyle w:val="FootnoteReference"/>
          <w:szCs w:val="22"/>
        </w:rPr>
        <w:footnoteReference w:id="18"/>
      </w:r>
    </w:p>
    <w:p w:rsidR="00A94F6C" w:rsidP="00A94F6C" w14:paraId="43F942EB" w14:textId="77777777">
      <w:pPr>
        <w:spacing w:after="120"/>
        <w:ind w:firstLine="720"/>
        <w:rPr>
          <w:rFonts w:eastAsia="Calibri"/>
          <w:bCs/>
          <w:szCs w:val="22"/>
        </w:rPr>
      </w:pPr>
      <w:r w:rsidRPr="00F6709B">
        <w:rPr>
          <w:rFonts w:eastAsia="Calibri"/>
          <w:bCs/>
          <w:szCs w:val="22"/>
        </w:rPr>
        <w:t>Applicants assert that the proposed transaction would serve the public interest, convenience, and necessity.</w:t>
      </w:r>
      <w:r>
        <w:rPr>
          <w:rFonts w:eastAsia="Calibri"/>
          <w:bCs/>
          <w:szCs w:val="22"/>
          <w:vertAlign w:val="superscript"/>
        </w:rPr>
        <w:footnoteReference w:id="19"/>
      </w:r>
      <w:r w:rsidRPr="00F6709B">
        <w:rPr>
          <w:rFonts w:eastAsia="Calibri"/>
          <w:bCs/>
          <w:szCs w:val="22"/>
        </w:rPr>
        <w:t xml:space="preserve">  </w:t>
      </w:r>
      <w:r>
        <w:rPr>
          <w:rFonts w:eastAsia="Calibri"/>
          <w:bCs/>
          <w:szCs w:val="22"/>
        </w:rPr>
        <w:t>Applicants state that “</w:t>
      </w:r>
      <w:r>
        <w:rPr>
          <w:rFonts w:eastAsia="Calibri"/>
          <w:bCs/>
          <w:szCs w:val="22"/>
        </w:rPr>
        <w:t>BroadLife</w:t>
      </w:r>
      <w:r>
        <w:rPr>
          <w:rFonts w:eastAsia="Calibri"/>
          <w:bCs/>
          <w:szCs w:val="22"/>
        </w:rPr>
        <w:t xml:space="preserve"> has determined that, due to unanticipated changes to its business circumstances in Alabama, it will be unable to assume the costs and obligations of the RDOF program.”</w:t>
      </w:r>
      <w:r>
        <w:rPr>
          <w:rStyle w:val="FootnoteReference"/>
          <w:rFonts w:eastAsia="Calibri"/>
          <w:bCs/>
          <w:szCs w:val="22"/>
        </w:rPr>
        <w:footnoteReference w:id="20"/>
      </w:r>
      <w:r>
        <w:rPr>
          <w:rFonts w:eastAsia="Calibri"/>
          <w:bCs/>
          <w:szCs w:val="22"/>
        </w:rPr>
        <w:t xml:space="preserve">  Applicants state that “with the financial, managerial, and technical resources and operational efficiencies Yellowhammer offers, especially in the context of the larger Western Alabama fiber network Meridiam will deploy, consumers will be able to receive RDOF services in the Assigned Census Blocks more quickly than if </w:t>
      </w:r>
      <w:r>
        <w:rPr>
          <w:rFonts w:eastAsia="Calibri"/>
          <w:bCs/>
          <w:szCs w:val="22"/>
        </w:rPr>
        <w:t>BroadLife</w:t>
      </w:r>
      <w:r>
        <w:rPr>
          <w:rFonts w:eastAsia="Calibri"/>
          <w:bCs/>
          <w:szCs w:val="22"/>
        </w:rPr>
        <w:t xml:space="preserve"> were inclined to move forward.”</w:t>
      </w:r>
      <w:r>
        <w:rPr>
          <w:rStyle w:val="FootnoteReference"/>
          <w:rFonts w:eastAsia="Calibri"/>
          <w:bCs/>
          <w:szCs w:val="22"/>
        </w:rPr>
        <w:footnoteReference w:id="21"/>
      </w:r>
      <w:r>
        <w:rPr>
          <w:rFonts w:eastAsia="Calibri"/>
          <w:bCs/>
          <w:szCs w:val="22"/>
        </w:rPr>
        <w:t xml:space="preserve">  Applicants contend that “Yellowhammer can leverage its financial resources, infrastructure experience, and operational capabilities to rapidly and cost-effectively build out the Assigned Census Blocks as it expands its broadband operations.”</w:t>
      </w:r>
      <w:r>
        <w:rPr>
          <w:rStyle w:val="FootnoteReference"/>
          <w:rFonts w:eastAsia="Calibri"/>
          <w:bCs/>
          <w:szCs w:val="22"/>
        </w:rPr>
        <w:footnoteReference w:id="22"/>
      </w:r>
      <w:r>
        <w:rPr>
          <w:rFonts w:eastAsia="Calibri"/>
          <w:bCs/>
          <w:szCs w:val="22"/>
        </w:rPr>
        <w:t xml:space="preserve">  Applicants state that Yellowhammer has “set aside dedicated capital to fund the costs of deploying these network facilities to provide RDOF capable service in the Assigned Census Blocks and does not at this time anticipate the need to borrow money or incur debt in order to meet the milestone and performance standards in the Assigned Census Blocks.”</w:t>
      </w:r>
      <w:r>
        <w:rPr>
          <w:rStyle w:val="FootnoteReference"/>
          <w:rFonts w:eastAsia="Calibri"/>
          <w:bCs/>
          <w:szCs w:val="22"/>
        </w:rPr>
        <w:footnoteReference w:id="23"/>
      </w:r>
      <w:r>
        <w:rPr>
          <w:rFonts w:eastAsia="Calibri"/>
          <w:bCs/>
          <w:szCs w:val="22"/>
        </w:rPr>
        <w:t xml:space="preserve">  Applicants further state that Yellowhammer will meet </w:t>
      </w:r>
      <w:r>
        <w:rPr>
          <w:rFonts w:eastAsia="Calibri"/>
          <w:bCs/>
          <w:szCs w:val="22"/>
        </w:rPr>
        <w:t>BroadLife’s</w:t>
      </w:r>
      <w:r>
        <w:rPr>
          <w:rFonts w:eastAsia="Calibri"/>
          <w:bCs/>
          <w:szCs w:val="22"/>
        </w:rPr>
        <w:t xml:space="preserve"> RDOF buildout milestones and RDOF obligations as well as Yellowhammer’s ETC obligations.</w:t>
      </w:r>
      <w:r>
        <w:rPr>
          <w:rStyle w:val="FootnoteReference"/>
          <w:rFonts w:eastAsia="Calibri"/>
          <w:bCs/>
          <w:szCs w:val="22"/>
        </w:rPr>
        <w:footnoteReference w:id="24"/>
      </w:r>
      <w:r>
        <w:rPr>
          <w:rFonts w:eastAsia="Calibri"/>
          <w:szCs w:val="22"/>
        </w:rPr>
        <w:t xml:space="preserve">  </w:t>
      </w:r>
      <w:r w:rsidRPr="008B10F8">
        <w:rPr>
          <w:rFonts w:eastAsia="Calibri"/>
          <w:szCs w:val="22"/>
        </w:rPr>
        <w:t>Applicants further maintain that the proposed transaction will not adversely affect competition.</w:t>
      </w:r>
      <w:r>
        <w:rPr>
          <w:rFonts w:eastAsia="Calibri"/>
          <w:szCs w:val="22"/>
          <w:vertAlign w:val="superscript"/>
        </w:rPr>
        <w:footnoteReference w:id="25"/>
      </w:r>
      <w:r w:rsidRPr="008B10F8">
        <w:rPr>
          <w:rFonts w:eastAsia="Calibri"/>
          <w:szCs w:val="22"/>
        </w:rPr>
        <w:t xml:space="preserve"> </w:t>
      </w:r>
    </w:p>
    <w:p w:rsidR="00A94F6C" w:rsidRPr="00F6162F" w:rsidP="00A94F6C" w14:paraId="4C8916D3" w14:textId="77777777">
      <w:pPr>
        <w:autoSpaceDE w:val="0"/>
        <w:autoSpaceDN w:val="0"/>
        <w:adjustRightInd w:val="0"/>
        <w:spacing w:after="120"/>
        <w:ind w:firstLine="720"/>
        <w:rPr>
          <w:kern w:val="28"/>
        </w:rPr>
      </w:pPr>
      <w:r w:rsidRPr="00F6162F">
        <w:rPr>
          <w:snapToGrid w:val="0"/>
          <w:color w:val="000000"/>
          <w:kern w:val="28"/>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F6162F">
        <w:rPr>
          <w:bCs/>
          <w:snapToGrid w:val="0"/>
          <w:kern w:val="28"/>
          <w:szCs w:val="22"/>
        </w:rPr>
        <w:t>.</w:t>
      </w:r>
      <w:r>
        <w:rPr>
          <w:bCs/>
          <w:snapToGrid w:val="0"/>
          <w:kern w:val="28"/>
          <w:szCs w:val="22"/>
          <w:vertAlign w:val="superscript"/>
        </w:rPr>
        <w:footnoteReference w:id="26"/>
      </w:r>
    </w:p>
    <w:p w:rsidR="00A94F6C" w:rsidRPr="00F6162F" w:rsidP="00A94F6C" w14:paraId="423D743E" w14:textId="77777777">
      <w:pPr>
        <w:ind w:left="720"/>
        <w:rPr>
          <w:szCs w:val="22"/>
        </w:rPr>
      </w:pPr>
      <w:r w:rsidRPr="00F6162F">
        <w:rPr>
          <w:szCs w:val="22"/>
        </w:rPr>
        <w:t xml:space="preserve">Domestic Section 214 Application Filed for the Transfer of Control of Certain Authorizations of </w:t>
      </w:r>
      <w:r w:rsidRPr="009C1E9B">
        <w:rPr>
          <w:szCs w:val="22"/>
        </w:rPr>
        <w:t>Broad</w:t>
      </w:r>
      <w:r>
        <w:rPr>
          <w:szCs w:val="22"/>
        </w:rPr>
        <w:t>L</w:t>
      </w:r>
      <w:r w:rsidRPr="009C1E9B">
        <w:rPr>
          <w:szCs w:val="22"/>
        </w:rPr>
        <w:t>ife</w:t>
      </w:r>
      <w:r w:rsidRPr="009C1E9B">
        <w:rPr>
          <w:szCs w:val="22"/>
        </w:rPr>
        <w:t xml:space="preserve"> Communications, Inc. </w:t>
      </w:r>
      <w:r>
        <w:rPr>
          <w:szCs w:val="22"/>
        </w:rPr>
        <w:t>To</w:t>
      </w:r>
      <w:r w:rsidRPr="009C1E9B">
        <w:rPr>
          <w:szCs w:val="22"/>
        </w:rPr>
        <w:t xml:space="preserve"> Yellowhammer Networks, L</w:t>
      </w:r>
      <w:r>
        <w:rPr>
          <w:szCs w:val="22"/>
        </w:rPr>
        <w:t>LC</w:t>
      </w:r>
    </w:p>
    <w:p w:rsidR="00A94F6C" w:rsidRPr="00F6162F" w:rsidP="00A94F6C" w14:paraId="4AA15553" w14:textId="77777777">
      <w:pPr>
        <w:spacing w:after="120"/>
        <w:ind w:left="720"/>
        <w:rPr>
          <w:szCs w:val="22"/>
        </w:rPr>
      </w:pPr>
      <w:r w:rsidRPr="00F6162F">
        <w:rPr>
          <w:szCs w:val="22"/>
        </w:rPr>
        <w:t>WC Docket No. 2</w:t>
      </w:r>
      <w:r>
        <w:rPr>
          <w:szCs w:val="22"/>
        </w:rPr>
        <w:t>3</w:t>
      </w:r>
      <w:r w:rsidRPr="00F6162F">
        <w:rPr>
          <w:szCs w:val="22"/>
        </w:rPr>
        <w:t>-</w:t>
      </w:r>
      <w:r>
        <w:rPr>
          <w:szCs w:val="22"/>
        </w:rPr>
        <w:t>2</w:t>
      </w:r>
      <w:r w:rsidRPr="00F6162F">
        <w:rPr>
          <w:szCs w:val="22"/>
        </w:rPr>
        <w:t xml:space="preserve">3 (filed </w:t>
      </w:r>
      <w:r>
        <w:rPr>
          <w:szCs w:val="22"/>
        </w:rPr>
        <w:t>Jan.</w:t>
      </w:r>
      <w:r w:rsidRPr="00F6162F">
        <w:rPr>
          <w:szCs w:val="22"/>
        </w:rPr>
        <w:t xml:space="preserve"> 1</w:t>
      </w:r>
      <w:r>
        <w:rPr>
          <w:szCs w:val="22"/>
        </w:rPr>
        <w:t>3</w:t>
      </w:r>
      <w:r w:rsidRPr="00F6162F">
        <w:rPr>
          <w:szCs w:val="22"/>
        </w:rPr>
        <w:t>, 202</w:t>
      </w:r>
      <w:r>
        <w:rPr>
          <w:szCs w:val="22"/>
        </w:rPr>
        <w:t>3</w:t>
      </w:r>
      <w:r w:rsidRPr="00F6162F">
        <w:rPr>
          <w:szCs w:val="22"/>
        </w:rPr>
        <w:t>).</w:t>
      </w:r>
    </w:p>
    <w:p w:rsidR="00A94F6C" w:rsidP="00A94F6C" w14:paraId="2A533316" w14:textId="77777777">
      <w:pPr>
        <w:autoSpaceDE w:val="0"/>
        <w:autoSpaceDN w:val="0"/>
        <w:adjustRightInd w:val="0"/>
        <w:rPr>
          <w:b/>
          <w:szCs w:val="22"/>
          <w:u w:val="single"/>
        </w:rPr>
      </w:pPr>
      <w:bookmarkStart w:id="6" w:name="_Hlk91058179"/>
      <w:r>
        <w:rPr>
          <w:b/>
          <w:szCs w:val="22"/>
          <w:u w:val="single"/>
        </w:rPr>
        <w:t>ETC Petition</w:t>
      </w:r>
    </w:p>
    <w:p w:rsidR="00A94F6C" w:rsidRPr="00F6162F" w:rsidP="00A94F6C" w14:paraId="54DB95FA" w14:textId="77777777">
      <w:pPr>
        <w:autoSpaceDE w:val="0"/>
        <w:autoSpaceDN w:val="0"/>
        <w:adjustRightInd w:val="0"/>
        <w:rPr>
          <w:b/>
          <w:szCs w:val="22"/>
          <w:u w:val="single"/>
        </w:rPr>
      </w:pPr>
    </w:p>
    <w:p w:rsidR="00A94F6C" w:rsidP="00A94F6C" w14:paraId="07158080" w14:textId="77777777">
      <w:pPr>
        <w:pStyle w:val="ParaNum0"/>
        <w:numPr>
          <w:ilvl w:val="0"/>
          <w:numId w:val="0"/>
        </w:numPr>
        <w:tabs>
          <w:tab w:val="left" w:pos="720"/>
        </w:tabs>
        <w:ind w:firstLine="720"/>
        <w:rPr>
          <w:szCs w:val="22"/>
        </w:rPr>
      </w:pPr>
      <w:r>
        <w:rPr>
          <w:szCs w:val="22"/>
        </w:rPr>
        <w:t>Yellowhammer seeks ETC designation for the purpose of becoming eligible to receive the RDOF support associated with the Assigned Census Blocks in Alabama pursuant to Commission approval and consummation of the transaction described in the Application.</w:t>
      </w:r>
      <w:r>
        <w:rPr>
          <w:rStyle w:val="FootnoteReference"/>
        </w:rPr>
        <w:footnoteReference w:id="27"/>
      </w:r>
      <w:r>
        <w:rPr>
          <w:szCs w:val="22"/>
        </w:rPr>
        <w:t xml:space="preserve">  The Commission has</w:t>
      </w:r>
      <w:r>
        <w:rPr>
          <w:kern w:val="0"/>
          <w:szCs w:val="22"/>
        </w:rPr>
        <w:t xml:space="preserve"> authorized </w:t>
      </w:r>
      <w:r>
        <w:rPr>
          <w:kern w:val="0"/>
          <w:szCs w:val="22"/>
        </w:rPr>
        <w:t>BroadLife</w:t>
      </w:r>
      <w:r>
        <w:rPr>
          <w:kern w:val="0"/>
          <w:szCs w:val="22"/>
        </w:rPr>
        <w:t xml:space="preserve"> to receive $26,461,542.00 in RDOF support to serve 7,483 locations within the Assigned Census Blocks.</w:t>
      </w:r>
      <w:r>
        <w:rPr>
          <w:rStyle w:val="FootnoteReference"/>
          <w:szCs w:val="22"/>
        </w:rPr>
        <w:footnoteReference w:id="28"/>
      </w:r>
      <w:r>
        <w:rPr>
          <w:kern w:val="0"/>
          <w:szCs w:val="22"/>
        </w:rPr>
        <w:t xml:space="preserve">  </w:t>
      </w:r>
      <w:r>
        <w:rPr>
          <w:szCs w:val="22"/>
        </w:rPr>
        <w:t xml:space="preserve">Accordingly, Yellowhammer’s ETC designation for the purpose of receiving RDOF support will be conditioned upon approval of the Application and authorization to receive the associated support.  </w:t>
      </w:r>
    </w:p>
    <w:p w:rsidR="00A94F6C" w:rsidP="00A94F6C" w14:paraId="5EEF5875" w14:textId="77777777">
      <w:pPr>
        <w:pStyle w:val="ParaNum0"/>
        <w:widowControl/>
        <w:numPr>
          <w:ilvl w:val="0"/>
          <w:numId w:val="0"/>
        </w:numPr>
        <w:tabs>
          <w:tab w:val="left" w:pos="720"/>
        </w:tabs>
        <w:rPr>
          <w:szCs w:val="22"/>
        </w:rPr>
      </w:pPr>
      <w:r>
        <w:tab/>
        <w:t>ETC designation is a prerequisite to receiving universal service support available through the high-cost and Lifeline programs.</w:t>
      </w:r>
      <w:r>
        <w:rPr>
          <w:rStyle w:val="FootnoteReference"/>
        </w:rPr>
        <w:footnoteReference w:id="29"/>
      </w:r>
      <w:r>
        <w:t xml:space="preserve">  </w:t>
      </w:r>
      <w:r>
        <w:rPr>
          <w:szCs w:val="22"/>
        </w:rPr>
        <w:t xml:space="preserve">To receive an ETC designation, a petitioner </w:t>
      </w:r>
      <w:r>
        <w:t>must, in addition to meeting high-cost program requirements and other related obligations as specified below, offer the Lifeline discount on all qualifying services in areas where it receives high-cost support, deploy a network capable of delivering service that meets the Lifeline program’s minimum service standards, and commercially offer such service pursuant to its high-cost obligations.</w:t>
      </w:r>
      <w:r>
        <w:rPr>
          <w:rStyle w:val="FootnoteReference"/>
        </w:rPr>
        <w:footnoteReference w:id="30"/>
      </w:r>
      <w:r>
        <w:t xml:space="preserve"> </w:t>
      </w:r>
    </w:p>
    <w:p w:rsidR="00A94F6C" w:rsidRPr="00732BB4" w:rsidP="00A94F6C" w14:paraId="1F2175EB" w14:textId="77777777">
      <w:pPr>
        <w:pStyle w:val="ParaNum0"/>
        <w:keepNext/>
        <w:numPr>
          <w:ilvl w:val="0"/>
          <w:numId w:val="0"/>
        </w:numPr>
        <w:tabs>
          <w:tab w:val="left" w:pos="720"/>
        </w:tabs>
        <w:rPr>
          <w:b/>
          <w:bCs/>
          <w:u w:val="single"/>
        </w:rPr>
      </w:pPr>
      <w:r w:rsidRPr="00732BB4">
        <w:rPr>
          <w:b/>
          <w:bCs/>
          <w:u w:val="single"/>
        </w:rPr>
        <w:t>Requirements for FCC ETC Designation</w:t>
      </w:r>
    </w:p>
    <w:p w:rsidR="00A94F6C" w:rsidP="00A94F6C" w14:paraId="61B5840C" w14:textId="77777777">
      <w:pPr>
        <w:pStyle w:val="ParaNum0"/>
        <w:numPr>
          <w:ilvl w:val="0"/>
          <w:numId w:val="0"/>
        </w:numPr>
        <w:tabs>
          <w:tab w:val="left" w:pos="720"/>
        </w:tabs>
        <w:ind w:firstLine="720"/>
      </w:pPr>
      <w:r>
        <w:t>Section 254(e) of the Communications Act of 1934, as amended (the Act), provides that “only an eligible telecommunications carrier designated under section 214(e) shall be eligible to receive specific federal universal service support.”</w:t>
      </w:r>
      <w:r>
        <w:rPr>
          <w:rStyle w:val="FootnoteReference"/>
        </w:rPr>
        <w:footnoteReference w:id="31"/>
      </w:r>
      <w:r>
        <w:t xml:space="preserve">  Congress gives primary authority for ETC designations to state commissions.</w:t>
      </w:r>
      <w:r>
        <w:rPr>
          <w:rStyle w:val="FootnoteReference"/>
        </w:rPr>
        <w:footnoteReference w:id="32"/>
      </w:r>
      <w:r>
        <w:t xml:space="preserve">  The Commission has authority only when “a common carrier [is] providing telephone exchange service and exchange access that is not subject to the jurisdiction of a State commission.”</w:t>
      </w:r>
      <w:r>
        <w:rPr>
          <w:rStyle w:val="FootnoteReference"/>
        </w:rPr>
        <w:footnoteReference w:id="33"/>
      </w:r>
      <w:r>
        <w:t xml:space="preserve">  The petitioner for ETC designation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34"/>
      </w:r>
      <w:r>
        <w:t xml:space="preserve">  The Commission has delegated authority to the Bureau to consider appropriate ETC designation requests.</w:t>
      </w:r>
      <w:r>
        <w:rPr>
          <w:rStyle w:val="FootnoteReference"/>
        </w:rPr>
        <w:footnoteReference w:id="35"/>
      </w:r>
    </w:p>
    <w:p w:rsidR="00A94F6C" w:rsidP="00A94F6C" w14:paraId="0B97ABBC" w14:textId="77777777">
      <w:pPr>
        <w:pStyle w:val="ParaNum0"/>
        <w:numPr>
          <w:ilvl w:val="0"/>
          <w:numId w:val="0"/>
        </w:numPr>
        <w:tabs>
          <w:tab w:val="left" w:pos="720"/>
        </w:tabs>
        <w:ind w:firstLine="720"/>
      </w:pPr>
      <w:r>
        <w:t>A petition for ETC designation by the Commission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36"/>
      </w:r>
      <w:r>
        <w:t xml:space="preserve"> (3) a description of how the petitioner advertises the availability of the supported services and the charges therefor using media of general distribution;</w:t>
      </w:r>
      <w:r>
        <w:rPr>
          <w:rStyle w:val="FootnoteReference"/>
        </w:rPr>
        <w:footnoteReference w:id="37"/>
      </w:r>
      <w:r>
        <w:t xml:space="preserve"> (4) a detailed description of the geographic service area for which the petitioner requests to be designated as an ETC;</w:t>
      </w:r>
      <w:r>
        <w:rPr>
          <w:rStyle w:val="FootnoteReference"/>
        </w:rPr>
        <w:footnoteReference w:id="38"/>
      </w:r>
      <w:r>
        <w:t xml:space="preserve"> and (5) a certification that neither the petitioner nor any party to the application is subject to a denial of federal benefits pursuant to the Anti-Drug Abuse Act of 1988.</w:t>
      </w:r>
      <w:r>
        <w:rPr>
          <w:rStyle w:val="FootnoteReference"/>
        </w:rPr>
        <w:footnoteReference w:id="39"/>
      </w:r>
      <w:r>
        <w:t xml:space="preserve"> </w:t>
      </w:r>
    </w:p>
    <w:p w:rsidR="00A94F6C" w:rsidP="00A94F6C" w14:paraId="54A409F0" w14:textId="77777777">
      <w:pPr>
        <w:pStyle w:val="ParaNum0"/>
        <w:widowControl/>
        <w:numPr>
          <w:ilvl w:val="0"/>
          <w:numId w:val="0"/>
        </w:numPr>
        <w:tabs>
          <w:tab w:val="left" w:pos="720"/>
        </w:tabs>
        <w:ind w:firstLine="720"/>
      </w:pPr>
      <w:r>
        <w:t>In addition, a petitioner must demonstrate its ability to meet certain service standards.  A petitioner seeking an ETC designation for purposes of becoming eligible to receive RDOF support must: (1) certify that it will comply with the service requirements applicable to the support that it receives; (2) demonstrate its ability to remain functional in emergency situations; and (3) demonstrate its ability to satisfy applicable consumer protection and service quality standards.</w:t>
      </w:r>
      <w:r>
        <w:rPr>
          <w:rStyle w:val="FootnoteReference"/>
        </w:rPr>
        <w:footnoteReference w:id="40"/>
      </w:r>
      <w:r>
        <w:t xml:space="preserve">  Further, prior to designating a petitioner as an ETC pursuant to section 214(e)(6) of the Act, the Commission must determine whether such designation is in the public interest.</w:t>
      </w:r>
      <w:r>
        <w:rPr>
          <w:rStyle w:val="FootnoteReference"/>
        </w:rPr>
        <w:footnoteReference w:id="41"/>
      </w:r>
      <w:r>
        <w:t xml:space="preserve">  </w:t>
      </w:r>
    </w:p>
    <w:p w:rsidR="00A94F6C" w:rsidRPr="00F6162F" w:rsidP="00A94F6C" w14:paraId="341E1055" w14:textId="77777777">
      <w:pPr>
        <w:autoSpaceDE w:val="0"/>
        <w:autoSpaceDN w:val="0"/>
        <w:adjustRightInd w:val="0"/>
        <w:rPr>
          <w:szCs w:val="22"/>
        </w:rPr>
      </w:pPr>
      <w:r w:rsidRPr="00F6162F">
        <w:rPr>
          <w:b/>
          <w:szCs w:val="22"/>
          <w:u w:val="single"/>
        </w:rPr>
        <w:t>G</w:t>
      </w:r>
      <w:r>
        <w:rPr>
          <w:b/>
          <w:szCs w:val="22"/>
          <w:u w:val="single"/>
        </w:rPr>
        <w:t>eneral</w:t>
      </w:r>
      <w:r w:rsidRPr="00F6162F">
        <w:rPr>
          <w:b/>
          <w:szCs w:val="22"/>
          <w:u w:val="single"/>
        </w:rPr>
        <w:t xml:space="preserve"> I</w:t>
      </w:r>
      <w:r>
        <w:rPr>
          <w:b/>
          <w:szCs w:val="22"/>
          <w:u w:val="single"/>
        </w:rPr>
        <w:t>nformation</w:t>
      </w:r>
    </w:p>
    <w:p w:rsidR="00A94F6C" w:rsidRPr="00F6162F" w:rsidP="00A94F6C" w14:paraId="0065660C" w14:textId="77777777">
      <w:pPr>
        <w:autoSpaceDE w:val="0"/>
        <w:autoSpaceDN w:val="0"/>
        <w:adjustRightInd w:val="0"/>
        <w:rPr>
          <w:szCs w:val="22"/>
        </w:rPr>
      </w:pPr>
    </w:p>
    <w:p w:rsidR="00A94F6C" w:rsidRPr="00F6162F" w:rsidP="00A94F6C" w14:paraId="4D0893AE" w14:textId="77777777">
      <w:pPr>
        <w:autoSpaceDE w:val="0"/>
        <w:autoSpaceDN w:val="0"/>
        <w:adjustRightInd w:val="0"/>
        <w:spacing w:after="120"/>
        <w:ind w:firstLine="720"/>
        <w:rPr>
          <w:szCs w:val="22"/>
        </w:rPr>
      </w:pPr>
      <w:r w:rsidRPr="00F6162F">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94F6C" w:rsidP="00A94F6C" w14:paraId="5D165254" w14:textId="77777777">
      <w:pPr>
        <w:pStyle w:val="ParaNum0"/>
        <w:numPr>
          <w:ilvl w:val="0"/>
          <w:numId w:val="0"/>
        </w:numPr>
        <w:tabs>
          <w:tab w:val="left" w:pos="720"/>
        </w:tabs>
        <w:ind w:left="720"/>
        <w:jc w:val="both"/>
      </w:pPr>
      <w:r w:rsidRPr="00F6162F">
        <w:rPr>
          <w:szCs w:val="22"/>
        </w:rPr>
        <w:t>Interested parties fil</w:t>
      </w:r>
      <w:r>
        <w:rPr>
          <w:szCs w:val="22"/>
        </w:rPr>
        <w:t>ing</w:t>
      </w:r>
      <w:r w:rsidRPr="00F6162F">
        <w:rPr>
          <w:szCs w:val="22"/>
        </w:rPr>
        <w:t xml:space="preserve"> comments </w:t>
      </w:r>
      <w:r>
        <w:rPr>
          <w:szCs w:val="22"/>
        </w:rPr>
        <w:t xml:space="preserve">on the transfer of control application </w:t>
      </w:r>
      <w:r>
        <w:t xml:space="preserve">must reference </w:t>
      </w:r>
      <w:r>
        <w:rPr>
          <w:b/>
          <w:bCs/>
        </w:rPr>
        <w:t xml:space="preserve">WC Docket No. 23-23. </w:t>
      </w:r>
      <w:r>
        <w:rPr>
          <w:szCs w:val="22"/>
        </w:rPr>
        <w:t xml:space="preserve"> </w:t>
      </w:r>
      <w:r>
        <w:t xml:space="preserve">All pleadings for the ETC Petition </w:t>
      </w:r>
      <w:bookmarkStart w:id="7" w:name="_Hlk131598830"/>
      <w:r>
        <w:t xml:space="preserve">must reference </w:t>
      </w:r>
      <w:r>
        <w:rPr>
          <w:b/>
          <w:bCs/>
        </w:rPr>
        <w:t>WC Docket Nos. 09-197</w:t>
      </w:r>
      <w:r>
        <w:rPr>
          <w:szCs w:val="22"/>
        </w:rPr>
        <w:t xml:space="preserve"> </w:t>
      </w:r>
      <w:bookmarkEnd w:id="7"/>
      <w:r>
        <w:rPr>
          <w:szCs w:val="22"/>
        </w:rPr>
        <w:t xml:space="preserve">and </w:t>
      </w:r>
      <w:r>
        <w:rPr>
          <w:b/>
          <w:bCs/>
          <w:szCs w:val="22"/>
        </w:rPr>
        <w:t>23-23</w:t>
      </w:r>
      <w:r>
        <w:rPr>
          <w:szCs w:val="22"/>
        </w:rPr>
        <w:t>.</w:t>
      </w:r>
      <w:r>
        <w:rPr>
          <w:b/>
          <w:bCs/>
        </w:rPr>
        <w:t xml:space="preserve">  </w:t>
      </w:r>
    </w:p>
    <w:p w:rsidR="00A94F6C" w:rsidRPr="00F6162F" w:rsidP="00A94F6C" w14:paraId="3C6139C1" w14:textId="77777777">
      <w:pPr>
        <w:autoSpaceDE w:val="0"/>
        <w:autoSpaceDN w:val="0"/>
        <w:adjustRightInd w:val="0"/>
        <w:spacing w:after="120"/>
        <w:ind w:left="720"/>
      </w:pPr>
      <w:r>
        <w:t xml:space="preserve">Comments must be filed </w:t>
      </w:r>
      <w:r w:rsidRPr="23FB2AC6">
        <w:rPr>
          <w:b/>
          <w:bCs/>
        </w:rPr>
        <w:t>on or before April 21, 2023,</w:t>
      </w:r>
      <w:r>
        <w:t xml:space="preserve"> and reply comments </w:t>
      </w:r>
      <w:r w:rsidRPr="23FB2AC6">
        <w:rPr>
          <w:b/>
          <w:bCs/>
        </w:rPr>
        <w:t>on or before April 28, 2023.</w:t>
      </w:r>
      <w:r>
        <w:t xml:space="preserve">  Comments may be filed using the Commission’s Electronic Comment Filing System (ECFS) or by paper.  </w:t>
      </w:r>
    </w:p>
    <w:p w:rsidR="00A94F6C" w:rsidRPr="00F6162F" w:rsidP="00A94F6C" w14:paraId="78F187C3" w14:textId="77777777">
      <w:pPr>
        <w:widowControl w:val="0"/>
        <w:numPr>
          <w:ilvl w:val="0"/>
          <w:numId w:val="20"/>
        </w:numPr>
        <w:autoSpaceDE w:val="0"/>
        <w:autoSpaceDN w:val="0"/>
        <w:adjustRightInd w:val="0"/>
        <w:spacing w:after="120"/>
        <w:rPr>
          <w:szCs w:val="22"/>
        </w:rPr>
      </w:pPr>
      <w:r w:rsidRPr="00F6162F">
        <w:rPr>
          <w:szCs w:val="22"/>
        </w:rPr>
        <w:t>Electronic Filers:  Comments may be filed electronically by accessing ECFS at </w:t>
      </w:r>
      <w:hyperlink r:id="rId8" w:history="1">
        <w:r w:rsidRPr="00F6162F">
          <w:rPr>
            <w:color w:val="0000FF"/>
            <w:szCs w:val="22"/>
            <w:u w:val="single"/>
          </w:rPr>
          <w:t>https://apps.fcc.gov/ecfs/</w:t>
        </w:r>
      </w:hyperlink>
      <w:r w:rsidRPr="00F6162F">
        <w:rPr>
          <w:szCs w:val="22"/>
        </w:rPr>
        <w:t>.</w:t>
      </w:r>
    </w:p>
    <w:p w:rsidR="00A94F6C" w:rsidRPr="00F6162F" w:rsidP="00A94F6C" w14:paraId="64F23E32" w14:textId="77777777">
      <w:pPr>
        <w:widowControl w:val="0"/>
        <w:numPr>
          <w:ilvl w:val="0"/>
          <w:numId w:val="21"/>
        </w:numPr>
        <w:autoSpaceDE w:val="0"/>
        <w:autoSpaceDN w:val="0"/>
        <w:adjustRightInd w:val="0"/>
        <w:spacing w:after="120"/>
        <w:rPr>
          <w:szCs w:val="22"/>
        </w:rPr>
      </w:pPr>
      <w:r w:rsidRPr="00F6162F">
        <w:rPr>
          <w:i/>
          <w:iCs/>
          <w:szCs w:val="22"/>
        </w:rPr>
        <w:t>Paper Filers</w:t>
      </w:r>
      <w:r w:rsidRPr="00F6162F">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94F6C" w:rsidRPr="00F6162F" w:rsidP="00A94F6C" w14:paraId="3C48F5D5" w14:textId="77777777">
      <w:pPr>
        <w:widowControl w:val="0"/>
        <w:numPr>
          <w:ilvl w:val="1"/>
          <w:numId w:val="21"/>
        </w:numPr>
        <w:autoSpaceDE w:val="0"/>
        <w:autoSpaceDN w:val="0"/>
        <w:adjustRightInd w:val="0"/>
        <w:spacing w:after="120"/>
        <w:rPr>
          <w:szCs w:val="22"/>
        </w:rPr>
      </w:pPr>
      <w:r w:rsidRPr="00F6162F">
        <w:rPr>
          <w:szCs w:val="22"/>
        </w:rPr>
        <w:t>Filings can be sent by commercial overnight courier or by first-class or overnight U.S. Postal Service mail.</w:t>
      </w:r>
      <w:r>
        <w:rPr>
          <w:szCs w:val="22"/>
          <w:vertAlign w:val="superscript"/>
        </w:rPr>
        <w:footnoteReference w:id="42"/>
      </w:r>
      <w:r w:rsidRPr="00F6162F">
        <w:rPr>
          <w:szCs w:val="22"/>
        </w:rPr>
        <w:t xml:space="preserve">  All filings must be addressed to the Commission’s Secretary, Office of the Secretary, Federal Communications Commission.</w:t>
      </w:r>
    </w:p>
    <w:p w:rsidR="00A94F6C" w:rsidRPr="009C3A13" w:rsidP="00A94F6C" w14:paraId="560BB4E9" w14:textId="77777777">
      <w:pPr>
        <w:widowControl w:val="0"/>
        <w:numPr>
          <w:ilvl w:val="1"/>
          <w:numId w:val="21"/>
        </w:numPr>
        <w:autoSpaceDE w:val="0"/>
        <w:autoSpaceDN w:val="0"/>
        <w:adjustRightInd w:val="0"/>
        <w:spacing w:after="120"/>
        <w:rPr>
          <w:szCs w:val="22"/>
        </w:rPr>
      </w:pPr>
      <w:r w:rsidRPr="00F6162F">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94F6C" w:rsidRPr="00F6162F" w:rsidP="00A94F6C" w14:paraId="1A2821E4" w14:textId="77777777">
      <w:pPr>
        <w:autoSpaceDE w:val="0"/>
        <w:autoSpaceDN w:val="0"/>
        <w:adjustRightInd w:val="0"/>
        <w:spacing w:after="120"/>
        <w:ind w:firstLine="720"/>
        <w:rPr>
          <w:szCs w:val="22"/>
        </w:rPr>
      </w:pPr>
      <w:r w:rsidRPr="00F6162F">
        <w:rPr>
          <w:szCs w:val="22"/>
        </w:rPr>
        <w:t>People with Disabilities:  We ask that requests for accommodations be made as soon as possible in order to allow the agency to satisfy such requests whenever possible.  Send an email to </w:t>
      </w:r>
      <w:hyperlink r:id="rId9" w:tgtFrame="_blank" w:history="1">
        <w:r w:rsidRPr="00F6162F">
          <w:rPr>
            <w:color w:val="0000FF"/>
            <w:szCs w:val="22"/>
            <w:u w:val="single"/>
          </w:rPr>
          <w:t>fcc504@fcc.gov</w:t>
        </w:r>
      </w:hyperlink>
      <w:r w:rsidRPr="00F6162F">
        <w:rPr>
          <w:szCs w:val="22"/>
        </w:rPr>
        <w:t> or call the Consumer and Governmental Affairs Bureau at (202) 418-0530.</w:t>
      </w:r>
    </w:p>
    <w:p w:rsidR="00A94F6C" w:rsidRPr="00F6162F" w:rsidP="00A94F6C" w14:paraId="10A8FA1A" w14:textId="77777777">
      <w:pPr>
        <w:autoSpaceDE w:val="0"/>
        <w:autoSpaceDN w:val="0"/>
        <w:adjustRightInd w:val="0"/>
        <w:spacing w:after="120"/>
        <w:ind w:firstLine="720"/>
        <w:rPr>
          <w:b/>
          <w:szCs w:val="22"/>
        </w:rPr>
      </w:pPr>
      <w:r w:rsidRPr="00F6162F">
        <w:rPr>
          <w:b/>
          <w:szCs w:val="22"/>
        </w:rPr>
        <w:t>In addition, email one copy of each pleading to each of the following:</w:t>
      </w:r>
    </w:p>
    <w:p w:rsidR="00A94F6C" w:rsidRPr="00F6162F" w:rsidP="00A94F6C" w14:paraId="3D8F7BDB" w14:textId="77777777">
      <w:pPr>
        <w:widowControl w:val="0"/>
        <w:numPr>
          <w:ilvl w:val="0"/>
          <w:numId w:val="18"/>
        </w:numPr>
        <w:autoSpaceDE w:val="0"/>
        <w:autoSpaceDN w:val="0"/>
        <w:adjustRightInd w:val="0"/>
        <w:spacing w:after="120"/>
        <w:rPr>
          <w:szCs w:val="22"/>
        </w:rPr>
      </w:pPr>
      <w:r w:rsidRPr="00F6162F">
        <w:rPr>
          <w:szCs w:val="22"/>
        </w:rPr>
        <w:t xml:space="preserve">Myrva Charles, Competition Policy Division, Wireline Competition Bureau, </w:t>
      </w:r>
      <w:hyperlink r:id="rId10" w:history="1">
        <w:r w:rsidRPr="00F6162F">
          <w:rPr>
            <w:color w:val="0000FF"/>
            <w:szCs w:val="22"/>
            <w:u w:val="single"/>
          </w:rPr>
          <w:t>myrva.charles@fcc.gov</w:t>
        </w:r>
      </w:hyperlink>
      <w:r w:rsidRPr="00F6162F">
        <w:rPr>
          <w:szCs w:val="22"/>
        </w:rPr>
        <w:t>;</w:t>
      </w:r>
    </w:p>
    <w:p w:rsidR="00A94F6C" w:rsidP="00A94F6C" w14:paraId="448F542E" w14:textId="77777777">
      <w:pPr>
        <w:numPr>
          <w:ilvl w:val="0"/>
          <w:numId w:val="18"/>
        </w:numPr>
        <w:autoSpaceDE w:val="0"/>
        <w:autoSpaceDN w:val="0"/>
        <w:adjustRightInd w:val="0"/>
        <w:spacing w:after="120"/>
        <w:rPr>
          <w:szCs w:val="22"/>
        </w:rPr>
      </w:pPr>
      <w:r>
        <w:rPr>
          <w:szCs w:val="22"/>
        </w:rPr>
        <w:t>Dennis Johnson</w:t>
      </w:r>
      <w:r w:rsidRPr="00F6162F">
        <w:rPr>
          <w:szCs w:val="22"/>
        </w:rPr>
        <w:t xml:space="preserve">, Competition Policy Division, Wireline Competition Bureau, </w:t>
      </w:r>
      <w:hyperlink r:id="rId11" w:history="1">
        <w:r w:rsidRPr="003518E5">
          <w:rPr>
            <w:rStyle w:val="Hyperlink"/>
            <w:szCs w:val="22"/>
          </w:rPr>
          <w:t>dennis.johnson@fcc.gov</w:t>
        </w:r>
      </w:hyperlink>
      <w:r w:rsidRPr="00F6162F">
        <w:rPr>
          <w:szCs w:val="22"/>
        </w:rPr>
        <w:t xml:space="preserve">; </w:t>
      </w:r>
    </w:p>
    <w:p w:rsidR="00A94F6C" w:rsidRPr="00F6162F" w:rsidP="00A94F6C" w14:paraId="499D3776" w14:textId="77777777">
      <w:pPr>
        <w:widowControl w:val="0"/>
        <w:numPr>
          <w:ilvl w:val="0"/>
          <w:numId w:val="18"/>
        </w:numPr>
        <w:autoSpaceDE w:val="0"/>
        <w:autoSpaceDN w:val="0"/>
        <w:adjustRightInd w:val="0"/>
        <w:spacing w:after="120"/>
        <w:rPr>
          <w:szCs w:val="22"/>
        </w:rPr>
      </w:pPr>
      <w:r>
        <w:rPr>
          <w:snapToGrid w:val="0"/>
        </w:rPr>
        <w:t>Nissa</w:t>
      </w:r>
      <w:r>
        <w:rPr>
          <w:snapToGrid w:val="0"/>
        </w:rPr>
        <w:t xml:space="preserve"> </w:t>
      </w:r>
      <w:r>
        <w:rPr>
          <w:snapToGrid w:val="0"/>
        </w:rPr>
        <w:t>Laughner</w:t>
      </w:r>
      <w:r>
        <w:rPr>
          <w:snapToGrid w:val="0"/>
        </w:rPr>
        <w:t xml:space="preserve">, Telecommunications Access Policy Division, Wireline Competition Bureau, </w:t>
      </w:r>
      <w:hyperlink r:id="rId12" w:history="1">
        <w:r>
          <w:rPr>
            <w:rStyle w:val="Hyperlink"/>
            <w:snapToGrid w:val="0"/>
          </w:rPr>
          <w:t>Nissa.Laughner@fcc.gov</w:t>
        </w:r>
      </w:hyperlink>
      <w:r w:rsidRPr="00F6162F">
        <w:rPr>
          <w:szCs w:val="22"/>
        </w:rPr>
        <w:t xml:space="preserve"> and</w:t>
      </w:r>
    </w:p>
    <w:p w:rsidR="00A94F6C" w:rsidRPr="00F6162F" w:rsidP="00A94F6C" w14:paraId="2F658009" w14:textId="77777777">
      <w:pPr>
        <w:widowControl w:val="0"/>
        <w:numPr>
          <w:ilvl w:val="0"/>
          <w:numId w:val="18"/>
        </w:numPr>
        <w:autoSpaceDE w:val="0"/>
        <w:autoSpaceDN w:val="0"/>
        <w:adjustRightInd w:val="0"/>
        <w:spacing w:after="120"/>
        <w:rPr>
          <w:szCs w:val="22"/>
        </w:rPr>
      </w:pPr>
      <w:r w:rsidRPr="00F6162F">
        <w:rPr>
          <w:szCs w:val="22"/>
        </w:rPr>
        <w:t xml:space="preserve">Jim Bird, Office of General Counsel, </w:t>
      </w:r>
      <w:hyperlink r:id="rId13" w:history="1">
        <w:r w:rsidRPr="00F6162F">
          <w:rPr>
            <w:color w:val="0000FF"/>
            <w:szCs w:val="22"/>
            <w:u w:val="single"/>
          </w:rPr>
          <w:t>jim.bird@fcc.gov</w:t>
        </w:r>
      </w:hyperlink>
      <w:r w:rsidRPr="00F6162F">
        <w:rPr>
          <w:szCs w:val="22"/>
        </w:rPr>
        <w:t>.</w:t>
      </w:r>
    </w:p>
    <w:p w:rsidR="00A94F6C" w:rsidRPr="00F6162F" w:rsidP="00A94F6C" w14:paraId="63EDAEC3" w14:textId="77777777">
      <w:pPr>
        <w:autoSpaceDE w:val="0"/>
        <w:autoSpaceDN w:val="0"/>
        <w:adjustRightInd w:val="0"/>
        <w:spacing w:after="120"/>
        <w:ind w:firstLine="720"/>
        <w:rPr>
          <w:szCs w:val="22"/>
        </w:rPr>
      </w:pPr>
      <w:r w:rsidRPr="00F6162F">
        <w:rPr>
          <w:szCs w:val="22"/>
        </w:rPr>
        <w:t xml:space="preserve">The proceeding in this Public Notice shall be treated as a “permit-but-disclose” proceeding in accordance with the Commission’s </w:t>
      </w:r>
      <w:r w:rsidRPr="00F6162F">
        <w:rPr>
          <w:i/>
          <w:szCs w:val="22"/>
        </w:rPr>
        <w:t xml:space="preserve">ex </w:t>
      </w:r>
      <w:r w:rsidRPr="00F6162F">
        <w:rPr>
          <w:i/>
          <w:szCs w:val="22"/>
        </w:rPr>
        <w:t>parte</w:t>
      </w:r>
      <w:r w:rsidRPr="00F6162F">
        <w:rPr>
          <w:szCs w:val="22"/>
        </w:rPr>
        <w:t xml:space="preserve"> rules.  Persons making </w:t>
      </w:r>
      <w:r w:rsidRPr="00F6162F">
        <w:rPr>
          <w:i/>
          <w:szCs w:val="22"/>
        </w:rPr>
        <w:t xml:space="preserve">ex </w:t>
      </w:r>
      <w:r w:rsidRPr="00F6162F">
        <w:rPr>
          <w:i/>
          <w:szCs w:val="22"/>
        </w:rPr>
        <w:t>parte</w:t>
      </w:r>
      <w:r w:rsidRPr="00F6162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6162F">
        <w:rPr>
          <w:i/>
          <w:szCs w:val="22"/>
        </w:rPr>
        <w:t xml:space="preserve">ex </w:t>
      </w:r>
      <w:r w:rsidRPr="00F6162F">
        <w:rPr>
          <w:i/>
          <w:szCs w:val="22"/>
        </w:rPr>
        <w:t>parte</w:t>
      </w:r>
      <w:r w:rsidRPr="00F6162F">
        <w:rPr>
          <w:szCs w:val="22"/>
        </w:rPr>
        <w:t xml:space="preserve"> presentations are reminded that memoranda summarizing the presentation must (1) list all persons attending or otherwise participating in the meeting at which the </w:t>
      </w:r>
      <w:r w:rsidRPr="00F6162F">
        <w:rPr>
          <w:i/>
          <w:szCs w:val="22"/>
        </w:rPr>
        <w:t xml:space="preserve">ex </w:t>
      </w:r>
      <w:r w:rsidRPr="00F6162F">
        <w:rPr>
          <w:i/>
          <w:szCs w:val="22"/>
        </w:rPr>
        <w:t>parte</w:t>
      </w:r>
      <w:r w:rsidRPr="00F6162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162F">
        <w:rPr>
          <w:i/>
          <w:szCs w:val="22"/>
        </w:rPr>
        <w:t xml:space="preserve">ex </w:t>
      </w:r>
      <w:r w:rsidRPr="00F6162F">
        <w:rPr>
          <w:i/>
          <w:szCs w:val="22"/>
        </w:rPr>
        <w:t>parte</w:t>
      </w:r>
      <w:r w:rsidRPr="00F6162F">
        <w:rPr>
          <w:szCs w:val="22"/>
        </w:rPr>
        <w:t xml:space="preserve"> meetings are deemed to be written </w:t>
      </w:r>
      <w:r w:rsidRPr="00F6162F">
        <w:rPr>
          <w:i/>
          <w:szCs w:val="22"/>
        </w:rPr>
        <w:t xml:space="preserve">ex </w:t>
      </w:r>
      <w:r w:rsidRPr="00F6162F">
        <w:rPr>
          <w:i/>
          <w:szCs w:val="22"/>
        </w:rPr>
        <w:t>parte</w:t>
      </w:r>
      <w:r w:rsidRPr="00F6162F">
        <w:rPr>
          <w:szCs w:val="22"/>
        </w:rPr>
        <w:t xml:space="preserve"> presentations and must be filed consistent with rule 1.1206(b).</w:t>
      </w:r>
      <w:r>
        <w:rPr>
          <w:snapToGrid w:val="0"/>
          <w:szCs w:val="22"/>
          <w:vertAlign w:val="superscript"/>
        </w:rPr>
        <w:footnoteReference w:id="43"/>
      </w:r>
      <w:r w:rsidRPr="00F6162F">
        <w:rPr>
          <w:szCs w:val="22"/>
        </w:rPr>
        <w:t xml:space="preserve">  Participants in this proceeding should familiarize themselves with the Commission’s </w:t>
      </w:r>
      <w:r w:rsidRPr="00F6162F">
        <w:rPr>
          <w:i/>
          <w:szCs w:val="22"/>
        </w:rPr>
        <w:t xml:space="preserve">ex </w:t>
      </w:r>
      <w:r w:rsidRPr="00F6162F">
        <w:rPr>
          <w:i/>
          <w:szCs w:val="22"/>
        </w:rPr>
        <w:t>parte</w:t>
      </w:r>
      <w:r w:rsidRPr="00F6162F">
        <w:rPr>
          <w:szCs w:val="22"/>
        </w:rPr>
        <w:t xml:space="preserve"> rules.</w:t>
      </w:r>
    </w:p>
    <w:p w:rsidR="00A94F6C" w:rsidRPr="00F6162F" w:rsidP="00A94F6C" w14:paraId="30565259" w14:textId="77777777">
      <w:pPr>
        <w:autoSpaceDE w:val="0"/>
        <w:autoSpaceDN w:val="0"/>
        <w:adjustRightInd w:val="0"/>
        <w:spacing w:after="120"/>
        <w:ind w:firstLine="720"/>
        <w:rPr>
          <w:szCs w:val="22"/>
        </w:rPr>
      </w:pPr>
      <w:r w:rsidRPr="00F6162F">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44"/>
      </w:r>
      <w:r w:rsidRPr="00F6162F">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94F6C" w:rsidP="00A94F6C" w14:paraId="7AA1DC32" w14:textId="77777777">
      <w:pPr>
        <w:autoSpaceDE w:val="0"/>
        <w:autoSpaceDN w:val="0"/>
        <w:adjustRightInd w:val="0"/>
        <w:spacing w:after="120"/>
        <w:ind w:firstLine="720"/>
      </w:pPr>
      <w:r w:rsidRPr="23FB2AC6">
        <w:t xml:space="preserve">For further information regarding the transfer of control application, please contact Myrva Charles at (202) 418-1506 or Dennis Johnson at </w:t>
      </w:r>
      <w:hyperlink r:id="rId11">
        <w:r w:rsidRPr="23FB2AC6">
          <w:rPr>
            <w:rStyle w:val="Hyperlink"/>
          </w:rPr>
          <w:t>Dennis.Johnson@fcc.gov</w:t>
        </w:r>
      </w:hyperlink>
      <w:r w:rsidRPr="23FB2AC6">
        <w:t xml:space="preserve">, Wireline Competition Bureau.  For further information regarding the ETC petition, please contact </w:t>
      </w:r>
      <w:r>
        <w:rPr>
          <w:snapToGrid w:val="0"/>
        </w:rPr>
        <w:t>Nissa</w:t>
      </w:r>
      <w:r>
        <w:rPr>
          <w:snapToGrid w:val="0"/>
        </w:rPr>
        <w:t xml:space="preserve"> </w:t>
      </w:r>
      <w:r>
        <w:rPr>
          <w:snapToGrid w:val="0"/>
        </w:rPr>
        <w:t>Laughner</w:t>
      </w:r>
      <w:r>
        <w:rPr>
          <w:snapToGrid w:val="0"/>
        </w:rPr>
        <w:t xml:space="preserve"> at </w:t>
      </w:r>
      <w:hyperlink r:id="rId12" w:history="1">
        <w:r>
          <w:rPr>
            <w:rStyle w:val="Hyperlink"/>
            <w:snapToGrid w:val="0"/>
          </w:rPr>
          <w:t>Nissa.Laughner@fcc.gov</w:t>
        </w:r>
      </w:hyperlink>
      <w:r>
        <w:rPr>
          <w:snapToGrid w:val="0"/>
        </w:rPr>
        <w:t>.</w:t>
      </w:r>
    </w:p>
    <w:p w:rsidR="00A94F6C" w:rsidP="00A94F6C" w14:paraId="2E896F63" w14:textId="77777777">
      <w:pPr>
        <w:autoSpaceDE w:val="0"/>
        <w:autoSpaceDN w:val="0"/>
        <w:adjustRightInd w:val="0"/>
        <w:spacing w:after="120"/>
        <w:ind w:firstLine="720"/>
        <w:rPr>
          <w:szCs w:val="22"/>
        </w:rPr>
      </w:pPr>
    </w:p>
    <w:p w:rsidR="00A94F6C" w:rsidRPr="00F6162F" w:rsidP="00A94F6C" w14:paraId="6983014E" w14:textId="77777777">
      <w:pPr>
        <w:autoSpaceDE w:val="0"/>
        <w:autoSpaceDN w:val="0"/>
        <w:adjustRightInd w:val="0"/>
        <w:spacing w:after="120"/>
        <w:ind w:firstLine="720"/>
        <w:rPr>
          <w:szCs w:val="22"/>
        </w:rPr>
      </w:pPr>
    </w:p>
    <w:p w:rsidR="00A94F6C" w:rsidRPr="00EE241D" w:rsidP="00A94F6C" w14:paraId="61D5ED18" w14:textId="77777777">
      <w:pPr>
        <w:autoSpaceDE w:val="0"/>
        <w:autoSpaceDN w:val="0"/>
        <w:adjustRightInd w:val="0"/>
        <w:spacing w:after="120"/>
        <w:ind w:firstLine="720"/>
        <w:jc w:val="center"/>
        <w:rPr>
          <w:color w:val="000000"/>
          <w:szCs w:val="22"/>
        </w:rPr>
      </w:pPr>
      <w:r w:rsidRPr="00F6162F">
        <w:rPr>
          <w:b/>
          <w:szCs w:val="22"/>
        </w:rPr>
        <w:t>-FCC-</w:t>
      </w:r>
      <w:bookmarkEnd w:id="6"/>
    </w:p>
    <w:p w:rsidR="00524D79" w:rsidP="00A94F6C" w14:paraId="76F365BB" w14:textId="4086523A">
      <w:pPr>
        <w:widowControl w:val="0"/>
        <w:jc w:val="right"/>
        <w:rPr>
          <w:color w:val="000000"/>
          <w:szCs w:val="22"/>
        </w:rPr>
      </w:pPr>
    </w:p>
    <w:sectPr w:rsidSect="00F6162F">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9FA8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E95" w14:paraId="426CF6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1E95" w14:paraId="693FA4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E95" w14:paraId="2CB3263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E95" w14:paraId="459374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882" w14:paraId="082374C6" w14:textId="77777777">
      <w:r>
        <w:separator/>
      </w:r>
    </w:p>
  </w:footnote>
  <w:footnote w:type="continuationSeparator" w:id="1">
    <w:p w:rsidR="000C0882" w14:paraId="610C3354" w14:textId="77777777">
      <w:r>
        <w:continuationSeparator/>
      </w:r>
    </w:p>
  </w:footnote>
  <w:footnote w:type="continuationNotice" w:id="2">
    <w:p w:rsidR="000C0882" w14:paraId="7F82FE11" w14:textId="77777777"/>
  </w:footnote>
  <w:footnote w:id="3">
    <w:p w:rsidR="00A94F6C" w:rsidRPr="00C21E95" w:rsidP="00A94F6C" w14:paraId="66F590CD" w14:textId="77777777">
      <w:pPr>
        <w:pStyle w:val="FootnoteText"/>
        <w:tabs>
          <w:tab w:val="left" w:pos="3960"/>
        </w:tabs>
        <w:spacing w:after="120"/>
        <w:rPr>
          <w:bCs/>
          <w:sz w:val="20"/>
        </w:rPr>
      </w:pPr>
      <w:r w:rsidRPr="00C21E95">
        <w:rPr>
          <w:rStyle w:val="FootnoteReference"/>
          <w:sz w:val="20"/>
        </w:rPr>
        <w:footnoteRef/>
      </w:r>
      <w:r w:rsidRPr="00C21E95">
        <w:rPr>
          <w:sz w:val="20"/>
        </w:rPr>
        <w:t xml:space="preserve"> </w:t>
      </w:r>
      <w:r w:rsidRPr="00C21E95">
        <w:rPr>
          <w:i/>
          <w:sz w:val="20"/>
        </w:rPr>
        <w:t>See</w:t>
      </w:r>
      <w:r w:rsidRPr="00C21E95">
        <w:rPr>
          <w:sz w:val="20"/>
        </w:rPr>
        <w:t xml:space="preserve"> 47 U.S.C. § 214; 47 CFR §§ 63.03-04.</w:t>
      </w:r>
      <w:r>
        <w:rPr>
          <w:sz w:val="20"/>
        </w:rPr>
        <w:tab/>
      </w:r>
    </w:p>
  </w:footnote>
  <w:footnote w:id="4">
    <w:p w:rsidR="00A94F6C" w:rsidRPr="00C21E95" w:rsidP="00A94F6C" w14:paraId="75C0F591" w14:textId="77777777">
      <w:pPr>
        <w:pStyle w:val="FootnoteText"/>
        <w:spacing w:after="120"/>
        <w:rPr>
          <w:sz w:val="20"/>
        </w:rPr>
      </w:pPr>
      <w:r w:rsidRPr="00C21E95">
        <w:rPr>
          <w:rStyle w:val="FootnoteReference"/>
          <w:sz w:val="20"/>
        </w:rPr>
        <w:footnoteRef/>
      </w:r>
      <w:r w:rsidRPr="00C21E95">
        <w:rPr>
          <w:sz w:val="20"/>
        </w:rPr>
        <w:t xml:space="preserve"> Application of </w:t>
      </w:r>
      <w:r w:rsidRPr="00C21E95">
        <w:rPr>
          <w:sz w:val="20"/>
        </w:rPr>
        <w:t>BroadLife</w:t>
      </w:r>
      <w:r w:rsidRPr="00C21E95">
        <w:rPr>
          <w:sz w:val="20"/>
        </w:rPr>
        <w:t xml:space="preserve"> Communications, Inc. (</w:t>
      </w:r>
      <w:r w:rsidRPr="00C21E95">
        <w:rPr>
          <w:sz w:val="20"/>
        </w:rPr>
        <w:t>BroadLife</w:t>
      </w:r>
      <w:r w:rsidRPr="00C21E95">
        <w:rPr>
          <w:sz w:val="20"/>
        </w:rPr>
        <w:t>) and Yellowhammer Networks, LLC for Consent to Assignment of Domestic Section 214 Authorization, WC Docket No. 23-23 (filed Jan. 13, 2023)</w:t>
      </w:r>
      <w:r>
        <w:rPr>
          <w:sz w:val="20"/>
        </w:rPr>
        <w:t>,</w:t>
      </w:r>
      <w:r w:rsidRPr="00C21E95">
        <w:rPr>
          <w:sz w:val="20"/>
        </w:rPr>
        <w:t xml:space="preserve"> </w:t>
      </w:r>
      <w:hyperlink r:id="rId1" w:history="1">
        <w:r w:rsidRPr="009D39EF">
          <w:rPr>
            <w:rStyle w:val="Hyperlink"/>
            <w:sz w:val="20"/>
          </w:rPr>
          <w:t>https://www.fcc.gov/ecfs/document/1011389787924/1</w:t>
        </w:r>
      </w:hyperlink>
      <w:r w:rsidRPr="009D39EF">
        <w:rPr>
          <w:sz w:val="20"/>
        </w:rPr>
        <w:t xml:space="preserve"> </w:t>
      </w:r>
      <w:r w:rsidRPr="00C21E95">
        <w:rPr>
          <w:sz w:val="20"/>
        </w:rPr>
        <w:t>(Application).  Applicants filed a supplement to their application on February 15, 2023.  Letter from Stephen Coran, Counsel to Yellowhammer Networks, LLC, to Marlene H. Dortch, Secretary, FCC, WC Docket No.23-23 (filed Feb. 15, 2023) (Supplement Letter).</w:t>
      </w:r>
    </w:p>
  </w:footnote>
  <w:footnote w:id="5">
    <w:p w:rsidR="00A94F6C" w:rsidRPr="00C21E95" w:rsidP="00A94F6C" w14:paraId="0699A780" w14:textId="77777777">
      <w:pPr>
        <w:pStyle w:val="FootnoteText"/>
        <w:spacing w:after="120"/>
        <w:rPr>
          <w:sz w:val="20"/>
        </w:rPr>
      </w:pPr>
      <w:r w:rsidRPr="111EED98">
        <w:rPr>
          <w:rStyle w:val="FootnoteReference"/>
          <w:sz w:val="20"/>
        </w:rPr>
        <w:footnoteRef/>
      </w:r>
      <w:r w:rsidRPr="111EED98">
        <w:rPr>
          <w:sz w:val="20"/>
        </w:rPr>
        <w:t xml:space="preserve"> </w:t>
      </w:r>
      <w:r w:rsidRPr="111EED98">
        <w:rPr>
          <w:i/>
          <w:iCs/>
          <w:sz w:val="20"/>
        </w:rPr>
        <w:t>See</w:t>
      </w:r>
      <w:r w:rsidRPr="111EED98">
        <w:rPr>
          <w:sz w:val="20"/>
        </w:rPr>
        <w:t xml:space="preserve"> Yellowhammer Networks, LLC, Petition for Eligible Telecommunications Carrier Designation, WC Docket No. 09-197 (filed Jan. 13, 2023), </w:t>
      </w:r>
      <w:hyperlink r:id="rId2" w:history="1">
        <w:r w:rsidRPr="111EED98">
          <w:rPr>
            <w:rStyle w:val="Hyperlink"/>
            <w:sz w:val="20"/>
          </w:rPr>
          <w:t>https://www.fcc.gov/ecfs/document/101131998121584/1</w:t>
        </w:r>
      </w:hyperlink>
      <w:r w:rsidRPr="111EED98">
        <w:rPr>
          <w:rStyle w:val="Hyperlink"/>
          <w:sz w:val="20"/>
        </w:rPr>
        <w:t xml:space="preserve"> </w:t>
      </w:r>
      <w:r w:rsidRPr="111EED98">
        <w:rPr>
          <w:sz w:val="20"/>
        </w:rPr>
        <w:t xml:space="preserve">(ETC Petition).  After closing, </w:t>
      </w:r>
      <w:r w:rsidRPr="111EED98">
        <w:rPr>
          <w:sz w:val="20"/>
        </w:rPr>
        <w:t>BroadLife</w:t>
      </w:r>
      <w:r w:rsidRPr="111EED98">
        <w:rPr>
          <w:sz w:val="20"/>
        </w:rPr>
        <w:t xml:space="preserve"> will relinquish its ETC designation for the Assigned Census Blocks.  Application at 9.</w:t>
      </w:r>
    </w:p>
  </w:footnote>
  <w:footnote w:id="6">
    <w:p w:rsidR="00A94F6C" w:rsidRPr="001250AA" w:rsidP="00A94F6C" w14:paraId="4FBB9BA9" w14:textId="77777777">
      <w:pPr>
        <w:pStyle w:val="FootnoteText"/>
        <w:spacing w:after="120"/>
        <w:rPr>
          <w:sz w:val="20"/>
        </w:rPr>
      </w:pPr>
      <w:r w:rsidRPr="111EED98">
        <w:rPr>
          <w:rStyle w:val="FootnoteReference"/>
          <w:sz w:val="20"/>
        </w:rPr>
        <w:footnoteRef/>
      </w:r>
      <w:r w:rsidRPr="111EED98">
        <w:rPr>
          <w:rStyle w:val="FootnoteReference"/>
          <w:sz w:val="20"/>
        </w:rPr>
        <w:footnoteRef/>
      </w:r>
      <w:r>
        <w:rPr>
          <w:sz w:val="20"/>
        </w:rPr>
        <w:t xml:space="preserve"> </w:t>
      </w:r>
      <w:r w:rsidRPr="001250AA">
        <w:rPr>
          <w:sz w:val="20"/>
        </w:rPr>
        <w:t>Application at 3.</w:t>
      </w:r>
    </w:p>
  </w:footnote>
  <w:footnote w:id="7">
    <w:p w:rsidR="00A94F6C" w:rsidRPr="00C21E95" w:rsidP="00A94F6C" w14:paraId="6B4F8B24" w14:textId="77777777">
      <w:pPr>
        <w:pStyle w:val="FootnoteText"/>
        <w:spacing w:after="120"/>
        <w:rPr>
          <w:sz w:val="20"/>
        </w:rPr>
      </w:pPr>
      <w:r w:rsidRPr="111EED98">
        <w:rPr>
          <w:rStyle w:val="FootnoteReference"/>
          <w:sz w:val="20"/>
        </w:rPr>
        <w:footnoteRef/>
      </w:r>
      <w:r w:rsidRPr="111EED98">
        <w:rPr>
          <w:sz w:val="20"/>
        </w:rPr>
        <w:t xml:space="preserve">  </w:t>
      </w:r>
      <w:r w:rsidRPr="111EED98">
        <w:rPr>
          <w:i/>
          <w:iCs/>
          <w:sz w:val="20"/>
        </w:rPr>
        <w:t>Id</w:t>
      </w:r>
      <w:r w:rsidRPr="111EED98">
        <w:rPr>
          <w:sz w:val="20"/>
        </w:rPr>
        <w:t xml:space="preserve">. at 3, </w:t>
      </w:r>
      <w:r w:rsidRPr="111EED98">
        <w:rPr>
          <w:sz w:val="20"/>
        </w:rPr>
        <w:t>Exh</w:t>
      </w:r>
      <w:r w:rsidRPr="111EED98">
        <w:rPr>
          <w:sz w:val="20"/>
        </w:rPr>
        <w:t xml:space="preserve">. 1 (List of Assigned Census Blocks); </w:t>
      </w:r>
      <w:r w:rsidRPr="111EED98">
        <w:rPr>
          <w:i/>
          <w:iCs/>
          <w:sz w:val="20"/>
        </w:rPr>
        <w:t>Rural Digital Opportunity Fund Support Authorized for 1,345 Winning Bids</w:t>
      </w:r>
      <w:r w:rsidRPr="111EED98">
        <w:rPr>
          <w:sz w:val="20"/>
        </w:rPr>
        <w:t>, AU Docket No. 20-34, WC Docket Nos. 19-126 and 10-90, Public Notice, DA 22-402, Attach. A (Authorized Long-Form Applicants and Winning Bids) (WCB/OEA/RBATF rel. 2022) ((</w:t>
      </w:r>
      <w:r w:rsidRPr="111EED98">
        <w:rPr>
          <w:i/>
          <w:iCs/>
          <w:sz w:val="20"/>
        </w:rPr>
        <w:t>RDOF Public Notice</w:t>
      </w:r>
      <w:r w:rsidRPr="111EED98">
        <w:rPr>
          <w:sz w:val="20"/>
        </w:rPr>
        <w:t xml:space="preserve">); </w:t>
      </w:r>
      <w:r w:rsidRPr="111EED98">
        <w:rPr>
          <w:i/>
          <w:iCs/>
          <w:sz w:val="20"/>
        </w:rPr>
        <w:t>see id</w:t>
      </w:r>
      <w:r w:rsidRPr="111EED98">
        <w:rPr>
          <w:sz w:val="20"/>
        </w:rPr>
        <w:t xml:space="preserve">. at 8-9 (stating that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 </w:t>
      </w:r>
    </w:p>
  </w:footnote>
  <w:footnote w:id="8">
    <w:p w:rsidR="00A94F6C" w:rsidRPr="00C21E95" w:rsidP="00A94F6C" w14:paraId="6599E1BB" w14:textId="77777777">
      <w:pPr>
        <w:pStyle w:val="FootnoteText"/>
        <w:spacing w:after="120"/>
        <w:rPr>
          <w:sz w:val="20"/>
        </w:rPr>
      </w:pPr>
      <w:r w:rsidRPr="00C21E95">
        <w:rPr>
          <w:rStyle w:val="FootnoteReference"/>
          <w:sz w:val="20"/>
        </w:rPr>
        <w:footnoteRef/>
      </w:r>
      <w:r w:rsidRPr="00C21E95">
        <w:rPr>
          <w:sz w:val="20"/>
        </w:rPr>
        <w:t xml:space="preserve"> Application at 3.</w:t>
      </w:r>
    </w:p>
  </w:footnote>
  <w:footnote w:id="9">
    <w:p w:rsidR="00A94F6C" w:rsidRPr="00C21E95" w:rsidP="00A94F6C" w14:paraId="5B75B44C"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Id.</w:t>
      </w:r>
      <w:r w:rsidRPr="00C21E95">
        <w:rPr>
          <w:sz w:val="20"/>
        </w:rPr>
        <w:t xml:space="preserve"> at 4. </w:t>
      </w:r>
    </w:p>
  </w:footnote>
  <w:footnote w:id="10">
    <w:p w:rsidR="00A94F6C" w:rsidRPr="00C21E95" w:rsidP="00A94F6C" w14:paraId="4D92C0FE" w14:textId="77777777">
      <w:pPr>
        <w:pStyle w:val="FootnoteText"/>
        <w:spacing w:after="120"/>
        <w:rPr>
          <w:sz w:val="20"/>
        </w:rPr>
      </w:pPr>
      <w:r w:rsidRPr="4617F7C5">
        <w:rPr>
          <w:rStyle w:val="FootnoteReference"/>
          <w:sz w:val="20"/>
        </w:rPr>
        <w:footnoteRef/>
      </w:r>
      <w:r w:rsidRPr="00C21E95">
        <w:rPr>
          <w:sz w:val="20"/>
        </w:rPr>
        <w:t xml:space="preserve"> </w:t>
      </w:r>
      <w:r w:rsidRPr="00C21E95">
        <w:rPr>
          <w:i/>
          <w:iCs/>
          <w:sz w:val="20"/>
        </w:rPr>
        <w:t>Id.</w:t>
      </w:r>
      <w:r w:rsidRPr="00C21E95">
        <w:rPr>
          <w:sz w:val="20"/>
        </w:rPr>
        <w:t xml:space="preserve"> at 3.</w:t>
      </w:r>
    </w:p>
  </w:footnote>
  <w:footnote w:id="11">
    <w:p w:rsidR="00A94F6C" w:rsidP="00A94F6C" w14:paraId="1202B402" w14:textId="77777777">
      <w:pPr>
        <w:pStyle w:val="FootnoteText"/>
        <w:spacing w:after="120"/>
      </w:pPr>
      <w:r>
        <w:rPr>
          <w:rStyle w:val="FootnoteReference"/>
        </w:rPr>
        <w:footnoteRef/>
      </w:r>
      <w:r>
        <w:t xml:space="preserve"> </w:t>
      </w:r>
      <w:r w:rsidRPr="004D41AA">
        <w:rPr>
          <w:i/>
          <w:iCs/>
        </w:rPr>
        <w:t>Id.</w:t>
      </w:r>
      <w:r>
        <w:t xml:space="preserve"> at 5.</w:t>
      </w:r>
    </w:p>
  </w:footnote>
  <w:footnote w:id="12">
    <w:p w:rsidR="00A94F6C" w:rsidP="00A94F6C" w14:paraId="0CC05B24" w14:textId="77777777">
      <w:pPr>
        <w:pStyle w:val="FootnoteText"/>
        <w:spacing w:after="120"/>
      </w:pPr>
      <w:r>
        <w:rPr>
          <w:rStyle w:val="FootnoteReference"/>
        </w:rPr>
        <w:footnoteRef/>
      </w:r>
      <w:r>
        <w:t xml:space="preserve"> </w:t>
      </w:r>
      <w:r w:rsidRPr="004D41AA">
        <w:rPr>
          <w:i/>
          <w:iCs/>
        </w:rPr>
        <w:t>Id.</w:t>
      </w:r>
    </w:p>
  </w:footnote>
  <w:footnote w:id="13">
    <w:p w:rsidR="00A94F6C" w:rsidRPr="00CD082A" w:rsidP="00A94F6C" w14:paraId="4A752036" w14:textId="77777777">
      <w:pPr>
        <w:pStyle w:val="FootnoteText"/>
        <w:rPr>
          <w:sz w:val="20"/>
        </w:rPr>
      </w:pPr>
      <w:r w:rsidRPr="00CD082A">
        <w:rPr>
          <w:rStyle w:val="FootnoteReference"/>
          <w:sz w:val="20"/>
        </w:rPr>
        <w:footnoteRef/>
      </w:r>
      <w:r w:rsidRPr="00CD082A">
        <w:rPr>
          <w:sz w:val="20"/>
        </w:rPr>
        <w:t xml:space="preserve"> </w:t>
      </w:r>
      <w:r w:rsidRPr="00CD082A">
        <w:rPr>
          <w:i/>
          <w:iCs/>
          <w:sz w:val="20"/>
        </w:rPr>
        <w:t xml:space="preserve">Id. </w:t>
      </w:r>
      <w:r>
        <w:rPr>
          <w:sz w:val="20"/>
        </w:rPr>
        <w:t>a</w:t>
      </w:r>
      <w:r w:rsidRPr="00CD082A">
        <w:rPr>
          <w:sz w:val="20"/>
        </w:rPr>
        <w:t>t 10.</w:t>
      </w:r>
    </w:p>
  </w:footnote>
  <w:footnote w:id="14">
    <w:p w:rsidR="00A94F6C" w:rsidRPr="00C21E95" w:rsidP="00A94F6C" w14:paraId="0A6190EF"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Id.</w:t>
      </w:r>
      <w:r w:rsidRPr="00C21E95">
        <w:rPr>
          <w:sz w:val="20"/>
        </w:rPr>
        <w:t xml:space="preserve"> at 4.  The funds that comprise Meridiam Fund III include</w:t>
      </w:r>
      <w:r>
        <w:rPr>
          <w:sz w:val="20"/>
        </w:rPr>
        <w:t>:</w:t>
      </w:r>
      <w:r w:rsidRPr="00C21E95">
        <w:rPr>
          <w:sz w:val="20"/>
        </w:rPr>
        <w:t xml:space="preserve"> Meridiam Infrastructure North America Fund III, LP; Meridiam Infrastructure North America Fund III (Domestic), LP; Meridiam Infrastructure North America Fund III Parallel I, LP; and Meridiam Infrastructure North America Fund III Parallel III, LP.  Supplement at 2 (Declaration).</w:t>
      </w:r>
    </w:p>
  </w:footnote>
  <w:footnote w:id="15">
    <w:p w:rsidR="00A94F6C" w:rsidRPr="00C21E95" w:rsidP="00A94F6C" w14:paraId="5C01E814" w14:textId="77777777">
      <w:pPr>
        <w:pStyle w:val="FootnoteText"/>
        <w:spacing w:after="120"/>
        <w:rPr>
          <w:sz w:val="20"/>
        </w:rPr>
      </w:pPr>
      <w:r w:rsidRPr="00C21E95">
        <w:rPr>
          <w:rStyle w:val="FootnoteReference"/>
          <w:sz w:val="20"/>
        </w:rPr>
        <w:footnoteRef/>
      </w:r>
      <w:r w:rsidRPr="00C21E95">
        <w:rPr>
          <w:sz w:val="20"/>
        </w:rPr>
        <w:t xml:space="preserve"> </w:t>
      </w:r>
      <w:r w:rsidRPr="00C06523">
        <w:rPr>
          <w:sz w:val="20"/>
        </w:rPr>
        <w:t>Application at 4</w:t>
      </w:r>
      <w:r w:rsidRPr="00C21E95">
        <w:rPr>
          <w:sz w:val="20"/>
        </w:rPr>
        <w:t xml:space="preserve">; </w:t>
      </w:r>
      <w:bookmarkStart w:id="4" w:name="_Hlk131162224"/>
      <w:r w:rsidRPr="00C21E95">
        <w:rPr>
          <w:sz w:val="20"/>
        </w:rPr>
        <w:t>Supplement at 2 (Declaration).</w:t>
      </w:r>
      <w:bookmarkEnd w:id="4"/>
    </w:p>
  </w:footnote>
  <w:footnote w:id="16">
    <w:p w:rsidR="00A94F6C" w:rsidRPr="00C21E95" w:rsidP="00A94F6C" w14:paraId="50313D80" w14:textId="77777777">
      <w:pPr>
        <w:pStyle w:val="FootnoteText"/>
        <w:spacing w:after="120"/>
        <w:rPr>
          <w:sz w:val="20"/>
        </w:rPr>
      </w:pPr>
      <w:r w:rsidRPr="00C21E95">
        <w:rPr>
          <w:rStyle w:val="FootnoteReference"/>
          <w:sz w:val="20"/>
        </w:rPr>
        <w:footnoteRef/>
      </w:r>
      <w:r w:rsidRPr="00C21E95">
        <w:rPr>
          <w:sz w:val="20"/>
        </w:rPr>
        <w:t xml:space="preserve"> Supplement at 2 (Declaration).</w:t>
      </w:r>
    </w:p>
  </w:footnote>
  <w:footnote w:id="17">
    <w:p w:rsidR="00A94F6C" w:rsidRPr="00C21E95" w:rsidP="00A94F6C" w14:paraId="0C114978" w14:textId="77777777">
      <w:pPr>
        <w:pStyle w:val="FootnoteText"/>
        <w:spacing w:after="120"/>
        <w:rPr>
          <w:sz w:val="20"/>
        </w:rPr>
      </w:pPr>
      <w:r w:rsidRPr="00C21E95">
        <w:rPr>
          <w:rStyle w:val="FootnoteReference"/>
          <w:sz w:val="20"/>
        </w:rPr>
        <w:footnoteRef/>
      </w:r>
      <w:r w:rsidRPr="00C21E95">
        <w:rPr>
          <w:sz w:val="20"/>
        </w:rPr>
        <w:t xml:space="preserve"> Application at 8.</w:t>
      </w:r>
    </w:p>
  </w:footnote>
  <w:footnote w:id="18">
    <w:p w:rsidR="00A94F6C" w:rsidRPr="00C21E95" w:rsidP="00A94F6C" w14:paraId="0E3C3EA3"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Id.</w:t>
      </w:r>
      <w:r w:rsidRPr="00C21E95">
        <w:rPr>
          <w:sz w:val="20"/>
        </w:rPr>
        <w:t xml:space="preserve"> at 9.</w:t>
      </w:r>
    </w:p>
  </w:footnote>
  <w:footnote w:id="19">
    <w:p w:rsidR="00A94F6C" w:rsidRPr="00C21E95" w:rsidP="00A94F6C" w14:paraId="383BB5FA"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 xml:space="preserve">Id. </w:t>
      </w:r>
      <w:r w:rsidRPr="00C21E95">
        <w:rPr>
          <w:sz w:val="20"/>
        </w:rPr>
        <w:t>at 7-10.</w:t>
      </w:r>
    </w:p>
  </w:footnote>
  <w:footnote w:id="20">
    <w:p w:rsidR="00A94F6C" w:rsidRPr="00C21E95" w:rsidP="00A94F6C" w14:paraId="65C10B97"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Id.</w:t>
      </w:r>
      <w:r w:rsidRPr="00C21E95">
        <w:rPr>
          <w:sz w:val="20"/>
        </w:rPr>
        <w:t xml:space="preserve"> at 12.</w:t>
      </w:r>
    </w:p>
  </w:footnote>
  <w:footnote w:id="21">
    <w:p w:rsidR="00A94F6C" w:rsidRPr="00C21E95" w:rsidP="00A94F6C" w14:paraId="39E67C8B"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Id.</w:t>
      </w:r>
      <w:r w:rsidRPr="00C21E95">
        <w:rPr>
          <w:sz w:val="20"/>
        </w:rPr>
        <w:t xml:space="preserve"> at 13.</w:t>
      </w:r>
    </w:p>
  </w:footnote>
  <w:footnote w:id="22">
    <w:p w:rsidR="00A94F6C" w:rsidRPr="00C21E95" w:rsidP="00A94F6C" w14:paraId="5A44AE6C"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Id.</w:t>
      </w:r>
    </w:p>
  </w:footnote>
  <w:footnote w:id="23">
    <w:p w:rsidR="00A94F6C" w:rsidRPr="00C21E95" w:rsidP="00A94F6C" w14:paraId="17E43B7B"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Id.</w:t>
      </w:r>
      <w:r w:rsidRPr="00C21E95">
        <w:rPr>
          <w:sz w:val="20"/>
        </w:rPr>
        <w:t xml:space="preserve"> </w:t>
      </w:r>
    </w:p>
  </w:footnote>
  <w:footnote w:id="24">
    <w:p w:rsidR="00A94F6C" w:rsidRPr="00C21E95" w:rsidP="00A94F6C" w14:paraId="29CA93C9"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 xml:space="preserve">Id. </w:t>
      </w:r>
      <w:r w:rsidRPr="00C21E95">
        <w:rPr>
          <w:sz w:val="20"/>
        </w:rPr>
        <w:t>at 12, 18-19.</w:t>
      </w:r>
    </w:p>
  </w:footnote>
  <w:footnote w:id="25">
    <w:p w:rsidR="00A94F6C" w:rsidRPr="00C21E95" w:rsidP="00A94F6C" w14:paraId="5B943F0A" w14:textId="77777777">
      <w:pPr>
        <w:pStyle w:val="FootnoteText"/>
        <w:spacing w:after="120"/>
        <w:rPr>
          <w:sz w:val="20"/>
        </w:rPr>
      </w:pPr>
      <w:r w:rsidRPr="00C21E95">
        <w:rPr>
          <w:rStyle w:val="FootnoteReference"/>
          <w:sz w:val="20"/>
        </w:rPr>
        <w:footnoteRef/>
      </w:r>
      <w:r w:rsidRPr="00C21E95">
        <w:rPr>
          <w:sz w:val="20"/>
        </w:rPr>
        <w:t xml:space="preserve"> </w:t>
      </w:r>
      <w:r w:rsidRPr="00C21E95">
        <w:rPr>
          <w:i/>
          <w:iCs/>
          <w:sz w:val="20"/>
        </w:rPr>
        <w:t xml:space="preserve">Id. </w:t>
      </w:r>
      <w:r w:rsidRPr="00C21E95">
        <w:rPr>
          <w:sz w:val="20"/>
        </w:rPr>
        <w:t>at 14.</w:t>
      </w:r>
    </w:p>
  </w:footnote>
  <w:footnote w:id="26">
    <w:p w:rsidR="00A94F6C" w:rsidRPr="00C21E95" w:rsidP="00A94F6C" w14:paraId="6143453D" w14:textId="77777777">
      <w:pPr>
        <w:pStyle w:val="FootnoteText"/>
        <w:spacing w:after="120"/>
        <w:rPr>
          <w:sz w:val="20"/>
        </w:rPr>
      </w:pPr>
      <w:r w:rsidRPr="00C21E95">
        <w:rPr>
          <w:rStyle w:val="FootnoteReference"/>
          <w:sz w:val="20"/>
        </w:rPr>
        <w:footnoteRef/>
      </w:r>
      <w:r w:rsidRPr="00C21E95">
        <w:rPr>
          <w:sz w:val="20"/>
        </w:rPr>
        <w:t xml:space="preserve"> </w:t>
      </w:r>
      <w:bookmarkStart w:id="5" w:name="_Hlk98844830"/>
      <w:r w:rsidRPr="00C21E95">
        <w:rPr>
          <w:sz w:val="20"/>
        </w:rPr>
        <w:t>47 CFR § 63.03(c)(1)(v).</w:t>
      </w:r>
      <w:bookmarkEnd w:id="5"/>
    </w:p>
  </w:footnote>
  <w:footnote w:id="27">
    <w:p w:rsidR="00A94F6C" w:rsidP="00A94F6C" w14:paraId="6CC4107F" w14:textId="77777777">
      <w:pPr>
        <w:pStyle w:val="FootnoteText"/>
        <w:spacing w:after="120"/>
      </w:pPr>
      <w:r>
        <w:rPr>
          <w:rStyle w:val="FootnoteReference"/>
        </w:rPr>
        <w:footnoteRef/>
      </w:r>
      <w:r>
        <w:t xml:space="preserve"> </w:t>
      </w:r>
      <w:r w:rsidRPr="111EED98">
        <w:rPr>
          <w:sz w:val="20"/>
        </w:rPr>
        <w:t>ETC Petition</w:t>
      </w:r>
      <w:r>
        <w:t>.</w:t>
      </w:r>
    </w:p>
  </w:footnote>
  <w:footnote w:id="28">
    <w:p w:rsidR="00A94F6C" w:rsidRPr="00C21E95" w:rsidP="00A94F6C" w14:paraId="38B9C216" w14:textId="77777777">
      <w:pPr>
        <w:spacing w:after="120"/>
        <w:rPr>
          <w:sz w:val="20"/>
        </w:rPr>
      </w:pPr>
      <w:r w:rsidRPr="111EED98">
        <w:rPr>
          <w:rStyle w:val="FootnoteReference"/>
          <w:sz w:val="20"/>
        </w:rPr>
        <w:footnoteRef/>
      </w:r>
      <w:r w:rsidRPr="111EED98">
        <w:rPr>
          <w:sz w:val="20"/>
        </w:rPr>
        <w:t xml:space="preserve"> </w:t>
      </w:r>
      <w:r w:rsidRPr="111EED98">
        <w:rPr>
          <w:i/>
          <w:iCs/>
          <w:sz w:val="20"/>
        </w:rPr>
        <w:t>RDOF Public Notice</w:t>
      </w:r>
      <w:r w:rsidRPr="111EED98">
        <w:rPr>
          <w:sz w:val="20"/>
        </w:rPr>
        <w:t>, DA 22-402, Attach. A.</w:t>
      </w:r>
    </w:p>
  </w:footnote>
  <w:footnote w:id="29">
    <w:p w:rsidR="00A94F6C" w:rsidRPr="00C21E95" w:rsidP="00A94F6C" w14:paraId="495799D6" w14:textId="77777777">
      <w:pPr>
        <w:pStyle w:val="FootnoteText"/>
        <w:spacing w:after="120"/>
        <w:rPr>
          <w:sz w:val="20"/>
        </w:rPr>
      </w:pPr>
      <w:r w:rsidRPr="00C21E95">
        <w:rPr>
          <w:rStyle w:val="FootnoteReference"/>
          <w:sz w:val="20"/>
        </w:rPr>
        <w:footnoteRef/>
      </w:r>
      <w:r w:rsidRPr="00C21E95">
        <w:rPr>
          <w:sz w:val="20"/>
        </w:rPr>
        <w:t xml:space="preserve"> 47 U.S.C. § 254(e).</w:t>
      </w:r>
    </w:p>
  </w:footnote>
  <w:footnote w:id="30">
    <w:p w:rsidR="00A94F6C" w:rsidRPr="00FB4AF1" w:rsidP="00A94F6C" w14:paraId="40B58A66" w14:textId="77777777">
      <w:pPr>
        <w:pStyle w:val="FootnoteText"/>
        <w:spacing w:after="120"/>
        <w:rPr>
          <w:sz w:val="20"/>
          <w:lang w:val="es-ES"/>
        </w:rPr>
      </w:pPr>
      <w:r w:rsidRPr="111EED98">
        <w:rPr>
          <w:rStyle w:val="FootnoteReference"/>
          <w:sz w:val="20"/>
        </w:rPr>
        <w:footnoteRef/>
      </w:r>
      <w:r w:rsidRPr="111EED98">
        <w:rPr>
          <w:sz w:val="20"/>
        </w:rPr>
        <w:t xml:space="preserve"> 47 CFR part 54, </w:t>
      </w:r>
      <w:r w:rsidRPr="111EED98">
        <w:rPr>
          <w:sz w:val="20"/>
        </w:rPr>
        <w:t>subpts</w:t>
      </w:r>
      <w:r w:rsidRPr="111EED98">
        <w:rPr>
          <w:sz w:val="20"/>
        </w:rPr>
        <w:t xml:space="preserve">. </w:t>
      </w:r>
      <w:r w:rsidRPr="111EED98">
        <w:rPr>
          <w:sz w:val="20"/>
          <w:lang w:val="es-ES"/>
        </w:rPr>
        <w:t xml:space="preserve">D, K-M.   </w:t>
      </w:r>
    </w:p>
  </w:footnote>
  <w:footnote w:id="31">
    <w:p w:rsidR="00A94F6C" w:rsidRPr="00FB4AF1" w:rsidP="00A94F6C" w14:paraId="0F8B34DD" w14:textId="77777777">
      <w:pPr>
        <w:pStyle w:val="FootnoteText"/>
        <w:spacing w:after="120"/>
        <w:rPr>
          <w:sz w:val="20"/>
          <w:lang w:val="es-ES"/>
        </w:rPr>
      </w:pPr>
      <w:r w:rsidRPr="111EED98">
        <w:rPr>
          <w:rStyle w:val="FootnoteReference"/>
          <w:sz w:val="20"/>
        </w:rPr>
        <w:footnoteRef/>
      </w:r>
      <w:r w:rsidRPr="111EED98">
        <w:rPr>
          <w:sz w:val="20"/>
          <w:lang w:val="es-ES"/>
        </w:rPr>
        <w:t xml:space="preserve"> 47 U.S.C. § 254(e).</w:t>
      </w:r>
    </w:p>
  </w:footnote>
  <w:footnote w:id="32">
    <w:p w:rsidR="00A94F6C" w:rsidRPr="00FB4AF1" w:rsidP="00A94F6C" w14:paraId="6A77B289" w14:textId="77777777">
      <w:pPr>
        <w:pStyle w:val="FootnoteText"/>
        <w:spacing w:after="120"/>
        <w:rPr>
          <w:sz w:val="20"/>
          <w:lang w:val="es-ES"/>
        </w:rPr>
      </w:pPr>
      <w:r w:rsidRPr="111EED98">
        <w:rPr>
          <w:rStyle w:val="FootnoteReference"/>
          <w:sz w:val="20"/>
        </w:rPr>
        <w:footnoteRef/>
      </w:r>
      <w:r w:rsidRPr="111EED98">
        <w:rPr>
          <w:sz w:val="20"/>
          <w:lang w:val="es-ES"/>
        </w:rPr>
        <w:t xml:space="preserve"> </w:t>
      </w:r>
      <w:r w:rsidRPr="111EED98">
        <w:rPr>
          <w:i/>
          <w:iCs/>
          <w:sz w:val="20"/>
          <w:lang w:val="es-ES"/>
        </w:rPr>
        <w:t>Id.</w:t>
      </w:r>
      <w:r w:rsidRPr="111EED98">
        <w:rPr>
          <w:sz w:val="20"/>
          <w:lang w:val="es-ES"/>
        </w:rPr>
        <w:t xml:space="preserve"> § 214(e)(2).</w:t>
      </w:r>
    </w:p>
  </w:footnote>
  <w:footnote w:id="33">
    <w:p w:rsidR="00A94F6C" w:rsidRPr="00C21E95" w:rsidP="00A94F6C" w14:paraId="0D093113" w14:textId="77777777">
      <w:pPr>
        <w:pStyle w:val="FootnoteText"/>
        <w:spacing w:after="120"/>
        <w:rPr>
          <w:sz w:val="20"/>
        </w:rPr>
      </w:pPr>
      <w:r w:rsidRPr="00C21E95">
        <w:rPr>
          <w:rStyle w:val="FootnoteReference"/>
          <w:sz w:val="20"/>
        </w:rPr>
        <w:footnoteRef/>
      </w:r>
      <w:r w:rsidRPr="00C21E95">
        <w:rPr>
          <w:sz w:val="20"/>
        </w:rPr>
        <w:t xml:space="preserve"> </w:t>
      </w:r>
      <w:r w:rsidRPr="00C21E95">
        <w:rPr>
          <w:i/>
          <w:sz w:val="20"/>
        </w:rPr>
        <w:t>Id.</w:t>
      </w:r>
      <w:r w:rsidRPr="00C21E95">
        <w:rPr>
          <w:sz w:val="20"/>
        </w:rPr>
        <w:t xml:space="preserve"> § 214(e)(6).</w:t>
      </w:r>
    </w:p>
  </w:footnote>
  <w:footnote w:id="34">
    <w:p w:rsidR="00A94F6C" w:rsidRPr="00C21E95" w:rsidP="00A94F6C" w14:paraId="34AC70AF" w14:textId="77777777">
      <w:pPr>
        <w:pStyle w:val="FootnoteText"/>
        <w:spacing w:after="120"/>
        <w:rPr>
          <w:sz w:val="20"/>
        </w:rPr>
      </w:pPr>
      <w:r w:rsidRPr="00C21E95">
        <w:rPr>
          <w:rStyle w:val="FootnoteReference"/>
          <w:sz w:val="20"/>
        </w:rPr>
        <w:footnoteRef/>
      </w:r>
      <w:r w:rsidRPr="00C21E95">
        <w:rPr>
          <w:sz w:val="20"/>
        </w:rPr>
        <w:t xml:space="preserve"> </w:t>
      </w:r>
      <w:r w:rsidRPr="00C21E95">
        <w:rPr>
          <w:i/>
          <w:sz w:val="20"/>
        </w:rPr>
        <w:t>See</w:t>
      </w:r>
      <w:r w:rsidRPr="00C21E95">
        <w:rPr>
          <w:sz w:val="20"/>
        </w:rPr>
        <w:t xml:space="preserve"> </w:t>
      </w:r>
      <w:r w:rsidRPr="00C21E95">
        <w:rPr>
          <w:i/>
          <w:sz w:val="20"/>
        </w:rPr>
        <w:t>Federal-State Joint Board on Universal Service et al</w:t>
      </w:r>
      <w:r w:rsidRPr="00C21E95">
        <w:rPr>
          <w:sz w:val="20"/>
        </w:rPr>
        <w:t xml:space="preserve">., CC Docket No. 96-45, Twelfth Report and Order, Memorandum Opinion and Order, and Further Notice of Proposed Rulemaking, 15 FCC </w:t>
      </w:r>
      <w:r w:rsidRPr="00C21E95">
        <w:rPr>
          <w:sz w:val="20"/>
        </w:rPr>
        <w:t>Rcd</w:t>
      </w:r>
      <w:r w:rsidRPr="00C21E95">
        <w:rPr>
          <w:sz w:val="20"/>
        </w:rPr>
        <w:t xml:space="preserve"> 12208, 12267, para. 120 (2000); </w:t>
      </w:r>
      <w:r w:rsidRPr="00C21E95">
        <w:rPr>
          <w:sz w:val="20"/>
          <w:lang w:val="it-IT"/>
        </w:rPr>
        <w:t>47 U.S.C. § 214(e)(6).</w:t>
      </w:r>
    </w:p>
  </w:footnote>
  <w:footnote w:id="35">
    <w:p w:rsidR="00A94F6C" w:rsidRPr="00C21E95" w:rsidP="00A94F6C" w14:paraId="566BA7B0" w14:textId="77777777">
      <w:pPr>
        <w:pStyle w:val="FootnoteText"/>
        <w:spacing w:after="120"/>
        <w:rPr>
          <w:sz w:val="20"/>
        </w:rPr>
      </w:pPr>
      <w:r w:rsidRPr="00C21E95">
        <w:rPr>
          <w:rStyle w:val="FootnoteReference"/>
          <w:sz w:val="20"/>
        </w:rPr>
        <w:footnoteRef/>
      </w:r>
      <w:r w:rsidRPr="00C21E95">
        <w:rPr>
          <w:sz w:val="20"/>
        </w:rPr>
        <w:t xml:space="preserve"> </w:t>
      </w:r>
      <w:r w:rsidRPr="00C21E95">
        <w:rPr>
          <w:i/>
          <w:sz w:val="20"/>
        </w:rPr>
        <w:t>See</w:t>
      </w:r>
      <w:r w:rsidRPr="00C21E95">
        <w:rPr>
          <w:sz w:val="20"/>
        </w:rPr>
        <w:t xml:space="preserve"> </w:t>
      </w:r>
      <w:r w:rsidRPr="00C21E95">
        <w:rPr>
          <w:i/>
          <w:sz w:val="20"/>
        </w:rPr>
        <w:t>Procedures for FCC Designation of Eligible Telecommunications Carriers Pursuant to Section 214(e)(6) of the Communications Act</w:t>
      </w:r>
      <w:r w:rsidRPr="00C21E95">
        <w:rPr>
          <w:sz w:val="20"/>
        </w:rPr>
        <w:t xml:space="preserve">, CC Docket No. 96-45, Public Notice, 12 FCC </w:t>
      </w:r>
      <w:r w:rsidRPr="00C21E95">
        <w:rPr>
          <w:sz w:val="20"/>
        </w:rPr>
        <w:t>Rcd</w:t>
      </w:r>
      <w:r w:rsidRPr="00C21E95">
        <w:rPr>
          <w:sz w:val="20"/>
        </w:rPr>
        <w:t xml:space="preserve"> 22947, 22948 (1997).</w:t>
      </w:r>
    </w:p>
  </w:footnote>
  <w:footnote w:id="36">
    <w:p w:rsidR="00A94F6C" w:rsidRPr="00FB4AF1" w:rsidP="00A94F6C" w14:paraId="7B0CFB07" w14:textId="77777777">
      <w:pPr>
        <w:pStyle w:val="FootnoteText"/>
        <w:spacing w:after="120"/>
        <w:rPr>
          <w:sz w:val="20"/>
          <w:lang w:val="es-ES"/>
        </w:rPr>
      </w:pPr>
      <w:r w:rsidRPr="111EED98">
        <w:rPr>
          <w:rStyle w:val="FootnoteReference"/>
          <w:sz w:val="20"/>
        </w:rPr>
        <w:footnoteRef/>
      </w:r>
      <w:r w:rsidRPr="111EED98">
        <w:rPr>
          <w:sz w:val="20"/>
          <w:lang w:val="es-ES"/>
        </w:rPr>
        <w:t xml:space="preserve"> 47 U.S.C. § 214(e)(1); 47 CFR § 54.201(d)(1).</w:t>
      </w:r>
    </w:p>
  </w:footnote>
  <w:footnote w:id="37">
    <w:p w:rsidR="00A94F6C" w:rsidRPr="00FB4AF1" w:rsidP="00A94F6C" w14:paraId="3C07318E" w14:textId="77777777">
      <w:pPr>
        <w:pStyle w:val="FootnoteText"/>
        <w:spacing w:after="120"/>
        <w:rPr>
          <w:sz w:val="20"/>
          <w:lang w:val="es-ES"/>
        </w:rPr>
      </w:pPr>
      <w:r w:rsidRPr="111EED98">
        <w:rPr>
          <w:rStyle w:val="FootnoteReference"/>
          <w:sz w:val="20"/>
        </w:rPr>
        <w:footnoteRef/>
      </w:r>
      <w:r w:rsidRPr="111EED98">
        <w:rPr>
          <w:sz w:val="20"/>
          <w:lang w:val="es-ES"/>
        </w:rPr>
        <w:t xml:space="preserve"> 47 U.S.C. § 214(e)(1); 47 CFR § 54.201(d)(2).</w:t>
      </w:r>
    </w:p>
  </w:footnote>
  <w:footnote w:id="38">
    <w:p w:rsidR="00A94F6C" w:rsidRPr="00C21E95" w:rsidP="00A94F6C" w14:paraId="7B04F1B8" w14:textId="77777777">
      <w:pPr>
        <w:pStyle w:val="FootnoteText"/>
        <w:spacing w:after="120"/>
        <w:rPr>
          <w:sz w:val="20"/>
        </w:rPr>
      </w:pPr>
      <w:r w:rsidRPr="00C21E95">
        <w:rPr>
          <w:rStyle w:val="FootnoteReference"/>
          <w:sz w:val="20"/>
        </w:rPr>
        <w:footnoteRef/>
      </w:r>
      <w:r w:rsidRPr="00C21E95">
        <w:rPr>
          <w:sz w:val="20"/>
        </w:rPr>
        <w:t xml:space="preserve"> An ETC’s “service area” is set by the designating authority and is the geographic area within which an ETC has universal service obligations and may receive universal service support.  47 U.S.C. § 214(e)(5); 47 CFR § 54.207(a). Although section 214(e)(5) of the Act, requires conformance of a competitive ETC’s service area and an incumbent rural telephone company’s service area, 47 U.S.C. § 214(e)(5), the Commission </w:t>
      </w:r>
      <w:r w:rsidRPr="00C21E95">
        <w:rPr>
          <w:snapToGrid w:val="0"/>
          <w:sz w:val="20"/>
        </w:rPr>
        <w:t xml:space="preserve">has separately forborne from imposing such requirements on Auction 904 support recipients.  </w:t>
      </w:r>
      <w:r w:rsidRPr="00C21E95">
        <w:rPr>
          <w:i/>
          <w:iCs/>
          <w:snapToGrid w:val="0"/>
          <w:sz w:val="20"/>
        </w:rPr>
        <w:t>See</w:t>
      </w:r>
      <w:r w:rsidRPr="00C21E95">
        <w:rPr>
          <w:snapToGrid w:val="0"/>
          <w:sz w:val="20"/>
        </w:rPr>
        <w:t xml:space="preserve"> </w:t>
      </w:r>
      <w:r w:rsidRPr="00C21E95">
        <w:rPr>
          <w:i/>
          <w:iCs/>
          <w:snapToGrid w:val="0"/>
          <w:sz w:val="20"/>
        </w:rPr>
        <w:t>Rural Digital Opportunity Fund; Connect America Fund</w:t>
      </w:r>
      <w:r w:rsidRPr="00C21E95">
        <w:rPr>
          <w:snapToGrid w:val="0"/>
          <w:sz w:val="20"/>
        </w:rPr>
        <w:t xml:space="preserve">, WC Docket Nos. 19-126, 10-90, Report and Order, 35 FCC </w:t>
      </w:r>
      <w:r w:rsidRPr="00C21E95">
        <w:rPr>
          <w:snapToGrid w:val="0"/>
          <w:sz w:val="20"/>
        </w:rPr>
        <w:t>Rcd</w:t>
      </w:r>
      <w:r w:rsidRPr="00C21E95">
        <w:rPr>
          <w:snapToGrid w:val="0"/>
          <w:sz w:val="20"/>
        </w:rPr>
        <w:t xml:space="preserve"> 686, 728, paras. 93-94</w:t>
      </w:r>
      <w:r w:rsidRPr="00C21E95">
        <w:rPr>
          <w:sz w:val="20"/>
        </w:rPr>
        <w:t xml:space="preserve"> (2020).</w:t>
      </w:r>
    </w:p>
  </w:footnote>
  <w:footnote w:id="39">
    <w:p w:rsidR="00A94F6C" w:rsidRPr="00C21E95" w:rsidP="00A94F6C" w14:paraId="07BA1795" w14:textId="77777777">
      <w:pPr>
        <w:pStyle w:val="FootnoteText"/>
        <w:spacing w:after="120"/>
        <w:rPr>
          <w:sz w:val="20"/>
        </w:rPr>
      </w:pPr>
      <w:r w:rsidRPr="00C21E95">
        <w:rPr>
          <w:rStyle w:val="FootnoteReference"/>
          <w:sz w:val="20"/>
        </w:rPr>
        <w:footnoteRef/>
      </w:r>
      <w:r w:rsidRPr="00C21E95">
        <w:rPr>
          <w:sz w:val="20"/>
        </w:rPr>
        <w:t xml:space="preserve"> 21 U.S.C. § 862; 47 CFR § 1.2002(a)</w:t>
      </w:r>
      <w:r>
        <w:rPr>
          <w:sz w:val="20"/>
        </w:rPr>
        <w:t>-</w:t>
      </w:r>
      <w:r w:rsidRPr="00C21E95">
        <w:rPr>
          <w:sz w:val="20"/>
        </w:rPr>
        <w:t>(b).</w:t>
      </w:r>
    </w:p>
  </w:footnote>
  <w:footnote w:id="40">
    <w:p w:rsidR="00A94F6C" w:rsidRPr="00C21E95" w:rsidP="00A94F6C" w14:paraId="09276CCC" w14:textId="77777777">
      <w:pPr>
        <w:autoSpaceDE w:val="0"/>
        <w:autoSpaceDN w:val="0"/>
        <w:adjustRightInd w:val="0"/>
        <w:spacing w:after="120"/>
        <w:rPr>
          <w:color w:val="000000"/>
          <w:sz w:val="20"/>
        </w:rPr>
      </w:pPr>
      <w:r w:rsidRPr="00C21E95">
        <w:rPr>
          <w:rStyle w:val="FootnoteReference"/>
          <w:sz w:val="20"/>
        </w:rPr>
        <w:footnoteRef/>
      </w:r>
      <w:r w:rsidRPr="00C21E95">
        <w:rPr>
          <w:sz w:val="20"/>
        </w:rPr>
        <w:t xml:space="preserve"> </w:t>
      </w:r>
      <w:r w:rsidRPr="00C21E95">
        <w:rPr>
          <w:i/>
          <w:iCs/>
          <w:color w:val="000000"/>
          <w:sz w:val="20"/>
        </w:rPr>
        <w:t>See</w:t>
      </w:r>
      <w:r w:rsidRPr="00C21E95">
        <w:rPr>
          <w:color w:val="000000"/>
          <w:sz w:val="20"/>
        </w:rPr>
        <w:t xml:space="preserve"> 47 CFR § 54.202(a).</w:t>
      </w:r>
    </w:p>
  </w:footnote>
  <w:footnote w:id="41">
    <w:p w:rsidR="00A94F6C" w:rsidRPr="00C21E95" w:rsidP="00A94F6C" w14:paraId="48859464" w14:textId="77777777">
      <w:pPr>
        <w:pStyle w:val="FootnoteText"/>
        <w:spacing w:after="120"/>
        <w:rPr>
          <w:sz w:val="20"/>
        </w:rPr>
      </w:pPr>
      <w:r w:rsidRPr="00C21E95">
        <w:rPr>
          <w:rStyle w:val="FootnoteReference"/>
          <w:sz w:val="20"/>
        </w:rPr>
        <w:footnoteRef/>
      </w:r>
      <w:r w:rsidRPr="00C21E95">
        <w:rPr>
          <w:sz w:val="20"/>
        </w:rPr>
        <w:t xml:space="preserve"> 47 U.S.C. § 214(e)(6); 47 CFR § 54.202(b).  For Auction 904 support recipients, the Bureau waived certain requirements in section 54.202 of the Commission’s rules and adopted a presumption that designation will serve the public interest.  </w:t>
      </w:r>
      <w:r w:rsidRPr="00C21E95">
        <w:rPr>
          <w:i/>
          <w:sz w:val="20"/>
        </w:rPr>
        <w:t>Rural Digital Opportunity Fund Phase I Auction (Auction 904) Closes; Winning Bidders Announced; FCC Form 683 Due January 29, 2021</w:t>
      </w:r>
      <w:r w:rsidRPr="00C21E95">
        <w:rPr>
          <w:sz w:val="20"/>
        </w:rPr>
        <w:t xml:space="preserve">, WC Docket No. 19-126 et al., Public Notice, 35 FCC </w:t>
      </w:r>
      <w:r w:rsidRPr="00C21E95">
        <w:rPr>
          <w:sz w:val="20"/>
        </w:rPr>
        <w:t>Rcd</w:t>
      </w:r>
      <w:r w:rsidRPr="00C21E95">
        <w:rPr>
          <w:sz w:val="20"/>
        </w:rPr>
        <w:t xml:space="preserve"> 13888, 13901 n.71 (</w:t>
      </w:r>
      <w:r w:rsidRPr="00C21E95">
        <w:rPr>
          <w:iCs/>
          <w:sz w:val="20"/>
        </w:rPr>
        <w:t>RBATF/OEA/WCB 2020</w:t>
      </w:r>
      <w:r w:rsidRPr="00C21E95">
        <w:rPr>
          <w:sz w:val="20"/>
        </w:rPr>
        <w:t xml:space="preserve">).  Because </w:t>
      </w:r>
      <w:r>
        <w:rPr>
          <w:sz w:val="20"/>
        </w:rPr>
        <w:t>Yellowhammer</w:t>
      </w:r>
      <w:r w:rsidRPr="00C21E95">
        <w:rPr>
          <w:sz w:val="20"/>
        </w:rPr>
        <w:t xml:space="preserve"> will stand in the shoes of </w:t>
      </w:r>
      <w:r>
        <w:rPr>
          <w:sz w:val="20"/>
        </w:rPr>
        <w:t>BroadLife</w:t>
      </w:r>
      <w:r w:rsidRPr="00C21E95">
        <w:rPr>
          <w:sz w:val="20"/>
        </w:rPr>
        <w:t xml:space="preserve"> upon approval of the Application with respect to service and support for the Assigned Census Blocks, the Bureau finds that </w:t>
      </w:r>
      <w:r>
        <w:rPr>
          <w:sz w:val="20"/>
        </w:rPr>
        <w:t>Yellowhammer</w:t>
      </w:r>
      <w:r w:rsidRPr="00C21E95">
        <w:rPr>
          <w:sz w:val="20"/>
        </w:rPr>
        <w:t xml:space="preserve"> is in the same position as an RDOF support awardee and is entitled to the same waivers and presumption.    </w:t>
      </w:r>
    </w:p>
  </w:footnote>
  <w:footnote w:id="42">
    <w:p w:rsidR="00A94F6C" w:rsidRPr="00C21E95" w:rsidP="00A94F6C" w14:paraId="479AA8B4" w14:textId="77777777">
      <w:pPr>
        <w:pStyle w:val="FootnoteText"/>
        <w:spacing w:after="120"/>
        <w:rPr>
          <w:sz w:val="20"/>
          <w:u w:val="single"/>
        </w:rPr>
      </w:pPr>
      <w:r w:rsidRPr="00C21E95">
        <w:rPr>
          <w:rStyle w:val="FootnoteReference"/>
          <w:sz w:val="20"/>
        </w:rPr>
        <w:footnoteRef/>
      </w:r>
      <w:r w:rsidRPr="00C21E95">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C21E95">
        <w:rPr>
          <w:rFonts w:eastAsia="Calibri"/>
          <w:i/>
          <w:iCs/>
          <w:sz w:val="20"/>
        </w:rPr>
        <w:t>See FCC Announces Closure of FCC Headquarters Open Window and Change in Hand-Delivery Policy</w:t>
      </w:r>
      <w:r w:rsidRPr="00C21E95">
        <w:rPr>
          <w:rFonts w:eastAsia="Calibri"/>
          <w:sz w:val="20"/>
        </w:rPr>
        <w:t xml:space="preserve">, Public Notice, 35 FCC </w:t>
      </w:r>
      <w:r w:rsidRPr="00C21E95">
        <w:rPr>
          <w:rFonts w:eastAsia="Calibri"/>
          <w:sz w:val="20"/>
        </w:rPr>
        <w:t>Rcd</w:t>
      </w:r>
      <w:r w:rsidRPr="00C21E95">
        <w:rPr>
          <w:rFonts w:eastAsia="Calibri"/>
          <w:sz w:val="20"/>
        </w:rPr>
        <w:t xml:space="preserve"> 2788 (OS 2020).</w:t>
      </w:r>
    </w:p>
  </w:footnote>
  <w:footnote w:id="43">
    <w:p w:rsidR="00A94F6C" w:rsidRPr="00C21E95" w:rsidP="00A94F6C" w14:paraId="1346DC35" w14:textId="77777777">
      <w:pPr>
        <w:pStyle w:val="FootnoteText"/>
        <w:spacing w:after="120"/>
        <w:rPr>
          <w:sz w:val="20"/>
        </w:rPr>
      </w:pPr>
      <w:r w:rsidRPr="00C21E95">
        <w:rPr>
          <w:rStyle w:val="FootnoteReference"/>
          <w:sz w:val="20"/>
        </w:rPr>
        <w:footnoteRef/>
      </w:r>
      <w:r w:rsidRPr="00C21E95">
        <w:rPr>
          <w:sz w:val="20"/>
        </w:rPr>
        <w:t xml:space="preserve"> 47 CFR § 1.1206(b).</w:t>
      </w:r>
    </w:p>
  </w:footnote>
  <w:footnote w:id="44">
    <w:p w:rsidR="00A94F6C" w:rsidRPr="00C21E95" w:rsidP="00A94F6C" w14:paraId="207A966D" w14:textId="77777777">
      <w:pPr>
        <w:pStyle w:val="FootnoteText"/>
        <w:spacing w:after="120"/>
        <w:rPr>
          <w:sz w:val="20"/>
        </w:rPr>
      </w:pPr>
      <w:r w:rsidRPr="00C21E95">
        <w:rPr>
          <w:rStyle w:val="FootnoteReference"/>
          <w:sz w:val="20"/>
        </w:rPr>
        <w:footnoteRef/>
      </w:r>
      <w:r w:rsidRPr="00C21E95">
        <w:rPr>
          <w:sz w:val="20"/>
        </w:rPr>
        <w:t xml:space="preserve"> </w:t>
      </w:r>
      <w:r w:rsidRPr="00C21E95">
        <w:rPr>
          <w:i/>
          <w:sz w:val="20"/>
        </w:rPr>
        <w:t>See</w:t>
      </w:r>
      <w:r w:rsidRPr="00C21E95">
        <w:rPr>
          <w:sz w:val="20"/>
        </w:rPr>
        <w:t xml:space="preserve"> </w:t>
      </w:r>
      <w:r w:rsidRPr="00C21E95">
        <w:rPr>
          <w:i/>
          <w:iCs/>
          <w:sz w:val="20"/>
        </w:rPr>
        <w:t>id.</w:t>
      </w:r>
      <w:r w:rsidRPr="00C21E95">
        <w:rPr>
          <w:sz w:val="20"/>
        </w:rPr>
        <w:t xml:space="preserve">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5FE4B0B4">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21B78E3" w14:textId="77777777">
                <w:pPr>
                  <w:jc w:val="right"/>
                  <w:rPr>
                    <w:rFonts w:ascii="Arial" w:hAnsi="Arial"/>
                    <w:b/>
                    <w:sz w:val="16"/>
                  </w:rPr>
                </w:pP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E95" w14:paraId="19E99DC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E95" w14:paraId="76D4CAA9" w14:textId="77777777">
    <w:pPr>
      <w:pStyle w:val="Header"/>
    </w:pPr>
    <w:r>
      <w:rPr>
        <w:noProof/>
      </w:rPr>
      <w:drawing>
        <wp:inline distT="0" distB="0" distL="0" distR="0">
          <wp:extent cx="5949950" cy="145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54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5438"/>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3782F"/>
    <w:rsid w:val="00040610"/>
    <w:rsid w:val="00040B01"/>
    <w:rsid w:val="00040BA0"/>
    <w:rsid w:val="00040DAF"/>
    <w:rsid w:val="00041B38"/>
    <w:rsid w:val="00041C01"/>
    <w:rsid w:val="00043692"/>
    <w:rsid w:val="0004575B"/>
    <w:rsid w:val="000461B3"/>
    <w:rsid w:val="0004648D"/>
    <w:rsid w:val="00050A3A"/>
    <w:rsid w:val="000534AC"/>
    <w:rsid w:val="000569A0"/>
    <w:rsid w:val="000575E7"/>
    <w:rsid w:val="000576F0"/>
    <w:rsid w:val="00057881"/>
    <w:rsid w:val="00057E12"/>
    <w:rsid w:val="00060124"/>
    <w:rsid w:val="00061648"/>
    <w:rsid w:val="000629CF"/>
    <w:rsid w:val="000639C7"/>
    <w:rsid w:val="00063CA5"/>
    <w:rsid w:val="00064092"/>
    <w:rsid w:val="00064C7D"/>
    <w:rsid w:val="000656F9"/>
    <w:rsid w:val="0006624C"/>
    <w:rsid w:val="00066250"/>
    <w:rsid w:val="00066D12"/>
    <w:rsid w:val="000677D9"/>
    <w:rsid w:val="000721D3"/>
    <w:rsid w:val="00073173"/>
    <w:rsid w:val="000735C8"/>
    <w:rsid w:val="000746B6"/>
    <w:rsid w:val="00075703"/>
    <w:rsid w:val="00075D57"/>
    <w:rsid w:val="00077E64"/>
    <w:rsid w:val="00080F60"/>
    <w:rsid w:val="0008381D"/>
    <w:rsid w:val="000852CD"/>
    <w:rsid w:val="00086D16"/>
    <w:rsid w:val="00087205"/>
    <w:rsid w:val="00092A4E"/>
    <w:rsid w:val="000946FB"/>
    <w:rsid w:val="0009534A"/>
    <w:rsid w:val="00097AB0"/>
    <w:rsid w:val="000A24AA"/>
    <w:rsid w:val="000A2EEF"/>
    <w:rsid w:val="000A3019"/>
    <w:rsid w:val="000A5FD3"/>
    <w:rsid w:val="000A65C4"/>
    <w:rsid w:val="000A671D"/>
    <w:rsid w:val="000B0795"/>
    <w:rsid w:val="000B1C31"/>
    <w:rsid w:val="000B2362"/>
    <w:rsid w:val="000B3146"/>
    <w:rsid w:val="000B390D"/>
    <w:rsid w:val="000B48A6"/>
    <w:rsid w:val="000B4EDD"/>
    <w:rsid w:val="000B5635"/>
    <w:rsid w:val="000B6839"/>
    <w:rsid w:val="000C004F"/>
    <w:rsid w:val="000C053F"/>
    <w:rsid w:val="000C0882"/>
    <w:rsid w:val="000C1460"/>
    <w:rsid w:val="000C7CA4"/>
    <w:rsid w:val="000D2383"/>
    <w:rsid w:val="000D3A8B"/>
    <w:rsid w:val="000D59D7"/>
    <w:rsid w:val="000D7E4D"/>
    <w:rsid w:val="000E0D44"/>
    <w:rsid w:val="000E14B7"/>
    <w:rsid w:val="000E1546"/>
    <w:rsid w:val="000E35A7"/>
    <w:rsid w:val="000E4938"/>
    <w:rsid w:val="000E538C"/>
    <w:rsid w:val="000E5955"/>
    <w:rsid w:val="000F02F7"/>
    <w:rsid w:val="000F233E"/>
    <w:rsid w:val="000F467E"/>
    <w:rsid w:val="000F5E94"/>
    <w:rsid w:val="00100ED3"/>
    <w:rsid w:val="001011BC"/>
    <w:rsid w:val="001019E2"/>
    <w:rsid w:val="00101D0B"/>
    <w:rsid w:val="00106671"/>
    <w:rsid w:val="00106F5A"/>
    <w:rsid w:val="001150BA"/>
    <w:rsid w:val="00115513"/>
    <w:rsid w:val="0011590C"/>
    <w:rsid w:val="0011599F"/>
    <w:rsid w:val="00116026"/>
    <w:rsid w:val="00117529"/>
    <w:rsid w:val="00117D06"/>
    <w:rsid w:val="001226CB"/>
    <w:rsid w:val="0012329A"/>
    <w:rsid w:val="0012437D"/>
    <w:rsid w:val="001250AA"/>
    <w:rsid w:val="00126DDB"/>
    <w:rsid w:val="001312D2"/>
    <w:rsid w:val="00131952"/>
    <w:rsid w:val="00132529"/>
    <w:rsid w:val="0013405D"/>
    <w:rsid w:val="00134FFC"/>
    <w:rsid w:val="001356E5"/>
    <w:rsid w:val="00135941"/>
    <w:rsid w:val="0014084C"/>
    <w:rsid w:val="00141388"/>
    <w:rsid w:val="00142ED5"/>
    <w:rsid w:val="0014335B"/>
    <w:rsid w:val="001449F9"/>
    <w:rsid w:val="00144E61"/>
    <w:rsid w:val="001470F0"/>
    <w:rsid w:val="00147239"/>
    <w:rsid w:val="001474FD"/>
    <w:rsid w:val="001511F2"/>
    <w:rsid w:val="001513B4"/>
    <w:rsid w:val="0015217F"/>
    <w:rsid w:val="00152CF6"/>
    <w:rsid w:val="001538C4"/>
    <w:rsid w:val="001551A7"/>
    <w:rsid w:val="00155CC3"/>
    <w:rsid w:val="00156EA3"/>
    <w:rsid w:val="00161A99"/>
    <w:rsid w:val="001624CA"/>
    <w:rsid w:val="00165FDC"/>
    <w:rsid w:val="00170C2E"/>
    <w:rsid w:val="00171181"/>
    <w:rsid w:val="001736D0"/>
    <w:rsid w:val="00176BD0"/>
    <w:rsid w:val="00176D10"/>
    <w:rsid w:val="00176DCC"/>
    <w:rsid w:val="0018581D"/>
    <w:rsid w:val="00185E2C"/>
    <w:rsid w:val="00187617"/>
    <w:rsid w:val="00190745"/>
    <w:rsid w:val="001916C0"/>
    <w:rsid w:val="00193234"/>
    <w:rsid w:val="001947E9"/>
    <w:rsid w:val="00194E1E"/>
    <w:rsid w:val="001A00A7"/>
    <w:rsid w:val="001A2DFA"/>
    <w:rsid w:val="001A3813"/>
    <w:rsid w:val="001A3E67"/>
    <w:rsid w:val="001A47EC"/>
    <w:rsid w:val="001A5568"/>
    <w:rsid w:val="001B1B08"/>
    <w:rsid w:val="001B1E25"/>
    <w:rsid w:val="001B294D"/>
    <w:rsid w:val="001B2C26"/>
    <w:rsid w:val="001B2FBB"/>
    <w:rsid w:val="001B475A"/>
    <w:rsid w:val="001B4C2F"/>
    <w:rsid w:val="001B57A4"/>
    <w:rsid w:val="001B69F9"/>
    <w:rsid w:val="001B6EFA"/>
    <w:rsid w:val="001C2314"/>
    <w:rsid w:val="001C3C98"/>
    <w:rsid w:val="001C5D07"/>
    <w:rsid w:val="001C78FB"/>
    <w:rsid w:val="001C7CD1"/>
    <w:rsid w:val="001D10A0"/>
    <w:rsid w:val="001D3F27"/>
    <w:rsid w:val="001E1210"/>
    <w:rsid w:val="001E16CA"/>
    <w:rsid w:val="001E2274"/>
    <w:rsid w:val="001E382D"/>
    <w:rsid w:val="001E659B"/>
    <w:rsid w:val="001E70DE"/>
    <w:rsid w:val="001E7604"/>
    <w:rsid w:val="001F024C"/>
    <w:rsid w:val="001F1377"/>
    <w:rsid w:val="001F1508"/>
    <w:rsid w:val="001F23E3"/>
    <w:rsid w:val="001F33B5"/>
    <w:rsid w:val="001F63D8"/>
    <w:rsid w:val="001F6762"/>
    <w:rsid w:val="002003E5"/>
    <w:rsid w:val="0020342F"/>
    <w:rsid w:val="002057AC"/>
    <w:rsid w:val="002073D2"/>
    <w:rsid w:val="00207926"/>
    <w:rsid w:val="00210341"/>
    <w:rsid w:val="00211CCB"/>
    <w:rsid w:val="00213D04"/>
    <w:rsid w:val="00214441"/>
    <w:rsid w:val="002159D4"/>
    <w:rsid w:val="00215D21"/>
    <w:rsid w:val="0021680F"/>
    <w:rsid w:val="00216E87"/>
    <w:rsid w:val="0022090C"/>
    <w:rsid w:val="002217F0"/>
    <w:rsid w:val="00221E35"/>
    <w:rsid w:val="002223D3"/>
    <w:rsid w:val="00222993"/>
    <w:rsid w:val="0022329B"/>
    <w:rsid w:val="002233EF"/>
    <w:rsid w:val="00223E8C"/>
    <w:rsid w:val="0022449B"/>
    <w:rsid w:val="00224E0E"/>
    <w:rsid w:val="00225A51"/>
    <w:rsid w:val="00225F62"/>
    <w:rsid w:val="00226656"/>
    <w:rsid w:val="0022673B"/>
    <w:rsid w:val="00226C9D"/>
    <w:rsid w:val="00226CC3"/>
    <w:rsid w:val="002308A9"/>
    <w:rsid w:val="00230D61"/>
    <w:rsid w:val="00231828"/>
    <w:rsid w:val="002344E7"/>
    <w:rsid w:val="00234F46"/>
    <w:rsid w:val="00235F0E"/>
    <w:rsid w:val="00240B49"/>
    <w:rsid w:val="00241CB2"/>
    <w:rsid w:val="0024326F"/>
    <w:rsid w:val="00244DB3"/>
    <w:rsid w:val="00250074"/>
    <w:rsid w:val="002519DF"/>
    <w:rsid w:val="0025247F"/>
    <w:rsid w:val="00253247"/>
    <w:rsid w:val="00253AB2"/>
    <w:rsid w:val="00253FC4"/>
    <w:rsid w:val="00255351"/>
    <w:rsid w:val="00257DD2"/>
    <w:rsid w:val="002606A8"/>
    <w:rsid w:val="0026090D"/>
    <w:rsid w:val="00262C25"/>
    <w:rsid w:val="00262E65"/>
    <w:rsid w:val="00263433"/>
    <w:rsid w:val="0026356E"/>
    <w:rsid w:val="00266135"/>
    <w:rsid w:val="002666BC"/>
    <w:rsid w:val="00266D63"/>
    <w:rsid w:val="00267BF2"/>
    <w:rsid w:val="00272142"/>
    <w:rsid w:val="00277153"/>
    <w:rsid w:val="00277D9F"/>
    <w:rsid w:val="00280873"/>
    <w:rsid w:val="0028149F"/>
    <w:rsid w:val="0028397D"/>
    <w:rsid w:val="0028555C"/>
    <w:rsid w:val="00286187"/>
    <w:rsid w:val="0028620E"/>
    <w:rsid w:val="00287432"/>
    <w:rsid w:val="00287FB9"/>
    <w:rsid w:val="0029098D"/>
    <w:rsid w:val="002923BD"/>
    <w:rsid w:val="00294417"/>
    <w:rsid w:val="00297F1D"/>
    <w:rsid w:val="002A1D13"/>
    <w:rsid w:val="002A1FC2"/>
    <w:rsid w:val="002A30D9"/>
    <w:rsid w:val="002A7BD3"/>
    <w:rsid w:val="002B16FA"/>
    <w:rsid w:val="002B1948"/>
    <w:rsid w:val="002B1EF7"/>
    <w:rsid w:val="002B26A1"/>
    <w:rsid w:val="002B34DB"/>
    <w:rsid w:val="002B430C"/>
    <w:rsid w:val="002B58DE"/>
    <w:rsid w:val="002B5D0C"/>
    <w:rsid w:val="002B6B43"/>
    <w:rsid w:val="002B705C"/>
    <w:rsid w:val="002B7287"/>
    <w:rsid w:val="002C0122"/>
    <w:rsid w:val="002C1AA9"/>
    <w:rsid w:val="002C203E"/>
    <w:rsid w:val="002C22F3"/>
    <w:rsid w:val="002C27F4"/>
    <w:rsid w:val="002C3F26"/>
    <w:rsid w:val="002D09E2"/>
    <w:rsid w:val="002D0D60"/>
    <w:rsid w:val="002D11BE"/>
    <w:rsid w:val="002D16A6"/>
    <w:rsid w:val="002D4A00"/>
    <w:rsid w:val="002D4CB4"/>
    <w:rsid w:val="002D65CC"/>
    <w:rsid w:val="002D6F61"/>
    <w:rsid w:val="002E0BAF"/>
    <w:rsid w:val="002E0D7E"/>
    <w:rsid w:val="002E2A6F"/>
    <w:rsid w:val="002E3408"/>
    <w:rsid w:val="002E363F"/>
    <w:rsid w:val="002E4894"/>
    <w:rsid w:val="002F2901"/>
    <w:rsid w:val="002F4E17"/>
    <w:rsid w:val="002F5F38"/>
    <w:rsid w:val="002F7B2B"/>
    <w:rsid w:val="0030523C"/>
    <w:rsid w:val="00305D86"/>
    <w:rsid w:val="00306AAD"/>
    <w:rsid w:val="0031156F"/>
    <w:rsid w:val="003118DA"/>
    <w:rsid w:val="00312CE1"/>
    <w:rsid w:val="00313546"/>
    <w:rsid w:val="003155F8"/>
    <w:rsid w:val="00315BA9"/>
    <w:rsid w:val="00315D50"/>
    <w:rsid w:val="00315FCD"/>
    <w:rsid w:val="0031636F"/>
    <w:rsid w:val="00321F97"/>
    <w:rsid w:val="00325988"/>
    <w:rsid w:val="00325E35"/>
    <w:rsid w:val="0032625B"/>
    <w:rsid w:val="0032695E"/>
    <w:rsid w:val="0033381B"/>
    <w:rsid w:val="00334E5E"/>
    <w:rsid w:val="00334E6C"/>
    <w:rsid w:val="003357F4"/>
    <w:rsid w:val="0033631D"/>
    <w:rsid w:val="00340624"/>
    <w:rsid w:val="00340881"/>
    <w:rsid w:val="003416E5"/>
    <w:rsid w:val="00344B5A"/>
    <w:rsid w:val="00345017"/>
    <w:rsid w:val="00345CA2"/>
    <w:rsid w:val="003471AE"/>
    <w:rsid w:val="003479C9"/>
    <w:rsid w:val="00350823"/>
    <w:rsid w:val="00351689"/>
    <w:rsid w:val="003518E5"/>
    <w:rsid w:val="00351D1D"/>
    <w:rsid w:val="00353CB5"/>
    <w:rsid w:val="0035663A"/>
    <w:rsid w:val="00356922"/>
    <w:rsid w:val="003570A6"/>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477A"/>
    <w:rsid w:val="003855A0"/>
    <w:rsid w:val="00387294"/>
    <w:rsid w:val="003879D0"/>
    <w:rsid w:val="00387BBE"/>
    <w:rsid w:val="003910DF"/>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63F1"/>
    <w:rsid w:val="003A7B39"/>
    <w:rsid w:val="003B01B9"/>
    <w:rsid w:val="003B08F2"/>
    <w:rsid w:val="003B1362"/>
    <w:rsid w:val="003B26B4"/>
    <w:rsid w:val="003B3E60"/>
    <w:rsid w:val="003B43C3"/>
    <w:rsid w:val="003B5CEE"/>
    <w:rsid w:val="003C18DA"/>
    <w:rsid w:val="003C2000"/>
    <w:rsid w:val="003C23FE"/>
    <w:rsid w:val="003C4A02"/>
    <w:rsid w:val="003C7229"/>
    <w:rsid w:val="003D08F3"/>
    <w:rsid w:val="003D0E6A"/>
    <w:rsid w:val="003D0F71"/>
    <w:rsid w:val="003D0F8F"/>
    <w:rsid w:val="003D44B5"/>
    <w:rsid w:val="003D4F94"/>
    <w:rsid w:val="003D4FC7"/>
    <w:rsid w:val="003D6C65"/>
    <w:rsid w:val="003D6E42"/>
    <w:rsid w:val="003E14F3"/>
    <w:rsid w:val="003E1784"/>
    <w:rsid w:val="003E187A"/>
    <w:rsid w:val="003E2442"/>
    <w:rsid w:val="003E3AD7"/>
    <w:rsid w:val="003E5630"/>
    <w:rsid w:val="003E58EC"/>
    <w:rsid w:val="003E6571"/>
    <w:rsid w:val="003F0945"/>
    <w:rsid w:val="003F0ECD"/>
    <w:rsid w:val="003F16BE"/>
    <w:rsid w:val="003F1D04"/>
    <w:rsid w:val="003F2CD4"/>
    <w:rsid w:val="003F398A"/>
    <w:rsid w:val="003F58EA"/>
    <w:rsid w:val="00401B7B"/>
    <w:rsid w:val="0040580F"/>
    <w:rsid w:val="004076BA"/>
    <w:rsid w:val="004077D0"/>
    <w:rsid w:val="00412C94"/>
    <w:rsid w:val="00413F72"/>
    <w:rsid w:val="00414726"/>
    <w:rsid w:val="00417052"/>
    <w:rsid w:val="00420995"/>
    <w:rsid w:val="00422B16"/>
    <w:rsid w:val="0042593D"/>
    <w:rsid w:val="00425FAF"/>
    <w:rsid w:val="00425FF2"/>
    <w:rsid w:val="0042603C"/>
    <w:rsid w:val="0042656C"/>
    <w:rsid w:val="004272E4"/>
    <w:rsid w:val="00427CD0"/>
    <w:rsid w:val="00430070"/>
    <w:rsid w:val="00430AC0"/>
    <w:rsid w:val="00430E1C"/>
    <w:rsid w:val="00431E30"/>
    <w:rsid w:val="004331D7"/>
    <w:rsid w:val="00433D8C"/>
    <w:rsid w:val="0043418D"/>
    <w:rsid w:val="00434899"/>
    <w:rsid w:val="00434C96"/>
    <w:rsid w:val="004354F6"/>
    <w:rsid w:val="0043596D"/>
    <w:rsid w:val="00436B4A"/>
    <w:rsid w:val="0044009A"/>
    <w:rsid w:val="00440989"/>
    <w:rsid w:val="004413E2"/>
    <w:rsid w:val="00441C76"/>
    <w:rsid w:val="004435EE"/>
    <w:rsid w:val="00444548"/>
    <w:rsid w:val="00446342"/>
    <w:rsid w:val="00446724"/>
    <w:rsid w:val="004503EA"/>
    <w:rsid w:val="00452843"/>
    <w:rsid w:val="00453514"/>
    <w:rsid w:val="0045717F"/>
    <w:rsid w:val="00457574"/>
    <w:rsid w:val="00460914"/>
    <w:rsid w:val="004609A4"/>
    <w:rsid w:val="00462D8F"/>
    <w:rsid w:val="00464B40"/>
    <w:rsid w:val="00464B4D"/>
    <w:rsid w:val="00464E8A"/>
    <w:rsid w:val="00465520"/>
    <w:rsid w:val="00466B9F"/>
    <w:rsid w:val="00467EDC"/>
    <w:rsid w:val="004729B0"/>
    <w:rsid w:val="00473955"/>
    <w:rsid w:val="00476EFB"/>
    <w:rsid w:val="004808FC"/>
    <w:rsid w:val="004826C8"/>
    <w:rsid w:val="00482EB0"/>
    <w:rsid w:val="00483B1B"/>
    <w:rsid w:val="00485BBB"/>
    <w:rsid w:val="00485D13"/>
    <w:rsid w:val="00490F6A"/>
    <w:rsid w:val="004913FF"/>
    <w:rsid w:val="00492290"/>
    <w:rsid w:val="00492A28"/>
    <w:rsid w:val="00494BA0"/>
    <w:rsid w:val="004951AE"/>
    <w:rsid w:val="004A3A3C"/>
    <w:rsid w:val="004A4D05"/>
    <w:rsid w:val="004A51C9"/>
    <w:rsid w:val="004A59CA"/>
    <w:rsid w:val="004A684C"/>
    <w:rsid w:val="004A7357"/>
    <w:rsid w:val="004A7DA6"/>
    <w:rsid w:val="004A7E1B"/>
    <w:rsid w:val="004B24F3"/>
    <w:rsid w:val="004B49CC"/>
    <w:rsid w:val="004B666C"/>
    <w:rsid w:val="004B674F"/>
    <w:rsid w:val="004B79AF"/>
    <w:rsid w:val="004C0C77"/>
    <w:rsid w:val="004C0CEF"/>
    <w:rsid w:val="004C219F"/>
    <w:rsid w:val="004C22B8"/>
    <w:rsid w:val="004C2516"/>
    <w:rsid w:val="004C3DB0"/>
    <w:rsid w:val="004C712F"/>
    <w:rsid w:val="004C73F4"/>
    <w:rsid w:val="004D41AA"/>
    <w:rsid w:val="004D4610"/>
    <w:rsid w:val="004D53C3"/>
    <w:rsid w:val="004D5A7C"/>
    <w:rsid w:val="004D67B7"/>
    <w:rsid w:val="004D74A5"/>
    <w:rsid w:val="004D7AF3"/>
    <w:rsid w:val="004D7D98"/>
    <w:rsid w:val="004E0469"/>
    <w:rsid w:val="004E2081"/>
    <w:rsid w:val="004E5AE8"/>
    <w:rsid w:val="004E6AC6"/>
    <w:rsid w:val="004E718B"/>
    <w:rsid w:val="004E74EE"/>
    <w:rsid w:val="004F1C11"/>
    <w:rsid w:val="004F2447"/>
    <w:rsid w:val="004F2D35"/>
    <w:rsid w:val="004F3603"/>
    <w:rsid w:val="004F3CEC"/>
    <w:rsid w:val="004F515D"/>
    <w:rsid w:val="004F686B"/>
    <w:rsid w:val="004F6F64"/>
    <w:rsid w:val="00500BD0"/>
    <w:rsid w:val="00501D17"/>
    <w:rsid w:val="00501F06"/>
    <w:rsid w:val="00503C8A"/>
    <w:rsid w:val="00504505"/>
    <w:rsid w:val="00504BF5"/>
    <w:rsid w:val="00505DA1"/>
    <w:rsid w:val="0050614C"/>
    <w:rsid w:val="005107DF"/>
    <w:rsid w:val="00511514"/>
    <w:rsid w:val="0051681C"/>
    <w:rsid w:val="00521FBD"/>
    <w:rsid w:val="005226C6"/>
    <w:rsid w:val="00522D66"/>
    <w:rsid w:val="00524D79"/>
    <w:rsid w:val="00526561"/>
    <w:rsid w:val="005273AB"/>
    <w:rsid w:val="00527788"/>
    <w:rsid w:val="005320B5"/>
    <w:rsid w:val="005336D7"/>
    <w:rsid w:val="00533917"/>
    <w:rsid w:val="00535877"/>
    <w:rsid w:val="00536ED2"/>
    <w:rsid w:val="0053732F"/>
    <w:rsid w:val="00540E25"/>
    <w:rsid w:val="00541D22"/>
    <w:rsid w:val="00542146"/>
    <w:rsid w:val="005424F4"/>
    <w:rsid w:val="005431A6"/>
    <w:rsid w:val="0054328E"/>
    <w:rsid w:val="0054677E"/>
    <w:rsid w:val="00546B13"/>
    <w:rsid w:val="005473A6"/>
    <w:rsid w:val="005505CE"/>
    <w:rsid w:val="00551202"/>
    <w:rsid w:val="00551ADB"/>
    <w:rsid w:val="005524B6"/>
    <w:rsid w:val="00552DD8"/>
    <w:rsid w:val="00554D90"/>
    <w:rsid w:val="00554E17"/>
    <w:rsid w:val="0055505D"/>
    <w:rsid w:val="0055684E"/>
    <w:rsid w:val="0056058F"/>
    <w:rsid w:val="0056467B"/>
    <w:rsid w:val="00567286"/>
    <w:rsid w:val="00570DA8"/>
    <w:rsid w:val="00573CA8"/>
    <w:rsid w:val="00575F7A"/>
    <w:rsid w:val="00576EDE"/>
    <w:rsid w:val="00580DBD"/>
    <w:rsid w:val="00581792"/>
    <w:rsid w:val="00585D57"/>
    <w:rsid w:val="0059084B"/>
    <w:rsid w:val="00591C54"/>
    <w:rsid w:val="005929D8"/>
    <w:rsid w:val="00592F09"/>
    <w:rsid w:val="005932BA"/>
    <w:rsid w:val="005932DF"/>
    <w:rsid w:val="005944F5"/>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13"/>
    <w:rsid w:val="005B57F1"/>
    <w:rsid w:val="005B5B84"/>
    <w:rsid w:val="005C0AE1"/>
    <w:rsid w:val="005C2ADB"/>
    <w:rsid w:val="005C342C"/>
    <w:rsid w:val="005C3E2F"/>
    <w:rsid w:val="005C403A"/>
    <w:rsid w:val="005C44C6"/>
    <w:rsid w:val="005C5C55"/>
    <w:rsid w:val="005C740F"/>
    <w:rsid w:val="005C7DC4"/>
    <w:rsid w:val="005D1C91"/>
    <w:rsid w:val="005D367C"/>
    <w:rsid w:val="005D4020"/>
    <w:rsid w:val="005D55CB"/>
    <w:rsid w:val="005D5B08"/>
    <w:rsid w:val="005D64C0"/>
    <w:rsid w:val="005D6BD0"/>
    <w:rsid w:val="005D709C"/>
    <w:rsid w:val="005D7F49"/>
    <w:rsid w:val="005E0C56"/>
    <w:rsid w:val="005E1BF3"/>
    <w:rsid w:val="005E21F5"/>
    <w:rsid w:val="005E40DD"/>
    <w:rsid w:val="005E4129"/>
    <w:rsid w:val="005E6203"/>
    <w:rsid w:val="005E6383"/>
    <w:rsid w:val="005E65C4"/>
    <w:rsid w:val="005E7A72"/>
    <w:rsid w:val="005E7C21"/>
    <w:rsid w:val="005F0281"/>
    <w:rsid w:val="005F06C4"/>
    <w:rsid w:val="005F090A"/>
    <w:rsid w:val="005F189F"/>
    <w:rsid w:val="005F2812"/>
    <w:rsid w:val="005F73CF"/>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CD9"/>
    <w:rsid w:val="00611E7B"/>
    <w:rsid w:val="00615ADB"/>
    <w:rsid w:val="00615BB7"/>
    <w:rsid w:val="00616221"/>
    <w:rsid w:val="00616757"/>
    <w:rsid w:val="00617093"/>
    <w:rsid w:val="006177ED"/>
    <w:rsid w:val="00617F31"/>
    <w:rsid w:val="006200D1"/>
    <w:rsid w:val="00622967"/>
    <w:rsid w:val="00624F1F"/>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2589"/>
    <w:rsid w:val="00653610"/>
    <w:rsid w:val="00654B1F"/>
    <w:rsid w:val="00656777"/>
    <w:rsid w:val="0065693D"/>
    <w:rsid w:val="00660467"/>
    <w:rsid w:val="006619A7"/>
    <w:rsid w:val="00661D82"/>
    <w:rsid w:val="00663300"/>
    <w:rsid w:val="00663975"/>
    <w:rsid w:val="006639BB"/>
    <w:rsid w:val="00665C2A"/>
    <w:rsid w:val="00667736"/>
    <w:rsid w:val="006703D5"/>
    <w:rsid w:val="0067115F"/>
    <w:rsid w:val="006768CC"/>
    <w:rsid w:val="00677DF3"/>
    <w:rsid w:val="0068067C"/>
    <w:rsid w:val="00680868"/>
    <w:rsid w:val="00684AB3"/>
    <w:rsid w:val="00685DDA"/>
    <w:rsid w:val="006876EF"/>
    <w:rsid w:val="00690EA9"/>
    <w:rsid w:val="00691832"/>
    <w:rsid w:val="006925E9"/>
    <w:rsid w:val="00693C2C"/>
    <w:rsid w:val="0069455A"/>
    <w:rsid w:val="00695785"/>
    <w:rsid w:val="00697832"/>
    <w:rsid w:val="006A138C"/>
    <w:rsid w:val="006A156E"/>
    <w:rsid w:val="006A19A2"/>
    <w:rsid w:val="006A1C8E"/>
    <w:rsid w:val="006A1F64"/>
    <w:rsid w:val="006A525B"/>
    <w:rsid w:val="006B2B24"/>
    <w:rsid w:val="006B3480"/>
    <w:rsid w:val="006B36F1"/>
    <w:rsid w:val="006B5C06"/>
    <w:rsid w:val="006B6400"/>
    <w:rsid w:val="006C146A"/>
    <w:rsid w:val="006C211E"/>
    <w:rsid w:val="006C277B"/>
    <w:rsid w:val="006C2DC7"/>
    <w:rsid w:val="006C32C8"/>
    <w:rsid w:val="006C3309"/>
    <w:rsid w:val="006C4F3D"/>
    <w:rsid w:val="006C5160"/>
    <w:rsid w:val="006C5912"/>
    <w:rsid w:val="006C591C"/>
    <w:rsid w:val="006C6FE0"/>
    <w:rsid w:val="006D2677"/>
    <w:rsid w:val="006D3591"/>
    <w:rsid w:val="006D49DF"/>
    <w:rsid w:val="006D4FB7"/>
    <w:rsid w:val="006E099D"/>
    <w:rsid w:val="006E37FC"/>
    <w:rsid w:val="006E3B3B"/>
    <w:rsid w:val="006E3C11"/>
    <w:rsid w:val="006E3E11"/>
    <w:rsid w:val="006E4EF0"/>
    <w:rsid w:val="006E61ED"/>
    <w:rsid w:val="006E643F"/>
    <w:rsid w:val="006E67A0"/>
    <w:rsid w:val="006E7201"/>
    <w:rsid w:val="006E7452"/>
    <w:rsid w:val="006E77B7"/>
    <w:rsid w:val="006F1EDD"/>
    <w:rsid w:val="006F1F25"/>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411"/>
    <w:rsid w:val="0070755C"/>
    <w:rsid w:val="0071041E"/>
    <w:rsid w:val="00710722"/>
    <w:rsid w:val="00710BAB"/>
    <w:rsid w:val="00710E57"/>
    <w:rsid w:val="0071176B"/>
    <w:rsid w:val="00711905"/>
    <w:rsid w:val="007124C8"/>
    <w:rsid w:val="00712BB0"/>
    <w:rsid w:val="00714887"/>
    <w:rsid w:val="00717B82"/>
    <w:rsid w:val="00721062"/>
    <w:rsid w:val="00721165"/>
    <w:rsid w:val="00724722"/>
    <w:rsid w:val="00726309"/>
    <w:rsid w:val="00726BA2"/>
    <w:rsid w:val="00726D9F"/>
    <w:rsid w:val="0072750E"/>
    <w:rsid w:val="00732BB4"/>
    <w:rsid w:val="00733B9B"/>
    <w:rsid w:val="007349C4"/>
    <w:rsid w:val="007413DA"/>
    <w:rsid w:val="00741682"/>
    <w:rsid w:val="007419C0"/>
    <w:rsid w:val="0074294F"/>
    <w:rsid w:val="00743142"/>
    <w:rsid w:val="00744022"/>
    <w:rsid w:val="00744E0C"/>
    <w:rsid w:val="00745559"/>
    <w:rsid w:val="00746FDA"/>
    <w:rsid w:val="00753889"/>
    <w:rsid w:val="0075392E"/>
    <w:rsid w:val="00756775"/>
    <w:rsid w:val="007569C5"/>
    <w:rsid w:val="00760269"/>
    <w:rsid w:val="00760571"/>
    <w:rsid w:val="00762664"/>
    <w:rsid w:val="0076279A"/>
    <w:rsid w:val="007631B9"/>
    <w:rsid w:val="0076331F"/>
    <w:rsid w:val="0076359A"/>
    <w:rsid w:val="00763BAD"/>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582D"/>
    <w:rsid w:val="007904D9"/>
    <w:rsid w:val="00790DDF"/>
    <w:rsid w:val="007915C7"/>
    <w:rsid w:val="007928DC"/>
    <w:rsid w:val="0079688A"/>
    <w:rsid w:val="00796E19"/>
    <w:rsid w:val="00796E54"/>
    <w:rsid w:val="007976EF"/>
    <w:rsid w:val="00797794"/>
    <w:rsid w:val="007A0A24"/>
    <w:rsid w:val="007A0EF3"/>
    <w:rsid w:val="007A2155"/>
    <w:rsid w:val="007A41CD"/>
    <w:rsid w:val="007A4B45"/>
    <w:rsid w:val="007A5BDB"/>
    <w:rsid w:val="007A6E5A"/>
    <w:rsid w:val="007B01FB"/>
    <w:rsid w:val="007B113D"/>
    <w:rsid w:val="007B1EAE"/>
    <w:rsid w:val="007B3649"/>
    <w:rsid w:val="007B4269"/>
    <w:rsid w:val="007B430F"/>
    <w:rsid w:val="007B44C7"/>
    <w:rsid w:val="007B4683"/>
    <w:rsid w:val="007B4D1E"/>
    <w:rsid w:val="007B4DB8"/>
    <w:rsid w:val="007B5F97"/>
    <w:rsid w:val="007B678F"/>
    <w:rsid w:val="007B7204"/>
    <w:rsid w:val="007C06D5"/>
    <w:rsid w:val="007C2014"/>
    <w:rsid w:val="007C263F"/>
    <w:rsid w:val="007C4108"/>
    <w:rsid w:val="007C4D2F"/>
    <w:rsid w:val="007D03E3"/>
    <w:rsid w:val="007D2657"/>
    <w:rsid w:val="007D27E1"/>
    <w:rsid w:val="007D2E71"/>
    <w:rsid w:val="007D31F7"/>
    <w:rsid w:val="007D3B6A"/>
    <w:rsid w:val="007D3B8F"/>
    <w:rsid w:val="007D60CD"/>
    <w:rsid w:val="007E0464"/>
    <w:rsid w:val="007E051A"/>
    <w:rsid w:val="007E44C2"/>
    <w:rsid w:val="007E47B5"/>
    <w:rsid w:val="007E614D"/>
    <w:rsid w:val="007E64BB"/>
    <w:rsid w:val="007E6693"/>
    <w:rsid w:val="007E6C01"/>
    <w:rsid w:val="007E6CDA"/>
    <w:rsid w:val="007F0263"/>
    <w:rsid w:val="007F1440"/>
    <w:rsid w:val="007F17C0"/>
    <w:rsid w:val="007F1CE8"/>
    <w:rsid w:val="007F23AB"/>
    <w:rsid w:val="007F3103"/>
    <w:rsid w:val="007F55F8"/>
    <w:rsid w:val="007F6E7B"/>
    <w:rsid w:val="007F7E7B"/>
    <w:rsid w:val="0080023C"/>
    <w:rsid w:val="0080055D"/>
    <w:rsid w:val="00803625"/>
    <w:rsid w:val="00804B53"/>
    <w:rsid w:val="008052CD"/>
    <w:rsid w:val="00805DF1"/>
    <w:rsid w:val="00806E02"/>
    <w:rsid w:val="00807040"/>
    <w:rsid w:val="0081108D"/>
    <w:rsid w:val="00813C6D"/>
    <w:rsid w:val="00814841"/>
    <w:rsid w:val="0081531F"/>
    <w:rsid w:val="00816546"/>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1587"/>
    <w:rsid w:val="00883013"/>
    <w:rsid w:val="008850A3"/>
    <w:rsid w:val="00885BBC"/>
    <w:rsid w:val="00890CFD"/>
    <w:rsid w:val="00893308"/>
    <w:rsid w:val="00894B20"/>
    <w:rsid w:val="008950DE"/>
    <w:rsid w:val="008954D0"/>
    <w:rsid w:val="00895561"/>
    <w:rsid w:val="00895EC3"/>
    <w:rsid w:val="0089666B"/>
    <w:rsid w:val="008A040F"/>
    <w:rsid w:val="008A103A"/>
    <w:rsid w:val="008A16BE"/>
    <w:rsid w:val="008A2C82"/>
    <w:rsid w:val="008A3AA2"/>
    <w:rsid w:val="008A4B75"/>
    <w:rsid w:val="008A5AB2"/>
    <w:rsid w:val="008A5E93"/>
    <w:rsid w:val="008A65A6"/>
    <w:rsid w:val="008A6CDA"/>
    <w:rsid w:val="008B10F8"/>
    <w:rsid w:val="008B1E38"/>
    <w:rsid w:val="008B3835"/>
    <w:rsid w:val="008C0750"/>
    <w:rsid w:val="008C1C7C"/>
    <w:rsid w:val="008C294A"/>
    <w:rsid w:val="008C297A"/>
    <w:rsid w:val="008C2DCD"/>
    <w:rsid w:val="008C3B0F"/>
    <w:rsid w:val="008C58D7"/>
    <w:rsid w:val="008C5968"/>
    <w:rsid w:val="008C679F"/>
    <w:rsid w:val="008C7CA7"/>
    <w:rsid w:val="008D04F1"/>
    <w:rsid w:val="008D0F85"/>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5130"/>
    <w:rsid w:val="008F6189"/>
    <w:rsid w:val="008F67DB"/>
    <w:rsid w:val="008F6981"/>
    <w:rsid w:val="008F6E22"/>
    <w:rsid w:val="009004A5"/>
    <w:rsid w:val="0090059F"/>
    <w:rsid w:val="00903154"/>
    <w:rsid w:val="00903330"/>
    <w:rsid w:val="00903DE0"/>
    <w:rsid w:val="009075DA"/>
    <w:rsid w:val="00907AE5"/>
    <w:rsid w:val="009101A4"/>
    <w:rsid w:val="00912D13"/>
    <w:rsid w:val="00912D20"/>
    <w:rsid w:val="00913852"/>
    <w:rsid w:val="009161AD"/>
    <w:rsid w:val="009211C4"/>
    <w:rsid w:val="009236BF"/>
    <w:rsid w:val="0093491F"/>
    <w:rsid w:val="009357D1"/>
    <w:rsid w:val="009375A4"/>
    <w:rsid w:val="0094117D"/>
    <w:rsid w:val="009416A6"/>
    <w:rsid w:val="00941B8B"/>
    <w:rsid w:val="00942BCE"/>
    <w:rsid w:val="00950639"/>
    <w:rsid w:val="00950B42"/>
    <w:rsid w:val="00951B8C"/>
    <w:rsid w:val="0095318C"/>
    <w:rsid w:val="009558A7"/>
    <w:rsid w:val="00956255"/>
    <w:rsid w:val="009564D0"/>
    <w:rsid w:val="00956E17"/>
    <w:rsid w:val="00960857"/>
    <w:rsid w:val="00963A8D"/>
    <w:rsid w:val="00963EF4"/>
    <w:rsid w:val="00963F91"/>
    <w:rsid w:val="00965889"/>
    <w:rsid w:val="00966264"/>
    <w:rsid w:val="00966EE1"/>
    <w:rsid w:val="0097049D"/>
    <w:rsid w:val="0097409F"/>
    <w:rsid w:val="0097434E"/>
    <w:rsid w:val="0097560B"/>
    <w:rsid w:val="00976736"/>
    <w:rsid w:val="0097746C"/>
    <w:rsid w:val="00977B5C"/>
    <w:rsid w:val="0098015F"/>
    <w:rsid w:val="00980592"/>
    <w:rsid w:val="00980EF3"/>
    <w:rsid w:val="0098437F"/>
    <w:rsid w:val="0098696D"/>
    <w:rsid w:val="00990455"/>
    <w:rsid w:val="00992C03"/>
    <w:rsid w:val="0099352F"/>
    <w:rsid w:val="009936BA"/>
    <w:rsid w:val="00995176"/>
    <w:rsid w:val="0099710B"/>
    <w:rsid w:val="009A068F"/>
    <w:rsid w:val="009A0D7F"/>
    <w:rsid w:val="009A124E"/>
    <w:rsid w:val="009A2C5D"/>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5F7A"/>
    <w:rsid w:val="009B6797"/>
    <w:rsid w:val="009B6B9B"/>
    <w:rsid w:val="009B705E"/>
    <w:rsid w:val="009B7836"/>
    <w:rsid w:val="009C02D7"/>
    <w:rsid w:val="009C175B"/>
    <w:rsid w:val="009C1999"/>
    <w:rsid w:val="009C1E9B"/>
    <w:rsid w:val="009C209E"/>
    <w:rsid w:val="009C27E9"/>
    <w:rsid w:val="009C2C26"/>
    <w:rsid w:val="009C3304"/>
    <w:rsid w:val="009C3A13"/>
    <w:rsid w:val="009C3EC2"/>
    <w:rsid w:val="009C4538"/>
    <w:rsid w:val="009C53C4"/>
    <w:rsid w:val="009C5CEB"/>
    <w:rsid w:val="009C75F3"/>
    <w:rsid w:val="009C7BE4"/>
    <w:rsid w:val="009D0956"/>
    <w:rsid w:val="009D0C5A"/>
    <w:rsid w:val="009D25CE"/>
    <w:rsid w:val="009D28EF"/>
    <w:rsid w:val="009D39EF"/>
    <w:rsid w:val="009D3F3F"/>
    <w:rsid w:val="009D57E7"/>
    <w:rsid w:val="009D767D"/>
    <w:rsid w:val="009D7781"/>
    <w:rsid w:val="009E1566"/>
    <w:rsid w:val="009E1797"/>
    <w:rsid w:val="009E312D"/>
    <w:rsid w:val="009E32B3"/>
    <w:rsid w:val="009E32BA"/>
    <w:rsid w:val="009E40EA"/>
    <w:rsid w:val="009E4467"/>
    <w:rsid w:val="009E6C0D"/>
    <w:rsid w:val="009E7C76"/>
    <w:rsid w:val="009F4216"/>
    <w:rsid w:val="009F4470"/>
    <w:rsid w:val="009F52E2"/>
    <w:rsid w:val="009F6DD3"/>
    <w:rsid w:val="00A00CAA"/>
    <w:rsid w:val="00A0116C"/>
    <w:rsid w:val="00A02787"/>
    <w:rsid w:val="00A07DE6"/>
    <w:rsid w:val="00A1070E"/>
    <w:rsid w:val="00A11865"/>
    <w:rsid w:val="00A132F3"/>
    <w:rsid w:val="00A14824"/>
    <w:rsid w:val="00A14FAC"/>
    <w:rsid w:val="00A15248"/>
    <w:rsid w:val="00A20C7D"/>
    <w:rsid w:val="00A21A77"/>
    <w:rsid w:val="00A229F0"/>
    <w:rsid w:val="00A2515B"/>
    <w:rsid w:val="00A25AB6"/>
    <w:rsid w:val="00A25C41"/>
    <w:rsid w:val="00A26754"/>
    <w:rsid w:val="00A268CF"/>
    <w:rsid w:val="00A269FE"/>
    <w:rsid w:val="00A30C04"/>
    <w:rsid w:val="00A326BD"/>
    <w:rsid w:val="00A32E7A"/>
    <w:rsid w:val="00A3370E"/>
    <w:rsid w:val="00A3390E"/>
    <w:rsid w:val="00A3545A"/>
    <w:rsid w:val="00A3611A"/>
    <w:rsid w:val="00A36DEA"/>
    <w:rsid w:val="00A37CD0"/>
    <w:rsid w:val="00A4540E"/>
    <w:rsid w:val="00A47815"/>
    <w:rsid w:val="00A47EA1"/>
    <w:rsid w:val="00A50A08"/>
    <w:rsid w:val="00A50F80"/>
    <w:rsid w:val="00A5341B"/>
    <w:rsid w:val="00A55996"/>
    <w:rsid w:val="00A55BA1"/>
    <w:rsid w:val="00A55F2F"/>
    <w:rsid w:val="00A562BD"/>
    <w:rsid w:val="00A569E4"/>
    <w:rsid w:val="00A64935"/>
    <w:rsid w:val="00A742B2"/>
    <w:rsid w:val="00A8041F"/>
    <w:rsid w:val="00A824AF"/>
    <w:rsid w:val="00A826F0"/>
    <w:rsid w:val="00A845DF"/>
    <w:rsid w:val="00A85921"/>
    <w:rsid w:val="00A86F7B"/>
    <w:rsid w:val="00A91559"/>
    <w:rsid w:val="00A92C9E"/>
    <w:rsid w:val="00A930EF"/>
    <w:rsid w:val="00A93D6C"/>
    <w:rsid w:val="00A94D7F"/>
    <w:rsid w:val="00A94F6C"/>
    <w:rsid w:val="00A95B96"/>
    <w:rsid w:val="00A964BE"/>
    <w:rsid w:val="00A9705F"/>
    <w:rsid w:val="00AA04BA"/>
    <w:rsid w:val="00AA1CE3"/>
    <w:rsid w:val="00AA2F73"/>
    <w:rsid w:val="00AA3087"/>
    <w:rsid w:val="00AA461C"/>
    <w:rsid w:val="00AA50FB"/>
    <w:rsid w:val="00AA662F"/>
    <w:rsid w:val="00AA79C4"/>
    <w:rsid w:val="00AB2A9E"/>
    <w:rsid w:val="00AB582C"/>
    <w:rsid w:val="00AB583F"/>
    <w:rsid w:val="00AB6787"/>
    <w:rsid w:val="00AC4CEF"/>
    <w:rsid w:val="00AC7FFC"/>
    <w:rsid w:val="00AD0360"/>
    <w:rsid w:val="00AD2147"/>
    <w:rsid w:val="00AD23E5"/>
    <w:rsid w:val="00AD440B"/>
    <w:rsid w:val="00AD68EA"/>
    <w:rsid w:val="00AD690B"/>
    <w:rsid w:val="00AD6AEC"/>
    <w:rsid w:val="00AD7597"/>
    <w:rsid w:val="00AD7E8D"/>
    <w:rsid w:val="00AE10B2"/>
    <w:rsid w:val="00AE16BD"/>
    <w:rsid w:val="00AE1CE2"/>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3673"/>
    <w:rsid w:val="00B04549"/>
    <w:rsid w:val="00B04DDD"/>
    <w:rsid w:val="00B07676"/>
    <w:rsid w:val="00B07DCE"/>
    <w:rsid w:val="00B11E8B"/>
    <w:rsid w:val="00B124F6"/>
    <w:rsid w:val="00B13AC2"/>
    <w:rsid w:val="00B14D70"/>
    <w:rsid w:val="00B16BB3"/>
    <w:rsid w:val="00B17A14"/>
    <w:rsid w:val="00B17A5D"/>
    <w:rsid w:val="00B252B2"/>
    <w:rsid w:val="00B25361"/>
    <w:rsid w:val="00B26819"/>
    <w:rsid w:val="00B26F72"/>
    <w:rsid w:val="00B30941"/>
    <w:rsid w:val="00B3095D"/>
    <w:rsid w:val="00B309DB"/>
    <w:rsid w:val="00B321DE"/>
    <w:rsid w:val="00B32670"/>
    <w:rsid w:val="00B32A54"/>
    <w:rsid w:val="00B32A8C"/>
    <w:rsid w:val="00B33058"/>
    <w:rsid w:val="00B335D6"/>
    <w:rsid w:val="00B3405E"/>
    <w:rsid w:val="00B353BC"/>
    <w:rsid w:val="00B4068B"/>
    <w:rsid w:val="00B41B3D"/>
    <w:rsid w:val="00B4279B"/>
    <w:rsid w:val="00B427E6"/>
    <w:rsid w:val="00B43A08"/>
    <w:rsid w:val="00B446D0"/>
    <w:rsid w:val="00B45006"/>
    <w:rsid w:val="00B459DD"/>
    <w:rsid w:val="00B467F3"/>
    <w:rsid w:val="00B46FA7"/>
    <w:rsid w:val="00B500E9"/>
    <w:rsid w:val="00B506FC"/>
    <w:rsid w:val="00B50FF2"/>
    <w:rsid w:val="00B52C92"/>
    <w:rsid w:val="00B5576C"/>
    <w:rsid w:val="00B55A93"/>
    <w:rsid w:val="00B565D8"/>
    <w:rsid w:val="00B56D47"/>
    <w:rsid w:val="00B56E1B"/>
    <w:rsid w:val="00B57D2A"/>
    <w:rsid w:val="00B621AB"/>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111"/>
    <w:rsid w:val="00BA0D9C"/>
    <w:rsid w:val="00BA3D80"/>
    <w:rsid w:val="00BA42C4"/>
    <w:rsid w:val="00BA45FE"/>
    <w:rsid w:val="00BA47A9"/>
    <w:rsid w:val="00BA496C"/>
    <w:rsid w:val="00BA513A"/>
    <w:rsid w:val="00BA5CCA"/>
    <w:rsid w:val="00BA5D72"/>
    <w:rsid w:val="00BA6803"/>
    <w:rsid w:val="00BB0D72"/>
    <w:rsid w:val="00BB1216"/>
    <w:rsid w:val="00BB154C"/>
    <w:rsid w:val="00BB16F2"/>
    <w:rsid w:val="00BB24EB"/>
    <w:rsid w:val="00BB37AD"/>
    <w:rsid w:val="00BB7CEB"/>
    <w:rsid w:val="00BC0F23"/>
    <w:rsid w:val="00BC136F"/>
    <w:rsid w:val="00BC1394"/>
    <w:rsid w:val="00BC49A9"/>
    <w:rsid w:val="00BC7555"/>
    <w:rsid w:val="00BC75A3"/>
    <w:rsid w:val="00BD2520"/>
    <w:rsid w:val="00BD2602"/>
    <w:rsid w:val="00BD3278"/>
    <w:rsid w:val="00BD5AFA"/>
    <w:rsid w:val="00BD5F83"/>
    <w:rsid w:val="00BD6631"/>
    <w:rsid w:val="00BD73FB"/>
    <w:rsid w:val="00BE0364"/>
    <w:rsid w:val="00BE063A"/>
    <w:rsid w:val="00BE09A9"/>
    <w:rsid w:val="00BE1FC9"/>
    <w:rsid w:val="00BE22A0"/>
    <w:rsid w:val="00BE4C7C"/>
    <w:rsid w:val="00BF0215"/>
    <w:rsid w:val="00BF0B00"/>
    <w:rsid w:val="00BF1CC1"/>
    <w:rsid w:val="00BF3E2A"/>
    <w:rsid w:val="00BF4558"/>
    <w:rsid w:val="00BF54A4"/>
    <w:rsid w:val="00BF741B"/>
    <w:rsid w:val="00C001B1"/>
    <w:rsid w:val="00C038EE"/>
    <w:rsid w:val="00C06523"/>
    <w:rsid w:val="00C100C9"/>
    <w:rsid w:val="00C1059B"/>
    <w:rsid w:val="00C117C2"/>
    <w:rsid w:val="00C11939"/>
    <w:rsid w:val="00C11C1B"/>
    <w:rsid w:val="00C147D5"/>
    <w:rsid w:val="00C15025"/>
    <w:rsid w:val="00C152B5"/>
    <w:rsid w:val="00C16A22"/>
    <w:rsid w:val="00C16F28"/>
    <w:rsid w:val="00C219A5"/>
    <w:rsid w:val="00C21E95"/>
    <w:rsid w:val="00C229D8"/>
    <w:rsid w:val="00C24812"/>
    <w:rsid w:val="00C2710F"/>
    <w:rsid w:val="00C324E6"/>
    <w:rsid w:val="00C33788"/>
    <w:rsid w:val="00C342DF"/>
    <w:rsid w:val="00C35C48"/>
    <w:rsid w:val="00C3643D"/>
    <w:rsid w:val="00C3705B"/>
    <w:rsid w:val="00C37D69"/>
    <w:rsid w:val="00C404CF"/>
    <w:rsid w:val="00C405A1"/>
    <w:rsid w:val="00C427F1"/>
    <w:rsid w:val="00C42D1B"/>
    <w:rsid w:val="00C4446E"/>
    <w:rsid w:val="00C4607F"/>
    <w:rsid w:val="00C4611D"/>
    <w:rsid w:val="00C4620F"/>
    <w:rsid w:val="00C500B8"/>
    <w:rsid w:val="00C53E5E"/>
    <w:rsid w:val="00C60F32"/>
    <w:rsid w:val="00C612FD"/>
    <w:rsid w:val="00C62087"/>
    <w:rsid w:val="00C63562"/>
    <w:rsid w:val="00C64B14"/>
    <w:rsid w:val="00C64C79"/>
    <w:rsid w:val="00C64DFC"/>
    <w:rsid w:val="00C64F55"/>
    <w:rsid w:val="00C65747"/>
    <w:rsid w:val="00C66C4F"/>
    <w:rsid w:val="00C676AD"/>
    <w:rsid w:val="00C67FE7"/>
    <w:rsid w:val="00C70494"/>
    <w:rsid w:val="00C710C2"/>
    <w:rsid w:val="00C72423"/>
    <w:rsid w:val="00C7263A"/>
    <w:rsid w:val="00C740BF"/>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0395"/>
    <w:rsid w:val="00CA0552"/>
    <w:rsid w:val="00CA3644"/>
    <w:rsid w:val="00CA3B5E"/>
    <w:rsid w:val="00CA5169"/>
    <w:rsid w:val="00CA7031"/>
    <w:rsid w:val="00CA7E72"/>
    <w:rsid w:val="00CB08EA"/>
    <w:rsid w:val="00CB1CBB"/>
    <w:rsid w:val="00CB3598"/>
    <w:rsid w:val="00CB56E5"/>
    <w:rsid w:val="00CB5D7D"/>
    <w:rsid w:val="00CB6B4E"/>
    <w:rsid w:val="00CC3327"/>
    <w:rsid w:val="00CC3DC6"/>
    <w:rsid w:val="00CC45A6"/>
    <w:rsid w:val="00CC70CB"/>
    <w:rsid w:val="00CC7E97"/>
    <w:rsid w:val="00CD082A"/>
    <w:rsid w:val="00CD20C1"/>
    <w:rsid w:val="00CD323B"/>
    <w:rsid w:val="00CD3C6E"/>
    <w:rsid w:val="00CD3CBE"/>
    <w:rsid w:val="00CD5614"/>
    <w:rsid w:val="00CD6760"/>
    <w:rsid w:val="00CD6EB3"/>
    <w:rsid w:val="00CD711A"/>
    <w:rsid w:val="00CD71A0"/>
    <w:rsid w:val="00CD7EB0"/>
    <w:rsid w:val="00CE03DE"/>
    <w:rsid w:val="00CE2115"/>
    <w:rsid w:val="00CE3D85"/>
    <w:rsid w:val="00CE49B4"/>
    <w:rsid w:val="00CF1452"/>
    <w:rsid w:val="00CF2BC7"/>
    <w:rsid w:val="00CF569B"/>
    <w:rsid w:val="00CF6038"/>
    <w:rsid w:val="00CF6822"/>
    <w:rsid w:val="00CF6960"/>
    <w:rsid w:val="00D00481"/>
    <w:rsid w:val="00D00C86"/>
    <w:rsid w:val="00D01A62"/>
    <w:rsid w:val="00D02269"/>
    <w:rsid w:val="00D02B0F"/>
    <w:rsid w:val="00D04963"/>
    <w:rsid w:val="00D04DB0"/>
    <w:rsid w:val="00D05475"/>
    <w:rsid w:val="00D06603"/>
    <w:rsid w:val="00D111DF"/>
    <w:rsid w:val="00D130E3"/>
    <w:rsid w:val="00D13A95"/>
    <w:rsid w:val="00D1542F"/>
    <w:rsid w:val="00D207EC"/>
    <w:rsid w:val="00D209FB"/>
    <w:rsid w:val="00D20D70"/>
    <w:rsid w:val="00D218FF"/>
    <w:rsid w:val="00D22738"/>
    <w:rsid w:val="00D23CB9"/>
    <w:rsid w:val="00D2455E"/>
    <w:rsid w:val="00D252B2"/>
    <w:rsid w:val="00D25A5D"/>
    <w:rsid w:val="00D261C4"/>
    <w:rsid w:val="00D30DAA"/>
    <w:rsid w:val="00D313A3"/>
    <w:rsid w:val="00D332C6"/>
    <w:rsid w:val="00D33FC7"/>
    <w:rsid w:val="00D343D8"/>
    <w:rsid w:val="00D347E0"/>
    <w:rsid w:val="00D34AD8"/>
    <w:rsid w:val="00D359B7"/>
    <w:rsid w:val="00D42D5A"/>
    <w:rsid w:val="00D4304C"/>
    <w:rsid w:val="00D43850"/>
    <w:rsid w:val="00D443D8"/>
    <w:rsid w:val="00D4489D"/>
    <w:rsid w:val="00D44AFB"/>
    <w:rsid w:val="00D4618E"/>
    <w:rsid w:val="00D47918"/>
    <w:rsid w:val="00D52211"/>
    <w:rsid w:val="00D553EC"/>
    <w:rsid w:val="00D55FB1"/>
    <w:rsid w:val="00D566DE"/>
    <w:rsid w:val="00D56FEF"/>
    <w:rsid w:val="00D57071"/>
    <w:rsid w:val="00D57598"/>
    <w:rsid w:val="00D57FBF"/>
    <w:rsid w:val="00D605CB"/>
    <w:rsid w:val="00D64667"/>
    <w:rsid w:val="00D64788"/>
    <w:rsid w:val="00D668AD"/>
    <w:rsid w:val="00D6722A"/>
    <w:rsid w:val="00D674A6"/>
    <w:rsid w:val="00D7063B"/>
    <w:rsid w:val="00D729D8"/>
    <w:rsid w:val="00D72E02"/>
    <w:rsid w:val="00D73612"/>
    <w:rsid w:val="00D74088"/>
    <w:rsid w:val="00D74BEA"/>
    <w:rsid w:val="00D75D75"/>
    <w:rsid w:val="00D767D0"/>
    <w:rsid w:val="00D81CDC"/>
    <w:rsid w:val="00D82F0A"/>
    <w:rsid w:val="00D83F54"/>
    <w:rsid w:val="00D84FE8"/>
    <w:rsid w:val="00D8568B"/>
    <w:rsid w:val="00D85A2E"/>
    <w:rsid w:val="00D90B6C"/>
    <w:rsid w:val="00D918DB"/>
    <w:rsid w:val="00D91E6A"/>
    <w:rsid w:val="00D937FF"/>
    <w:rsid w:val="00D94C3B"/>
    <w:rsid w:val="00D94FDC"/>
    <w:rsid w:val="00D957E3"/>
    <w:rsid w:val="00D9655B"/>
    <w:rsid w:val="00DA1392"/>
    <w:rsid w:val="00DA1E1B"/>
    <w:rsid w:val="00DA2683"/>
    <w:rsid w:val="00DA26DF"/>
    <w:rsid w:val="00DA2A23"/>
    <w:rsid w:val="00DA2C92"/>
    <w:rsid w:val="00DA55F8"/>
    <w:rsid w:val="00DB0CA1"/>
    <w:rsid w:val="00DB15FB"/>
    <w:rsid w:val="00DB1A74"/>
    <w:rsid w:val="00DB1C02"/>
    <w:rsid w:val="00DB500C"/>
    <w:rsid w:val="00DB59FD"/>
    <w:rsid w:val="00DB5CF9"/>
    <w:rsid w:val="00DB6614"/>
    <w:rsid w:val="00DB6C2C"/>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197"/>
    <w:rsid w:val="00DE39A5"/>
    <w:rsid w:val="00DE3FF0"/>
    <w:rsid w:val="00DE4457"/>
    <w:rsid w:val="00DE4EC0"/>
    <w:rsid w:val="00DE684E"/>
    <w:rsid w:val="00DE74F2"/>
    <w:rsid w:val="00DE79C9"/>
    <w:rsid w:val="00DE79E5"/>
    <w:rsid w:val="00DF18C1"/>
    <w:rsid w:val="00DF1AD9"/>
    <w:rsid w:val="00DF21C9"/>
    <w:rsid w:val="00DF3C71"/>
    <w:rsid w:val="00DF51D5"/>
    <w:rsid w:val="00DF538D"/>
    <w:rsid w:val="00DF5722"/>
    <w:rsid w:val="00DF635A"/>
    <w:rsid w:val="00DF6BB3"/>
    <w:rsid w:val="00E00DB4"/>
    <w:rsid w:val="00E015C4"/>
    <w:rsid w:val="00E042F4"/>
    <w:rsid w:val="00E04732"/>
    <w:rsid w:val="00E04780"/>
    <w:rsid w:val="00E05096"/>
    <w:rsid w:val="00E07B1B"/>
    <w:rsid w:val="00E100F3"/>
    <w:rsid w:val="00E10C0C"/>
    <w:rsid w:val="00E11817"/>
    <w:rsid w:val="00E11A1D"/>
    <w:rsid w:val="00E12C12"/>
    <w:rsid w:val="00E1390B"/>
    <w:rsid w:val="00E14A81"/>
    <w:rsid w:val="00E15328"/>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6B22"/>
    <w:rsid w:val="00E478CC"/>
    <w:rsid w:val="00E47BD5"/>
    <w:rsid w:val="00E501CB"/>
    <w:rsid w:val="00E5147B"/>
    <w:rsid w:val="00E51A47"/>
    <w:rsid w:val="00E54085"/>
    <w:rsid w:val="00E54722"/>
    <w:rsid w:val="00E547F0"/>
    <w:rsid w:val="00E55A96"/>
    <w:rsid w:val="00E577F2"/>
    <w:rsid w:val="00E63C52"/>
    <w:rsid w:val="00E64254"/>
    <w:rsid w:val="00E6637B"/>
    <w:rsid w:val="00E67D1E"/>
    <w:rsid w:val="00E7033D"/>
    <w:rsid w:val="00E7095F"/>
    <w:rsid w:val="00E70C10"/>
    <w:rsid w:val="00E70F3F"/>
    <w:rsid w:val="00E72291"/>
    <w:rsid w:val="00E74981"/>
    <w:rsid w:val="00E75F84"/>
    <w:rsid w:val="00E76148"/>
    <w:rsid w:val="00E77553"/>
    <w:rsid w:val="00E77C88"/>
    <w:rsid w:val="00E825DA"/>
    <w:rsid w:val="00E8277E"/>
    <w:rsid w:val="00E8326C"/>
    <w:rsid w:val="00E8472C"/>
    <w:rsid w:val="00E84DF2"/>
    <w:rsid w:val="00E84F99"/>
    <w:rsid w:val="00E866DF"/>
    <w:rsid w:val="00E86FCB"/>
    <w:rsid w:val="00E87A1A"/>
    <w:rsid w:val="00E90A56"/>
    <w:rsid w:val="00E918BD"/>
    <w:rsid w:val="00E92F16"/>
    <w:rsid w:val="00E94F15"/>
    <w:rsid w:val="00E95E2E"/>
    <w:rsid w:val="00E97EEF"/>
    <w:rsid w:val="00EA02F6"/>
    <w:rsid w:val="00EA24A2"/>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2AED"/>
    <w:rsid w:val="00EC3BF9"/>
    <w:rsid w:val="00EC3CCE"/>
    <w:rsid w:val="00EC4B1A"/>
    <w:rsid w:val="00EC4D3D"/>
    <w:rsid w:val="00EC5A1B"/>
    <w:rsid w:val="00EC7ADB"/>
    <w:rsid w:val="00EC7DF9"/>
    <w:rsid w:val="00ED0757"/>
    <w:rsid w:val="00ED2A13"/>
    <w:rsid w:val="00ED40B2"/>
    <w:rsid w:val="00ED4E9F"/>
    <w:rsid w:val="00ED51D0"/>
    <w:rsid w:val="00ED6A08"/>
    <w:rsid w:val="00ED6E8F"/>
    <w:rsid w:val="00ED7DFD"/>
    <w:rsid w:val="00EE0450"/>
    <w:rsid w:val="00EE241D"/>
    <w:rsid w:val="00EE37C8"/>
    <w:rsid w:val="00EE59BC"/>
    <w:rsid w:val="00EE67AB"/>
    <w:rsid w:val="00EE7A85"/>
    <w:rsid w:val="00EF03E8"/>
    <w:rsid w:val="00EF1834"/>
    <w:rsid w:val="00EF45D4"/>
    <w:rsid w:val="00EF59CB"/>
    <w:rsid w:val="00F0015C"/>
    <w:rsid w:val="00F0047B"/>
    <w:rsid w:val="00F005CF"/>
    <w:rsid w:val="00F016FA"/>
    <w:rsid w:val="00F02029"/>
    <w:rsid w:val="00F02173"/>
    <w:rsid w:val="00F02FD1"/>
    <w:rsid w:val="00F03FBE"/>
    <w:rsid w:val="00F04342"/>
    <w:rsid w:val="00F048D9"/>
    <w:rsid w:val="00F04E22"/>
    <w:rsid w:val="00F05755"/>
    <w:rsid w:val="00F061EA"/>
    <w:rsid w:val="00F0799A"/>
    <w:rsid w:val="00F125FF"/>
    <w:rsid w:val="00F12675"/>
    <w:rsid w:val="00F12E9C"/>
    <w:rsid w:val="00F13E8E"/>
    <w:rsid w:val="00F149F6"/>
    <w:rsid w:val="00F14C4A"/>
    <w:rsid w:val="00F151DB"/>
    <w:rsid w:val="00F15B6E"/>
    <w:rsid w:val="00F21998"/>
    <w:rsid w:val="00F22A02"/>
    <w:rsid w:val="00F22A55"/>
    <w:rsid w:val="00F23F94"/>
    <w:rsid w:val="00F24030"/>
    <w:rsid w:val="00F242B0"/>
    <w:rsid w:val="00F242B2"/>
    <w:rsid w:val="00F244C2"/>
    <w:rsid w:val="00F257E5"/>
    <w:rsid w:val="00F25C6B"/>
    <w:rsid w:val="00F25E0D"/>
    <w:rsid w:val="00F270D4"/>
    <w:rsid w:val="00F27EA7"/>
    <w:rsid w:val="00F27F09"/>
    <w:rsid w:val="00F3027E"/>
    <w:rsid w:val="00F3092F"/>
    <w:rsid w:val="00F30EA4"/>
    <w:rsid w:val="00F3405F"/>
    <w:rsid w:val="00F3488E"/>
    <w:rsid w:val="00F35D70"/>
    <w:rsid w:val="00F36FF9"/>
    <w:rsid w:val="00F3762F"/>
    <w:rsid w:val="00F41DFE"/>
    <w:rsid w:val="00F43CCF"/>
    <w:rsid w:val="00F4490B"/>
    <w:rsid w:val="00F451CB"/>
    <w:rsid w:val="00F51789"/>
    <w:rsid w:val="00F51F08"/>
    <w:rsid w:val="00F52571"/>
    <w:rsid w:val="00F525B7"/>
    <w:rsid w:val="00F53064"/>
    <w:rsid w:val="00F54AF5"/>
    <w:rsid w:val="00F57A04"/>
    <w:rsid w:val="00F6162F"/>
    <w:rsid w:val="00F639B0"/>
    <w:rsid w:val="00F644CD"/>
    <w:rsid w:val="00F65523"/>
    <w:rsid w:val="00F6664A"/>
    <w:rsid w:val="00F6709B"/>
    <w:rsid w:val="00F674FB"/>
    <w:rsid w:val="00F67DDE"/>
    <w:rsid w:val="00F7052D"/>
    <w:rsid w:val="00F70A49"/>
    <w:rsid w:val="00F737C1"/>
    <w:rsid w:val="00F768B9"/>
    <w:rsid w:val="00F80D9C"/>
    <w:rsid w:val="00F825B6"/>
    <w:rsid w:val="00F83075"/>
    <w:rsid w:val="00F83FFF"/>
    <w:rsid w:val="00F84F1C"/>
    <w:rsid w:val="00F859AF"/>
    <w:rsid w:val="00F85CAF"/>
    <w:rsid w:val="00F91423"/>
    <w:rsid w:val="00FA093F"/>
    <w:rsid w:val="00FA32B6"/>
    <w:rsid w:val="00FA3E37"/>
    <w:rsid w:val="00FA453A"/>
    <w:rsid w:val="00FA506C"/>
    <w:rsid w:val="00FA546C"/>
    <w:rsid w:val="00FA68BC"/>
    <w:rsid w:val="00FA76F1"/>
    <w:rsid w:val="00FB15A3"/>
    <w:rsid w:val="00FB2DB4"/>
    <w:rsid w:val="00FB4AF1"/>
    <w:rsid w:val="00FB6CC3"/>
    <w:rsid w:val="00FB729A"/>
    <w:rsid w:val="00FC3128"/>
    <w:rsid w:val="00FC356C"/>
    <w:rsid w:val="00FC384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02BC"/>
    <w:rsid w:val="00FE122A"/>
    <w:rsid w:val="00FE2544"/>
    <w:rsid w:val="00FE25CE"/>
    <w:rsid w:val="00FE41D5"/>
    <w:rsid w:val="00FE43B3"/>
    <w:rsid w:val="00FE440C"/>
    <w:rsid w:val="00FE48E3"/>
    <w:rsid w:val="00FE6F2D"/>
    <w:rsid w:val="00FF0927"/>
    <w:rsid w:val="00FF1466"/>
    <w:rsid w:val="00FF23CF"/>
    <w:rsid w:val="00FF29DC"/>
    <w:rsid w:val="00FF30FF"/>
    <w:rsid w:val="00FF411B"/>
    <w:rsid w:val="00FF437B"/>
    <w:rsid w:val="00FF44B1"/>
    <w:rsid w:val="00FF4D79"/>
    <w:rsid w:val="00FF6AD9"/>
    <w:rsid w:val="00FF700D"/>
    <w:rsid w:val="00FF789C"/>
    <w:rsid w:val="0FE12069"/>
    <w:rsid w:val="111EED98"/>
    <w:rsid w:val="19A056DB"/>
    <w:rsid w:val="1A10203D"/>
    <w:rsid w:val="23FB2AC6"/>
    <w:rsid w:val="28E367F0"/>
    <w:rsid w:val="2A4B284A"/>
    <w:rsid w:val="2AC3D439"/>
    <w:rsid w:val="3BE1F5BD"/>
    <w:rsid w:val="4617F7C5"/>
    <w:rsid w:val="57A2D19B"/>
    <w:rsid w:val="5A4CF752"/>
    <w:rsid w:val="711E76CC"/>
    <w:rsid w:val="72BA472D"/>
    <w:rsid w:val="7635A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 w:type="character" w:customStyle="1" w:styleId="ParaNumCharChar">
    <w:name w:val="ParaNum Char Char"/>
    <w:link w:val="ParaNum0"/>
    <w:locked/>
    <w:rsid w:val="00A94F6C"/>
    <w:rPr>
      <w:kern w:val="28"/>
      <w:sz w:val="22"/>
    </w:rPr>
  </w:style>
  <w:style w:type="paragraph" w:customStyle="1" w:styleId="ParaNum0">
    <w:name w:val="ParaNum"/>
    <w:basedOn w:val="Normal"/>
    <w:link w:val="ParaNumCharChar"/>
    <w:rsid w:val="00A94F6C"/>
    <w:pPr>
      <w:widowControl w:val="0"/>
      <w:numPr>
        <w:numId w:val="28"/>
      </w:numPr>
      <w:tabs>
        <w:tab w:val="clear" w:pos="1080"/>
        <w:tab w:val="num" w:pos="1440"/>
      </w:tabs>
      <w:snapToGrid w:val="0"/>
      <w:spacing w:after="120"/>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dennis.johnson@fcc.gov" TargetMode="External" /><Relationship Id="rId12" Type="http://schemas.openxmlformats.org/officeDocument/2006/relationships/hyperlink" Target="mailto:Nissa.Laughner@fcc.gov" TargetMode="External" /><Relationship Id="rId13" Type="http://schemas.openxmlformats.org/officeDocument/2006/relationships/hyperlink" Target="mailto:jim.bird@fcc.gov" TargetMode="Externa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eader" Target="header3.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s://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11389787924/1%20" TargetMode="External" /><Relationship Id="rId2" Type="http://schemas.openxmlformats.org/officeDocument/2006/relationships/hyperlink" Target="https://www.fcc.gov/ecfs/document/101131998121584/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