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D6C2AE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9B7DBE2" w14:textId="77777777">
      <w:pPr>
        <w:pStyle w:val="StyleBoldCentered"/>
      </w:pPr>
      <w:r>
        <w:t>F</w:t>
      </w:r>
      <w:r>
        <w:rPr>
          <w:caps w:val="0"/>
        </w:rPr>
        <w:t>ederal Communications Commission</w:t>
      </w:r>
    </w:p>
    <w:p w:rsidR="004C2EE3" w:rsidP="00096D8C" w14:paraId="3D7B2466" w14:textId="77777777">
      <w:pPr>
        <w:pStyle w:val="StyleBoldCentered"/>
      </w:pPr>
      <w:r>
        <w:rPr>
          <w:caps w:val="0"/>
        </w:rPr>
        <w:t>Washington, D.C. 20554</w:t>
      </w:r>
    </w:p>
    <w:p w:rsidR="004C2EE3" w:rsidP="0070224F" w14:paraId="383038D8" w14:textId="77777777"/>
    <w:p w:rsidR="004C2EE3" w:rsidP="0070224F" w14:paraId="2D017D81" w14:textId="77777777"/>
    <w:tbl>
      <w:tblPr>
        <w:tblW w:w="0" w:type="auto"/>
        <w:tblLayout w:type="fixed"/>
        <w:tblLook w:val="0000"/>
      </w:tblPr>
      <w:tblGrid>
        <w:gridCol w:w="4698"/>
        <w:gridCol w:w="630"/>
        <w:gridCol w:w="4248"/>
      </w:tblGrid>
      <w:tr w14:paraId="3F1A9A9F" w14:textId="77777777">
        <w:tblPrEx>
          <w:tblW w:w="0" w:type="auto"/>
          <w:tblLayout w:type="fixed"/>
          <w:tblLook w:val="0000"/>
        </w:tblPrEx>
        <w:tc>
          <w:tcPr>
            <w:tcW w:w="4698" w:type="dxa"/>
          </w:tcPr>
          <w:p w:rsidR="004C2EE3" w14:paraId="2D3878D5" w14:textId="77777777">
            <w:pPr>
              <w:tabs>
                <w:tab w:val="center" w:pos="4680"/>
              </w:tabs>
              <w:suppressAutoHyphens/>
              <w:rPr>
                <w:spacing w:val="-2"/>
              </w:rPr>
            </w:pPr>
            <w:r>
              <w:rPr>
                <w:spacing w:val="-2"/>
              </w:rPr>
              <w:t>In the Matter of</w:t>
            </w:r>
          </w:p>
          <w:p w:rsidR="004C2EE3" w14:paraId="6A805B58" w14:textId="77777777">
            <w:pPr>
              <w:tabs>
                <w:tab w:val="center" w:pos="4680"/>
              </w:tabs>
              <w:suppressAutoHyphens/>
              <w:rPr>
                <w:spacing w:val="-2"/>
              </w:rPr>
            </w:pPr>
          </w:p>
          <w:p w:rsidR="00BC385E" w:rsidRPr="003C5021" w:rsidP="00BC385E" w14:paraId="1FD19EBF" w14:textId="77777777">
            <w:pPr>
              <w:tabs>
                <w:tab w:val="center" w:pos="4680"/>
              </w:tabs>
              <w:suppressAutoHyphens/>
              <w:rPr>
                <w:spacing w:val="-2"/>
                <w:szCs w:val="22"/>
              </w:rPr>
            </w:pPr>
            <w:r w:rsidRPr="003C5021">
              <w:rPr>
                <w:spacing w:val="-2"/>
                <w:szCs w:val="22"/>
              </w:rPr>
              <w:t>Rural Health Care Support Mechanism</w:t>
            </w:r>
          </w:p>
          <w:p w:rsidR="00BC385E" w:rsidRPr="003C5021" w:rsidP="00BC385E" w14:paraId="47C3C97F" w14:textId="77777777">
            <w:pPr>
              <w:tabs>
                <w:tab w:val="center" w:pos="4680"/>
              </w:tabs>
              <w:suppressAutoHyphens/>
              <w:rPr>
                <w:spacing w:val="-2"/>
                <w:szCs w:val="22"/>
              </w:rPr>
            </w:pPr>
          </w:p>
          <w:p w:rsidR="004C2EE3" w:rsidRPr="007115F7" w:rsidP="00BC385E" w14:paraId="593D223F" w14:textId="3D15EB3F">
            <w:pPr>
              <w:tabs>
                <w:tab w:val="center" w:pos="4680"/>
              </w:tabs>
              <w:suppressAutoHyphens/>
              <w:rPr>
                <w:spacing w:val="-2"/>
              </w:rPr>
            </w:pPr>
            <w:r w:rsidRPr="003C5021">
              <w:rPr>
                <w:spacing w:val="-2"/>
                <w:szCs w:val="22"/>
              </w:rPr>
              <w:t>Promoting Telehealth in Rural America</w:t>
            </w:r>
          </w:p>
        </w:tc>
        <w:tc>
          <w:tcPr>
            <w:tcW w:w="630" w:type="dxa"/>
          </w:tcPr>
          <w:p w:rsidR="004C2EE3" w14:paraId="1957BE94" w14:textId="77777777">
            <w:pPr>
              <w:tabs>
                <w:tab w:val="center" w:pos="4680"/>
              </w:tabs>
              <w:suppressAutoHyphens/>
              <w:rPr>
                <w:b/>
                <w:spacing w:val="-2"/>
              </w:rPr>
            </w:pPr>
            <w:r>
              <w:rPr>
                <w:b/>
                <w:spacing w:val="-2"/>
              </w:rPr>
              <w:t>)</w:t>
            </w:r>
          </w:p>
          <w:p w:rsidR="004C2EE3" w14:paraId="5636F8A0" w14:textId="77777777">
            <w:pPr>
              <w:tabs>
                <w:tab w:val="center" w:pos="4680"/>
              </w:tabs>
              <w:suppressAutoHyphens/>
              <w:rPr>
                <w:b/>
                <w:spacing w:val="-2"/>
              </w:rPr>
            </w:pPr>
            <w:r>
              <w:rPr>
                <w:b/>
                <w:spacing w:val="-2"/>
              </w:rPr>
              <w:t>)</w:t>
            </w:r>
          </w:p>
          <w:p w:rsidR="004C2EE3" w14:paraId="15ECE932" w14:textId="77777777">
            <w:pPr>
              <w:tabs>
                <w:tab w:val="center" w:pos="4680"/>
              </w:tabs>
              <w:suppressAutoHyphens/>
              <w:rPr>
                <w:b/>
                <w:spacing w:val="-2"/>
              </w:rPr>
            </w:pPr>
            <w:r>
              <w:rPr>
                <w:b/>
                <w:spacing w:val="-2"/>
              </w:rPr>
              <w:t>)</w:t>
            </w:r>
          </w:p>
          <w:p w:rsidR="004C2EE3" w14:paraId="3CBAD930" w14:textId="77777777">
            <w:pPr>
              <w:tabs>
                <w:tab w:val="center" w:pos="4680"/>
              </w:tabs>
              <w:suppressAutoHyphens/>
              <w:rPr>
                <w:b/>
                <w:spacing w:val="-2"/>
              </w:rPr>
            </w:pPr>
            <w:r>
              <w:rPr>
                <w:b/>
                <w:spacing w:val="-2"/>
              </w:rPr>
              <w:t>)</w:t>
            </w:r>
          </w:p>
          <w:p w:rsidR="004C2EE3" w14:paraId="672ADEDA" w14:textId="6DC084F8">
            <w:pPr>
              <w:tabs>
                <w:tab w:val="center" w:pos="4680"/>
              </w:tabs>
              <w:suppressAutoHyphens/>
              <w:rPr>
                <w:b/>
                <w:spacing w:val="-2"/>
              </w:rPr>
            </w:pPr>
            <w:r>
              <w:rPr>
                <w:b/>
                <w:spacing w:val="-2"/>
              </w:rPr>
              <w:t>)</w:t>
            </w:r>
          </w:p>
          <w:p w:rsidR="00BC385E" w14:paraId="0DBA07BF" w14:textId="34C7E25C">
            <w:pPr>
              <w:tabs>
                <w:tab w:val="center" w:pos="4680"/>
              </w:tabs>
              <w:suppressAutoHyphens/>
              <w:rPr>
                <w:b/>
                <w:spacing w:val="-2"/>
              </w:rPr>
            </w:pPr>
            <w:r>
              <w:rPr>
                <w:b/>
                <w:spacing w:val="-2"/>
              </w:rPr>
              <w:t>)</w:t>
            </w:r>
          </w:p>
          <w:p w:rsidR="004C2EE3" w:rsidRPr="00BC385E" w14:paraId="7107BD64" w14:textId="44718141">
            <w:pPr>
              <w:tabs>
                <w:tab w:val="center" w:pos="4680"/>
              </w:tabs>
              <w:suppressAutoHyphens/>
              <w:rPr>
                <w:b/>
                <w:spacing w:val="-2"/>
              </w:rPr>
            </w:pPr>
          </w:p>
        </w:tc>
        <w:tc>
          <w:tcPr>
            <w:tcW w:w="4248" w:type="dxa"/>
          </w:tcPr>
          <w:p w:rsidR="004C2EE3" w14:paraId="50F9974B" w14:textId="77777777">
            <w:pPr>
              <w:tabs>
                <w:tab w:val="center" w:pos="4680"/>
              </w:tabs>
              <w:suppressAutoHyphens/>
              <w:rPr>
                <w:spacing w:val="-2"/>
              </w:rPr>
            </w:pPr>
          </w:p>
          <w:p w:rsidR="004C2EE3" w14:paraId="122DFCBA" w14:textId="77777777">
            <w:pPr>
              <w:pStyle w:val="TOAHeading"/>
              <w:tabs>
                <w:tab w:val="center" w:pos="4680"/>
                <w:tab w:val="clear" w:pos="9360"/>
              </w:tabs>
              <w:rPr>
                <w:spacing w:val="-2"/>
              </w:rPr>
            </w:pPr>
          </w:p>
          <w:p w:rsidR="00BC385E" w:rsidRPr="003C5021" w:rsidP="00BC385E" w14:paraId="055616CF" w14:textId="77777777">
            <w:pPr>
              <w:tabs>
                <w:tab w:val="center" w:pos="4680"/>
              </w:tabs>
              <w:suppressAutoHyphens/>
              <w:rPr>
                <w:spacing w:val="-2"/>
                <w:szCs w:val="22"/>
              </w:rPr>
            </w:pPr>
            <w:r w:rsidRPr="003C5021">
              <w:rPr>
                <w:spacing w:val="-2"/>
                <w:szCs w:val="22"/>
              </w:rPr>
              <w:t xml:space="preserve">WC Docket No. 02-60 </w:t>
            </w:r>
          </w:p>
          <w:p w:rsidR="00BC385E" w:rsidRPr="003C5021" w:rsidP="00BC385E" w14:paraId="52B5C49C" w14:textId="77777777">
            <w:pPr>
              <w:tabs>
                <w:tab w:val="center" w:pos="4680"/>
              </w:tabs>
              <w:suppressAutoHyphens/>
              <w:rPr>
                <w:spacing w:val="-2"/>
                <w:szCs w:val="22"/>
              </w:rPr>
            </w:pPr>
          </w:p>
          <w:p w:rsidR="004C2EE3" w:rsidP="00BC385E" w14:paraId="501C6E4E" w14:textId="77777777">
            <w:pPr>
              <w:tabs>
                <w:tab w:val="center" w:pos="4680"/>
              </w:tabs>
              <w:suppressAutoHyphens/>
              <w:rPr>
                <w:spacing w:val="-2"/>
                <w:szCs w:val="22"/>
              </w:rPr>
            </w:pPr>
            <w:r w:rsidRPr="003C5021">
              <w:rPr>
                <w:spacing w:val="-2"/>
                <w:szCs w:val="22"/>
              </w:rPr>
              <w:t>WC Docket No. 17-310</w:t>
            </w:r>
          </w:p>
          <w:p w:rsidR="00BC385E" w:rsidP="00BC385E" w14:paraId="0945354E" w14:textId="6CD8B173">
            <w:pPr>
              <w:tabs>
                <w:tab w:val="center" w:pos="4680"/>
              </w:tabs>
              <w:suppressAutoHyphens/>
              <w:rPr>
                <w:spacing w:val="-2"/>
              </w:rPr>
            </w:pPr>
          </w:p>
        </w:tc>
      </w:tr>
    </w:tbl>
    <w:p w:rsidR="00841AB1" w:rsidP="00F021FA" w14:paraId="7F35430D" w14:textId="7395B34C">
      <w:pPr>
        <w:pStyle w:val="StyleBoldCentered"/>
      </w:pPr>
      <w:r>
        <w:t>Order</w:t>
      </w:r>
    </w:p>
    <w:p w:rsidR="004C2EE3" w14:paraId="395A5829" w14:textId="77777777">
      <w:pPr>
        <w:tabs>
          <w:tab w:val="left" w:pos="-720"/>
        </w:tabs>
        <w:suppressAutoHyphens/>
        <w:spacing w:line="227" w:lineRule="auto"/>
        <w:rPr>
          <w:spacing w:val="-2"/>
        </w:rPr>
      </w:pPr>
    </w:p>
    <w:p w:rsidR="004C2EE3" w:rsidP="00133F79" w14:paraId="59F50245" w14:textId="7D266AC8">
      <w:pPr>
        <w:tabs>
          <w:tab w:val="left" w:pos="720"/>
          <w:tab w:val="right" w:pos="9360"/>
        </w:tabs>
        <w:suppressAutoHyphens/>
        <w:spacing w:line="227" w:lineRule="auto"/>
        <w:rPr>
          <w:spacing w:val="-2"/>
        </w:rPr>
      </w:pPr>
      <w:r>
        <w:rPr>
          <w:b/>
          <w:spacing w:val="-2"/>
        </w:rPr>
        <w:t xml:space="preserve">Adopted:  </w:t>
      </w:r>
      <w:r w:rsidR="00BC385E">
        <w:rPr>
          <w:b/>
          <w:spacing w:val="-2"/>
        </w:rPr>
        <w:t>March 8,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C385E">
        <w:rPr>
          <w:b/>
          <w:spacing w:val="-2"/>
        </w:rPr>
        <w:t>March 8, 2023</w:t>
      </w:r>
    </w:p>
    <w:p w:rsidR="00822CE0" w14:paraId="2765080E" w14:textId="77777777"/>
    <w:p w:rsidR="004C2EE3" w14:paraId="69F2C5A5" w14:textId="3D7B0F08">
      <w:pPr>
        <w:rPr>
          <w:spacing w:val="-2"/>
        </w:rPr>
      </w:pPr>
      <w:r>
        <w:t xml:space="preserve">By </w:t>
      </w:r>
      <w:r w:rsidR="004E4A22">
        <w:t>the</w:t>
      </w:r>
      <w:r w:rsidR="002A2D2E">
        <w:t xml:space="preserve"> </w:t>
      </w:r>
      <w:r w:rsidR="00BC385E">
        <w:rPr>
          <w:spacing w:val="-2"/>
        </w:rPr>
        <w:t>Chief, Wireline Competition Bureau</w:t>
      </w:r>
      <w:r>
        <w:rPr>
          <w:spacing w:val="-2"/>
        </w:rPr>
        <w:t>:</w:t>
      </w:r>
    </w:p>
    <w:p w:rsidR="00822CE0" w14:paraId="21952C80" w14:textId="77777777">
      <w:pPr>
        <w:rPr>
          <w:spacing w:val="-2"/>
        </w:rPr>
      </w:pPr>
    </w:p>
    <w:p w:rsidR="00BC385E" w:rsidRPr="003C5021" w:rsidP="00BC385E" w14:paraId="101BFA76" w14:textId="77777777">
      <w:pPr>
        <w:pStyle w:val="Heading1"/>
      </w:pPr>
      <w:r w:rsidRPr="003C5021">
        <w:t>Introduction</w:t>
      </w:r>
    </w:p>
    <w:p w:rsidR="00BC385E" w:rsidRPr="003C5021" w:rsidP="00BC385E" w14:paraId="1C643A6A" w14:textId="77777777">
      <w:pPr>
        <w:pStyle w:val="ParaNum"/>
        <w:rPr>
          <w:szCs w:val="22"/>
        </w:rPr>
      </w:pPr>
      <w:r>
        <w:rPr>
          <w:szCs w:val="22"/>
        </w:rPr>
        <w:t>By</w:t>
      </w:r>
      <w:r w:rsidRPr="003C5021">
        <w:rPr>
          <w:szCs w:val="22"/>
        </w:rPr>
        <w:t xml:space="preserve"> this Order, the Wireline Competition Bureau (Bureau) waives section 54.621(a)(1) of the Commission’s rules and extends the close of the funding year 202</w:t>
      </w:r>
      <w:r>
        <w:rPr>
          <w:szCs w:val="22"/>
        </w:rPr>
        <w:t>3</w:t>
      </w:r>
      <w:r w:rsidRPr="003C5021">
        <w:rPr>
          <w:szCs w:val="22"/>
        </w:rPr>
        <w:t xml:space="preserve"> </w:t>
      </w:r>
      <w:bookmarkStart w:id="0" w:name="_Hlk64030738"/>
      <w:r w:rsidRPr="003C5021">
        <w:rPr>
          <w:szCs w:val="22"/>
        </w:rPr>
        <w:t xml:space="preserve">application filing window for the Rural Health Care (RHC) Program until </w:t>
      </w:r>
      <w:r w:rsidRPr="00AD2BD7">
        <w:rPr>
          <w:szCs w:val="22"/>
        </w:rPr>
        <w:t>May 1, 202</w:t>
      </w:r>
      <w:bookmarkEnd w:id="0"/>
      <w:r w:rsidRPr="00AD2BD7">
        <w:rPr>
          <w:szCs w:val="22"/>
        </w:rPr>
        <w:t>3</w:t>
      </w:r>
      <w:r w:rsidRPr="003C5021">
        <w:rPr>
          <w:szCs w:val="22"/>
        </w:rPr>
        <w:t>.</w:t>
      </w:r>
      <w:r>
        <w:rPr>
          <w:szCs w:val="22"/>
        </w:rPr>
        <w:t xml:space="preserve">  We take this targeted action in response to two requests to waive the application filing deadline based in part on the continuing disruptions that health care providers are experiencing due to the COVID-19 pandemic.</w:t>
      </w:r>
      <w:r>
        <w:rPr>
          <w:rStyle w:val="FootnoteReference"/>
          <w:szCs w:val="22"/>
        </w:rPr>
        <w:footnoteReference w:id="3"/>
      </w:r>
      <w:r>
        <w:rPr>
          <w:szCs w:val="22"/>
        </w:rPr>
        <w:t xml:space="preserve">  While we will continue to monitor the effects of COVID-19 on health care providers, we anticipate that this deadline extension will be the final RHC Program deadline extension that we adopt due to the pandemic.       </w:t>
      </w:r>
    </w:p>
    <w:p w:rsidR="00BC385E" w:rsidRPr="003C5021" w:rsidP="00BC385E" w14:paraId="4C21BB2A" w14:textId="77777777">
      <w:pPr>
        <w:pStyle w:val="Heading1"/>
      </w:pPr>
      <w:r w:rsidRPr="003C5021">
        <w:t>background</w:t>
      </w:r>
    </w:p>
    <w:p w:rsidR="00BC385E" w:rsidRPr="003C5021" w:rsidP="00BC385E" w14:paraId="45161F1C" w14:textId="77777777">
      <w:pPr>
        <w:pStyle w:val="ParaNum"/>
        <w:rPr>
          <w:szCs w:val="22"/>
        </w:rPr>
      </w:pPr>
      <w:r w:rsidRPr="003C5021">
        <w:rPr>
          <w:szCs w:val="22"/>
        </w:rPr>
        <w:t>The Commission’s RHC Program consists of two component programs: (1) the Telecommunications (Telecom) Program; and (2) the Healthcare Connect Fund (</w:t>
      </w:r>
      <w:r w:rsidRPr="003C5021">
        <w:rPr>
          <w:szCs w:val="22"/>
        </w:rPr>
        <w:t>HCF</w:t>
      </w:r>
      <w:r w:rsidRPr="003C5021">
        <w:rPr>
          <w:szCs w:val="22"/>
        </w:rPr>
        <w:t>) Program.</w:t>
      </w:r>
      <w:r>
        <w:rPr>
          <w:sz w:val="20"/>
          <w:vertAlign w:val="superscript"/>
        </w:rPr>
        <w:footnoteReference w:id="4"/>
      </w:r>
      <w:r w:rsidRPr="003C5021">
        <w:rPr>
          <w:szCs w:val="22"/>
        </w:rPr>
        <w:t xml:space="preserve">  Eligible health care providers apply for support for eligible services by submitting funding requests (an FCC Form 466 in the Telecom Program or an FCC Form 462 in the </w:t>
      </w:r>
      <w:r w:rsidRPr="003C5021">
        <w:rPr>
          <w:szCs w:val="22"/>
        </w:rPr>
        <w:t>HCF</w:t>
      </w:r>
      <w:r w:rsidRPr="003C5021">
        <w:rPr>
          <w:szCs w:val="22"/>
        </w:rPr>
        <w:t xml:space="preserve"> Program) to the Universal Service Administrative Company (USAC) during an application filing window.</w:t>
      </w:r>
      <w:r>
        <w:rPr>
          <w:rStyle w:val="FootnoteReference"/>
        </w:rPr>
        <w:footnoteReference w:id="5"/>
      </w:r>
      <w:r w:rsidRPr="00442F94">
        <w:rPr>
          <w:sz w:val="20"/>
        </w:rPr>
        <w:t xml:space="preserve"> </w:t>
      </w:r>
      <w:r w:rsidRPr="003C5021">
        <w:rPr>
          <w:szCs w:val="22"/>
        </w:rPr>
        <w:t xml:space="preserve"> In the 2019 </w:t>
      </w:r>
      <w:r w:rsidRPr="003C5021">
        <w:rPr>
          <w:i/>
          <w:iCs/>
          <w:szCs w:val="22"/>
        </w:rPr>
        <w:t>Promoting Telehealth Report and Order</w:t>
      </w:r>
      <w:r w:rsidRPr="003C5021">
        <w:rPr>
          <w:szCs w:val="22"/>
        </w:rPr>
        <w:t>,</w:t>
      </w:r>
      <w:r w:rsidRPr="003C5021">
        <w:rPr>
          <w:i/>
          <w:iCs/>
          <w:szCs w:val="22"/>
        </w:rPr>
        <w:t xml:space="preserve"> </w:t>
      </w:r>
      <w:r w:rsidRPr="003C5021">
        <w:rPr>
          <w:szCs w:val="22"/>
        </w:rPr>
        <w:t>the Commission revised its application filing window rules</w:t>
      </w:r>
      <w:r>
        <w:rPr>
          <w:szCs w:val="22"/>
        </w:rPr>
        <w:t>, which took</w:t>
      </w:r>
      <w:r w:rsidRPr="003C5021">
        <w:rPr>
          <w:szCs w:val="22"/>
        </w:rPr>
        <w:t xml:space="preserve"> effect</w:t>
      </w:r>
      <w:r>
        <w:rPr>
          <w:szCs w:val="22"/>
        </w:rPr>
        <w:t xml:space="preserve"> </w:t>
      </w:r>
      <w:r w:rsidRPr="003C5021">
        <w:rPr>
          <w:szCs w:val="22"/>
        </w:rPr>
        <w:t>beginning in funding year 2021.</w:t>
      </w:r>
      <w:r>
        <w:rPr>
          <w:rStyle w:val="FootnoteReference"/>
        </w:rPr>
        <w:footnoteReference w:id="6"/>
      </w:r>
    </w:p>
    <w:p w:rsidR="00BC385E" w:rsidRPr="003C5021" w:rsidP="00BC385E" w14:paraId="7CB461BD" w14:textId="77777777">
      <w:pPr>
        <w:pStyle w:val="ParaNum"/>
        <w:rPr>
          <w:rFonts w:eastAsia="Calibri"/>
          <w:szCs w:val="22"/>
        </w:rPr>
      </w:pPr>
      <w:r w:rsidRPr="003C5021">
        <w:rPr>
          <w:szCs w:val="22"/>
        </w:rPr>
        <w:t xml:space="preserve">Section 54.621(a)(1) of the Commission’s rules </w:t>
      </w:r>
      <w:r>
        <w:rPr>
          <w:szCs w:val="22"/>
        </w:rPr>
        <w:t>directs</w:t>
      </w:r>
      <w:r w:rsidRPr="003C5021">
        <w:rPr>
          <w:szCs w:val="22"/>
        </w:rPr>
        <w:t xml:space="preserve"> USAC to open an application filing window with an end date no later than 90 days prior to the start of the funding year (i.e., no later </w:t>
      </w:r>
      <w:r w:rsidRPr="003C5021">
        <w:rPr>
          <w:szCs w:val="22"/>
        </w:rPr>
        <w:t>than April 1).</w:t>
      </w:r>
      <w:r>
        <w:rPr>
          <w:rStyle w:val="FootnoteReference"/>
        </w:rPr>
        <w:footnoteReference w:id="7"/>
      </w:r>
      <w:r w:rsidRPr="003C5021">
        <w:rPr>
          <w:szCs w:val="22"/>
        </w:rPr>
        <w:t xml:space="preserve">  The Commission established the requirement of the April 1 end date for the application filing window </w:t>
      </w:r>
      <w:bookmarkStart w:id="1" w:name="_Hlk63793392"/>
      <w:r w:rsidRPr="003C5021">
        <w:rPr>
          <w:szCs w:val="22"/>
        </w:rPr>
        <w:t xml:space="preserve">to </w:t>
      </w:r>
      <w:r w:rsidRPr="003C5021">
        <w:rPr>
          <w:rFonts w:eastAsia="Calibri"/>
          <w:szCs w:val="22"/>
        </w:rPr>
        <w:t>provide more certainty to applicants by creating a consistent application filing window close date each year, to give USAC time to begin processing submitted RHC Program applications before the funding year begins, and to give USAC sufficient time to publish a gross demand estimate prior to the start of the funding year</w:t>
      </w:r>
      <w:bookmarkEnd w:id="1"/>
      <w:r w:rsidRPr="003C5021">
        <w:rPr>
          <w:rFonts w:eastAsia="Calibri"/>
          <w:szCs w:val="22"/>
        </w:rPr>
        <w:t>.</w:t>
      </w:r>
      <w:r>
        <w:rPr>
          <w:rStyle w:val="FootnoteReference"/>
          <w:rFonts w:eastAsia="Calibri"/>
        </w:rPr>
        <w:footnoteReference w:id="8"/>
      </w:r>
      <w:r w:rsidRPr="00442F94">
        <w:rPr>
          <w:rFonts w:eastAsia="Calibri"/>
          <w:sz w:val="20"/>
        </w:rPr>
        <w:t xml:space="preserve"> </w:t>
      </w:r>
      <w:r w:rsidRPr="003C5021">
        <w:rPr>
          <w:rFonts w:eastAsia="Calibri"/>
          <w:szCs w:val="22"/>
        </w:rPr>
        <w:t xml:space="preserve"> </w:t>
      </w:r>
      <w:bookmarkStart w:id="2" w:name="_Hlk64022067"/>
      <w:r w:rsidRPr="003C5021">
        <w:rPr>
          <w:rFonts w:eastAsia="Calibri"/>
          <w:szCs w:val="22"/>
        </w:rPr>
        <w:t xml:space="preserve">In establishing a consistent application </w:t>
      </w:r>
      <w:bookmarkEnd w:id="2"/>
      <w:r w:rsidRPr="003C5021">
        <w:rPr>
          <w:rFonts w:eastAsia="Calibri"/>
          <w:szCs w:val="22"/>
        </w:rPr>
        <w:t xml:space="preserve">filing window close each year, the Commission also directed USAC to publish a gross demand estimate </w:t>
      </w:r>
      <w:r w:rsidRPr="003C5021">
        <w:rPr>
          <w:szCs w:val="22"/>
        </w:rPr>
        <w:t xml:space="preserve">30 days before the start of the applicable funding year and allowed </w:t>
      </w:r>
      <w:r w:rsidRPr="003C5021">
        <w:rPr>
          <w:rFonts w:eastAsia="Calibri"/>
          <w:szCs w:val="22"/>
        </w:rPr>
        <w:t xml:space="preserve">the Bureau </w:t>
      </w:r>
      <w:r w:rsidRPr="003C5021">
        <w:rPr>
          <w:szCs w:val="22"/>
        </w:rPr>
        <w:t>to require a demand estimate to be filed at a different time if warranted by new circumstances.</w:t>
      </w:r>
      <w:r>
        <w:rPr>
          <w:rStyle w:val="FootnoteReference"/>
        </w:rPr>
        <w:footnoteReference w:id="9"/>
      </w:r>
      <w:r w:rsidRPr="00442F94">
        <w:rPr>
          <w:sz w:val="20"/>
        </w:rPr>
        <w:t xml:space="preserve"> </w:t>
      </w:r>
      <w:r>
        <w:rPr>
          <w:szCs w:val="22"/>
        </w:rPr>
        <w:t xml:space="preserve"> </w:t>
      </w:r>
      <w:r w:rsidRPr="003C5021">
        <w:rPr>
          <w:szCs w:val="22"/>
        </w:rPr>
        <w:t>In addition, the Bureau, in conjunction with the Office of the Managing Director, must determine the amount of unused funding from previous funding years available to be used in the current funding year by the end of the second quarter of each calendar year.</w:t>
      </w:r>
      <w:r>
        <w:rPr>
          <w:rStyle w:val="FootnoteReference"/>
        </w:rPr>
        <w:footnoteReference w:id="10"/>
      </w:r>
      <w:r>
        <w:rPr>
          <w:szCs w:val="22"/>
        </w:rPr>
        <w:t xml:space="preserve">  </w:t>
      </w:r>
      <w:r w:rsidRPr="003C5021">
        <w:rPr>
          <w:szCs w:val="22"/>
        </w:rPr>
        <w:t xml:space="preserve">On </w:t>
      </w:r>
      <w:r>
        <w:rPr>
          <w:szCs w:val="22"/>
        </w:rPr>
        <w:t>August</w:t>
      </w:r>
      <w:r w:rsidRPr="003C5021">
        <w:rPr>
          <w:szCs w:val="22"/>
        </w:rPr>
        <w:t xml:space="preserve"> </w:t>
      </w:r>
      <w:r>
        <w:rPr>
          <w:szCs w:val="22"/>
        </w:rPr>
        <w:t>4</w:t>
      </w:r>
      <w:r w:rsidRPr="003C5021">
        <w:rPr>
          <w:szCs w:val="22"/>
        </w:rPr>
        <w:t>, 202</w:t>
      </w:r>
      <w:r>
        <w:rPr>
          <w:szCs w:val="22"/>
        </w:rPr>
        <w:t>2</w:t>
      </w:r>
      <w:r w:rsidRPr="003C5021">
        <w:rPr>
          <w:szCs w:val="22"/>
        </w:rPr>
        <w:t>, USAC announced that the funding year 202</w:t>
      </w:r>
      <w:r>
        <w:rPr>
          <w:szCs w:val="22"/>
        </w:rPr>
        <w:t>3</w:t>
      </w:r>
      <w:r w:rsidRPr="003C5021">
        <w:rPr>
          <w:szCs w:val="22"/>
        </w:rPr>
        <w:t xml:space="preserve"> application filing window would close on April </w:t>
      </w:r>
      <w:r>
        <w:rPr>
          <w:szCs w:val="22"/>
        </w:rPr>
        <w:t>3</w:t>
      </w:r>
      <w:r w:rsidRPr="003C5021">
        <w:rPr>
          <w:szCs w:val="22"/>
        </w:rPr>
        <w:t>, 202</w:t>
      </w:r>
      <w:r>
        <w:rPr>
          <w:szCs w:val="22"/>
        </w:rPr>
        <w:t>3</w:t>
      </w:r>
      <w:r w:rsidRPr="003C5021">
        <w:rPr>
          <w:szCs w:val="22"/>
        </w:rPr>
        <w:t>.</w:t>
      </w:r>
      <w:r>
        <w:rPr>
          <w:rStyle w:val="FootnoteReference"/>
        </w:rPr>
        <w:footnoteReference w:id="11"/>
      </w:r>
    </w:p>
    <w:p w:rsidR="00BC385E" w:rsidRPr="00AF1297" w:rsidP="00BC385E" w14:paraId="2F16976E" w14:textId="77777777">
      <w:pPr>
        <w:pStyle w:val="ParaNum"/>
        <w:rPr>
          <w:szCs w:val="22"/>
        </w:rPr>
      </w:pPr>
      <w:r w:rsidRPr="00AF1297">
        <w:rPr>
          <w:szCs w:val="22"/>
        </w:rPr>
        <w:t xml:space="preserve">In March 2020, the Bureau extended the RHC Program funding year 2020 application filing window until June 30, 2020, </w:t>
      </w:r>
      <w:r>
        <w:rPr>
          <w:szCs w:val="22"/>
        </w:rPr>
        <w:t xml:space="preserve">at a time </w:t>
      </w:r>
      <w:r w:rsidRPr="00AF1297">
        <w:rPr>
          <w:szCs w:val="22"/>
        </w:rPr>
        <w:t>when the COVID-19 outbreak</w:t>
      </w:r>
      <w:r>
        <w:rPr>
          <w:szCs w:val="22"/>
        </w:rPr>
        <w:t xml:space="preserve"> was</w:t>
      </w:r>
      <w:r w:rsidRPr="00AF1297">
        <w:rPr>
          <w:szCs w:val="22"/>
        </w:rPr>
        <w:t xml:space="preserve"> rapidly spread</w:t>
      </w:r>
      <w:r>
        <w:rPr>
          <w:szCs w:val="22"/>
        </w:rPr>
        <w:t>ing</w:t>
      </w:r>
      <w:r w:rsidRPr="00AF1297">
        <w:rPr>
          <w:szCs w:val="22"/>
        </w:rPr>
        <w:t xml:space="preserve"> nationwide and start</w:t>
      </w:r>
      <w:r>
        <w:rPr>
          <w:szCs w:val="22"/>
        </w:rPr>
        <w:t>ing</w:t>
      </w:r>
      <w:r w:rsidRPr="00AF1297">
        <w:rPr>
          <w:szCs w:val="22"/>
        </w:rPr>
        <w:t xml:space="preserve"> to cause significant disruptions to health care providers.</w:t>
      </w:r>
      <w:r>
        <w:rPr>
          <w:rStyle w:val="FootnoteReference"/>
          <w:sz w:val="22"/>
          <w:szCs w:val="22"/>
        </w:rPr>
        <w:footnoteReference w:id="12"/>
      </w:r>
      <w:r w:rsidRPr="00AF1297">
        <w:rPr>
          <w:szCs w:val="22"/>
        </w:rPr>
        <w:t xml:space="preserve">  In February 2021, as the COVID-19 pandemic continued to cause significant disruptions to health care providers, the Bureau waived section 54.621(a)(1) of the Commission’s rules and extended the window to June 1, 2021.</w:t>
      </w:r>
      <w:r>
        <w:rPr>
          <w:rStyle w:val="FootnoteReference"/>
          <w:sz w:val="22"/>
          <w:szCs w:val="22"/>
        </w:rPr>
        <w:footnoteReference w:id="13"/>
      </w:r>
      <w:r w:rsidRPr="00AF1297">
        <w:rPr>
          <w:szCs w:val="22"/>
        </w:rPr>
        <w:t xml:space="preserve">  In March 2022, the Bureau </w:t>
      </w:r>
      <w:r>
        <w:rPr>
          <w:szCs w:val="22"/>
        </w:rPr>
        <w:t xml:space="preserve">again </w:t>
      </w:r>
      <w:r w:rsidRPr="00AF1297">
        <w:rPr>
          <w:szCs w:val="22"/>
        </w:rPr>
        <w:t>waived section 54.621(a)(1) and extended the window to June 1, 2022 in light of the persistent and ongoing disruptions caused by the COVID-19 pandemic and the shortage and burnout of health care staff aggravated by the surge of the Omicron variant.</w:t>
      </w:r>
      <w:r>
        <w:rPr>
          <w:rStyle w:val="FootnoteReference"/>
          <w:szCs w:val="22"/>
        </w:rPr>
        <w:footnoteReference w:id="14"/>
      </w:r>
      <w:r>
        <w:rPr>
          <w:szCs w:val="22"/>
        </w:rPr>
        <w:t xml:space="preserve">  </w:t>
      </w:r>
    </w:p>
    <w:p w:rsidR="00BC385E" w:rsidRPr="00C46157" w:rsidP="00BC385E" w14:paraId="10BC35E6" w14:textId="77777777">
      <w:pPr>
        <w:pStyle w:val="ParaNum"/>
        <w:widowControl/>
        <w:rPr>
          <w:szCs w:val="22"/>
        </w:rPr>
      </w:pPr>
      <w:r w:rsidRPr="003C5021">
        <w:rPr>
          <w:szCs w:val="22"/>
        </w:rPr>
        <w:t xml:space="preserve">On February </w:t>
      </w:r>
      <w:r>
        <w:rPr>
          <w:szCs w:val="22"/>
        </w:rPr>
        <w:t>13</w:t>
      </w:r>
      <w:r w:rsidRPr="003C5021">
        <w:rPr>
          <w:szCs w:val="22"/>
        </w:rPr>
        <w:t>, 202</w:t>
      </w:r>
      <w:r>
        <w:rPr>
          <w:szCs w:val="22"/>
        </w:rPr>
        <w:t>3</w:t>
      </w:r>
      <w:r w:rsidRPr="003C5021">
        <w:rPr>
          <w:szCs w:val="22"/>
        </w:rPr>
        <w:t>, the New England Telehealth Consortium (</w:t>
      </w:r>
      <w:r w:rsidRPr="003C5021">
        <w:rPr>
          <w:szCs w:val="22"/>
        </w:rPr>
        <w:t>NETC</w:t>
      </w:r>
      <w:r w:rsidRPr="003C5021">
        <w:rPr>
          <w:szCs w:val="22"/>
        </w:rPr>
        <w:t>) and the Connections Telehealth Consortium (CTC)</w:t>
      </w:r>
      <w:r>
        <w:rPr>
          <w:szCs w:val="22"/>
        </w:rPr>
        <w:t xml:space="preserve"> </w:t>
      </w:r>
      <w:r w:rsidRPr="003C5021">
        <w:rPr>
          <w:szCs w:val="22"/>
        </w:rPr>
        <w:t xml:space="preserve">filed a </w:t>
      </w:r>
      <w:r>
        <w:rPr>
          <w:szCs w:val="22"/>
        </w:rPr>
        <w:t>R</w:t>
      </w:r>
      <w:r w:rsidRPr="003C5021">
        <w:rPr>
          <w:szCs w:val="22"/>
        </w:rPr>
        <w:t xml:space="preserve">equest for </w:t>
      </w:r>
      <w:r>
        <w:rPr>
          <w:szCs w:val="22"/>
        </w:rPr>
        <w:t>W</w:t>
      </w:r>
      <w:r w:rsidRPr="003C5021">
        <w:rPr>
          <w:szCs w:val="22"/>
        </w:rPr>
        <w:t xml:space="preserve">aiver </w:t>
      </w:r>
      <w:r>
        <w:rPr>
          <w:szCs w:val="22"/>
        </w:rPr>
        <w:t>that asks</w:t>
      </w:r>
      <w:r w:rsidRPr="003C5021">
        <w:rPr>
          <w:szCs w:val="22"/>
        </w:rPr>
        <w:t xml:space="preserve"> the Commission</w:t>
      </w:r>
      <w:r>
        <w:rPr>
          <w:szCs w:val="22"/>
        </w:rPr>
        <w:t xml:space="preserve"> to</w:t>
      </w:r>
      <w:r w:rsidRPr="003C5021">
        <w:rPr>
          <w:szCs w:val="22"/>
        </w:rPr>
        <w:t xml:space="preserve"> waive the April </w:t>
      </w:r>
      <w:r>
        <w:rPr>
          <w:szCs w:val="22"/>
        </w:rPr>
        <w:t>3, 2023</w:t>
      </w:r>
      <w:r w:rsidRPr="003C5021">
        <w:rPr>
          <w:szCs w:val="22"/>
        </w:rPr>
        <w:t xml:space="preserve"> filing </w:t>
      </w:r>
      <w:r>
        <w:rPr>
          <w:szCs w:val="22"/>
        </w:rPr>
        <w:t xml:space="preserve">deadline </w:t>
      </w:r>
      <w:r w:rsidRPr="003C5021">
        <w:rPr>
          <w:szCs w:val="22"/>
        </w:rPr>
        <w:t>for funding year 202</w:t>
      </w:r>
      <w:r>
        <w:rPr>
          <w:szCs w:val="22"/>
        </w:rPr>
        <w:t>3</w:t>
      </w:r>
      <w:r w:rsidRPr="003C5021">
        <w:rPr>
          <w:szCs w:val="22"/>
        </w:rPr>
        <w:t xml:space="preserve"> and extend the filing window to </w:t>
      </w:r>
      <w:r>
        <w:rPr>
          <w:szCs w:val="22"/>
        </w:rPr>
        <w:t>May 31</w:t>
      </w:r>
      <w:r w:rsidRPr="003C5021">
        <w:rPr>
          <w:szCs w:val="22"/>
        </w:rPr>
        <w:t>, 202</w:t>
      </w:r>
      <w:r>
        <w:rPr>
          <w:szCs w:val="22"/>
        </w:rPr>
        <w:t xml:space="preserve">3 specifically for </w:t>
      </w:r>
      <w:r>
        <w:rPr>
          <w:szCs w:val="22"/>
        </w:rPr>
        <w:t>NETC</w:t>
      </w:r>
      <w:r>
        <w:rPr>
          <w:szCs w:val="22"/>
        </w:rPr>
        <w:t xml:space="preserve"> and CTC</w:t>
      </w:r>
      <w:r w:rsidRPr="003C5021">
        <w:rPr>
          <w:szCs w:val="22"/>
        </w:rPr>
        <w:t>.</w:t>
      </w:r>
      <w:r>
        <w:rPr>
          <w:rStyle w:val="FootnoteReference"/>
        </w:rPr>
        <w:footnoteReference w:id="15"/>
      </w:r>
      <w:r w:rsidRPr="003C5021">
        <w:rPr>
          <w:szCs w:val="22"/>
        </w:rPr>
        <w:t xml:space="preserve">  The </w:t>
      </w:r>
      <w:r>
        <w:rPr>
          <w:szCs w:val="22"/>
        </w:rPr>
        <w:t>R</w:t>
      </w:r>
      <w:r w:rsidRPr="003C5021">
        <w:rPr>
          <w:szCs w:val="22"/>
        </w:rPr>
        <w:t>equest</w:t>
      </w:r>
      <w:r>
        <w:rPr>
          <w:szCs w:val="22"/>
        </w:rPr>
        <w:t xml:space="preserve"> for Waiver</w:t>
      </w:r>
      <w:r w:rsidRPr="003C5021">
        <w:rPr>
          <w:szCs w:val="22"/>
        </w:rPr>
        <w:t xml:space="preserve"> </w:t>
      </w:r>
      <w:r>
        <w:rPr>
          <w:szCs w:val="22"/>
        </w:rPr>
        <w:t xml:space="preserve">argues that USAC’s funding year 2022 application processing delays and requests for information, funding year 2023 FCC Form 461 reviewing delays, issues related to USAC’s </w:t>
      </w:r>
      <w:r>
        <w:rPr>
          <w:szCs w:val="22"/>
        </w:rPr>
        <w:t>MyPortal</w:t>
      </w:r>
      <w:r>
        <w:rPr>
          <w:szCs w:val="22"/>
        </w:rPr>
        <w:t xml:space="preserve"> update, and ongoing effects of the COVID-19 pandemic </w:t>
      </w:r>
      <w:r w:rsidRPr="003C5021">
        <w:rPr>
          <w:szCs w:val="22"/>
        </w:rPr>
        <w:t>warrant</w:t>
      </w:r>
      <w:r>
        <w:rPr>
          <w:szCs w:val="22"/>
        </w:rPr>
        <w:t xml:space="preserve"> the waiver and extension.</w:t>
      </w:r>
      <w:r>
        <w:rPr>
          <w:rStyle w:val="FootnoteReference"/>
          <w:szCs w:val="22"/>
        </w:rPr>
        <w:footnoteReference w:id="16"/>
      </w:r>
      <w:r>
        <w:rPr>
          <w:szCs w:val="22"/>
        </w:rPr>
        <w:t xml:space="preserve">  </w:t>
      </w:r>
      <w:r w:rsidRPr="00C46157">
        <w:rPr>
          <w:szCs w:val="22"/>
        </w:rPr>
        <w:t>On February 2</w:t>
      </w:r>
      <w:r>
        <w:rPr>
          <w:szCs w:val="22"/>
        </w:rPr>
        <w:t>4</w:t>
      </w:r>
      <w:r w:rsidRPr="00C46157">
        <w:rPr>
          <w:szCs w:val="22"/>
        </w:rPr>
        <w:t>, 202</w:t>
      </w:r>
      <w:r>
        <w:rPr>
          <w:szCs w:val="22"/>
        </w:rPr>
        <w:t>3</w:t>
      </w:r>
      <w:r w:rsidRPr="00C46157">
        <w:rPr>
          <w:szCs w:val="22"/>
        </w:rPr>
        <w:t>, the Schools, Health &amp; Libraries Broadband (</w:t>
      </w:r>
      <w:r w:rsidRPr="00C46157">
        <w:rPr>
          <w:szCs w:val="22"/>
        </w:rPr>
        <w:t>SHLB</w:t>
      </w:r>
      <w:r w:rsidRPr="00C46157">
        <w:rPr>
          <w:szCs w:val="22"/>
        </w:rPr>
        <w:t xml:space="preserve">) Coalition filed </w:t>
      </w:r>
      <w:r w:rsidRPr="003C5021">
        <w:rPr>
          <w:szCs w:val="22"/>
        </w:rPr>
        <w:t xml:space="preserve">a </w:t>
      </w:r>
      <w:r>
        <w:rPr>
          <w:szCs w:val="22"/>
        </w:rPr>
        <w:t>R</w:t>
      </w:r>
      <w:r w:rsidRPr="003C5021">
        <w:rPr>
          <w:szCs w:val="22"/>
        </w:rPr>
        <w:t xml:space="preserve">equest for </w:t>
      </w:r>
      <w:r>
        <w:rPr>
          <w:szCs w:val="22"/>
        </w:rPr>
        <w:t>W</w:t>
      </w:r>
      <w:r w:rsidRPr="003C5021">
        <w:rPr>
          <w:szCs w:val="22"/>
        </w:rPr>
        <w:t>aiver</w:t>
      </w:r>
      <w:r>
        <w:rPr>
          <w:szCs w:val="22"/>
        </w:rPr>
        <w:t xml:space="preserve"> that asks the Commission to extend the filing window for all RHC Program participants until May 1, 2023, citing similar reasons as those cited by </w:t>
      </w:r>
      <w:r>
        <w:rPr>
          <w:szCs w:val="22"/>
        </w:rPr>
        <w:t>NETC</w:t>
      </w:r>
      <w:r>
        <w:rPr>
          <w:szCs w:val="22"/>
        </w:rPr>
        <w:t xml:space="preserve"> and CTC</w:t>
      </w:r>
      <w:r w:rsidRPr="00C46157">
        <w:rPr>
          <w:szCs w:val="22"/>
        </w:rPr>
        <w:t>.</w:t>
      </w:r>
      <w:r>
        <w:rPr>
          <w:rStyle w:val="FootnoteReference"/>
        </w:rPr>
        <w:footnoteReference w:id="17"/>
      </w:r>
      <w:r w:rsidRPr="00C46157">
        <w:rPr>
          <w:sz w:val="20"/>
        </w:rPr>
        <w:t xml:space="preserve">  </w:t>
      </w:r>
    </w:p>
    <w:p w:rsidR="00BC385E" w:rsidRPr="003C5021" w:rsidP="00BC385E" w14:paraId="1F6C715A" w14:textId="77777777">
      <w:pPr>
        <w:pStyle w:val="Heading1"/>
      </w:pPr>
      <w:r w:rsidRPr="003C5021">
        <w:t>discussion</w:t>
      </w:r>
    </w:p>
    <w:p w:rsidR="00BC385E" w:rsidRPr="003C5021" w:rsidP="00BC385E" w14:paraId="1E455766" w14:textId="77777777">
      <w:pPr>
        <w:pStyle w:val="ParaNum"/>
        <w:rPr>
          <w:szCs w:val="22"/>
        </w:rPr>
      </w:pPr>
      <w:r w:rsidRPr="003C5021">
        <w:rPr>
          <w:szCs w:val="22"/>
        </w:rPr>
        <w:t xml:space="preserve">We grant the </w:t>
      </w:r>
      <w:r>
        <w:rPr>
          <w:szCs w:val="22"/>
        </w:rPr>
        <w:t>R</w:t>
      </w:r>
      <w:r w:rsidRPr="003C5021">
        <w:rPr>
          <w:szCs w:val="22"/>
        </w:rPr>
        <w:t xml:space="preserve">equest for </w:t>
      </w:r>
      <w:r>
        <w:rPr>
          <w:szCs w:val="22"/>
        </w:rPr>
        <w:t>W</w:t>
      </w:r>
      <w:r w:rsidRPr="003C5021">
        <w:rPr>
          <w:szCs w:val="22"/>
        </w:rPr>
        <w:t xml:space="preserve">aiver </w:t>
      </w:r>
      <w:r>
        <w:rPr>
          <w:szCs w:val="22"/>
        </w:rPr>
        <w:t xml:space="preserve">of </w:t>
      </w:r>
      <w:r>
        <w:rPr>
          <w:szCs w:val="22"/>
        </w:rPr>
        <w:t>SHLB</w:t>
      </w:r>
      <w:r>
        <w:rPr>
          <w:szCs w:val="22"/>
        </w:rPr>
        <w:t xml:space="preserve"> in full and the Request for Waiver of </w:t>
      </w:r>
      <w:r w:rsidRPr="003C5021">
        <w:rPr>
          <w:szCs w:val="22"/>
        </w:rPr>
        <w:t>NETC</w:t>
      </w:r>
      <w:r>
        <w:rPr>
          <w:szCs w:val="22"/>
        </w:rPr>
        <w:t>/</w:t>
      </w:r>
      <w:r w:rsidRPr="003C5021">
        <w:rPr>
          <w:szCs w:val="22"/>
        </w:rPr>
        <w:t>CTC</w:t>
      </w:r>
      <w:r>
        <w:rPr>
          <w:szCs w:val="22"/>
        </w:rPr>
        <w:t xml:space="preserve"> in part </w:t>
      </w:r>
      <w:r w:rsidRPr="003C5021">
        <w:rPr>
          <w:szCs w:val="22"/>
        </w:rPr>
        <w:t>by waiving section 54.621(a)(1) of the Commission’s rules</w:t>
      </w:r>
      <w:r>
        <w:rPr>
          <w:rStyle w:val="FootnoteReference"/>
        </w:rPr>
        <w:footnoteReference w:id="18"/>
      </w:r>
      <w:r w:rsidRPr="003C5021">
        <w:rPr>
          <w:szCs w:val="22"/>
        </w:rPr>
        <w:t xml:space="preserve"> and </w:t>
      </w:r>
      <w:r>
        <w:rPr>
          <w:szCs w:val="22"/>
        </w:rPr>
        <w:t xml:space="preserve">directing </w:t>
      </w:r>
      <w:r w:rsidRPr="003C5021">
        <w:rPr>
          <w:szCs w:val="22"/>
        </w:rPr>
        <w:t xml:space="preserve">USAC to extend the </w:t>
      </w:r>
      <w:r>
        <w:rPr>
          <w:szCs w:val="22"/>
        </w:rPr>
        <w:t xml:space="preserve">close </w:t>
      </w:r>
      <w:r w:rsidRPr="003C5021">
        <w:rPr>
          <w:szCs w:val="22"/>
        </w:rPr>
        <w:t>of the funding year 202</w:t>
      </w:r>
      <w:r>
        <w:rPr>
          <w:szCs w:val="22"/>
        </w:rPr>
        <w:t>3</w:t>
      </w:r>
      <w:r w:rsidRPr="003C5021">
        <w:rPr>
          <w:szCs w:val="22"/>
        </w:rPr>
        <w:t xml:space="preserve"> filing window to </w:t>
      </w:r>
      <w:r w:rsidRPr="00C7204B">
        <w:rPr>
          <w:szCs w:val="22"/>
        </w:rPr>
        <w:t>May 1, 2023</w:t>
      </w:r>
      <w:r>
        <w:rPr>
          <w:szCs w:val="22"/>
        </w:rPr>
        <w:t xml:space="preserve"> for all RHC Program participants</w:t>
      </w:r>
      <w:r w:rsidRPr="003C5021">
        <w:rPr>
          <w:szCs w:val="22"/>
        </w:rPr>
        <w:t xml:space="preserve">.  </w:t>
      </w:r>
      <w:r>
        <w:t>The Commission’s rules may be waived for good cause shown.</w:t>
      </w:r>
      <w:r>
        <w:rPr>
          <w:rStyle w:val="FootnoteReference"/>
        </w:rPr>
        <w:footnoteReference w:id="19"/>
      </w:r>
      <w:r>
        <w:t xml:space="preserve">  The Commission may exercise its discretion to waive a rule where the particular facts make strict compliance inconsistent with the public interest.</w:t>
      </w:r>
      <w:r>
        <w:rPr>
          <w:rStyle w:val="FootnoteReference"/>
        </w:rPr>
        <w:footnoteReference w:id="20"/>
      </w:r>
      <w:r>
        <w:t xml:space="preserve">  In addition, the Commission may take into account considerations of hardship, equity, or more effective implementation of overall policy on an individual basis.</w:t>
      </w:r>
      <w:r>
        <w:rPr>
          <w:rStyle w:val="FootnoteReference"/>
        </w:rPr>
        <w:footnoteReference w:id="21"/>
      </w:r>
      <w:r>
        <w:t xml:space="preserve">  Waiver of the Commission’s rules is appropriate if both (i) special circumstances warrant a deviation from the general rule, and (ii) such deviation will serve the public interest.</w:t>
      </w:r>
      <w:r>
        <w:rPr>
          <w:rStyle w:val="FootnoteReference"/>
        </w:rPr>
        <w:footnoteReference w:id="22"/>
      </w:r>
      <w:r>
        <w:t xml:space="preserve"> </w:t>
      </w:r>
      <w:r w:rsidRPr="00442F94">
        <w:rPr>
          <w:sz w:val="20"/>
        </w:rPr>
        <w:t xml:space="preserve"> </w:t>
      </w:r>
      <w:r w:rsidRPr="003C5021">
        <w:rPr>
          <w:szCs w:val="22"/>
        </w:rPr>
        <w:t xml:space="preserve">    </w:t>
      </w:r>
    </w:p>
    <w:p w:rsidR="00BC385E" w:rsidP="00BC385E" w14:paraId="6536A564" w14:textId="77777777">
      <w:pPr>
        <w:pStyle w:val="ParaNum"/>
        <w:rPr>
          <w:rFonts w:eastAsia="Calibri"/>
          <w:szCs w:val="22"/>
        </w:rPr>
      </w:pPr>
      <w:r>
        <w:rPr>
          <w:rFonts w:eastAsia="Calibri"/>
          <w:szCs w:val="22"/>
        </w:rPr>
        <w:t xml:space="preserve">We find that the lingering effects of the COVID-19 pandemic provide the necessary special circumstances to support a limited 28-day extension of the funding year 2023 filing window to May 1, 2023.  Both </w:t>
      </w:r>
      <w:r>
        <w:rPr>
          <w:rFonts w:eastAsia="Calibri"/>
          <w:szCs w:val="22"/>
        </w:rPr>
        <w:t>NETC</w:t>
      </w:r>
      <w:r>
        <w:rPr>
          <w:rFonts w:eastAsia="Calibri"/>
          <w:szCs w:val="22"/>
        </w:rPr>
        <w:t xml:space="preserve">/CTC and </w:t>
      </w:r>
      <w:r>
        <w:rPr>
          <w:rFonts w:eastAsia="Calibri"/>
          <w:szCs w:val="22"/>
        </w:rPr>
        <w:t>SHLB</w:t>
      </w:r>
      <w:r>
        <w:rPr>
          <w:rFonts w:eastAsia="Calibri"/>
          <w:szCs w:val="22"/>
        </w:rPr>
        <w:t xml:space="preserve"> cite the effects of COVID-19 and its aftermath on health care providers as a factor supporting their requests for relief.</w:t>
      </w:r>
      <w:r>
        <w:rPr>
          <w:rStyle w:val="FootnoteReference"/>
          <w:rFonts w:eastAsia="Calibri"/>
          <w:szCs w:val="22"/>
        </w:rPr>
        <w:footnoteReference w:id="23"/>
      </w:r>
      <w:r>
        <w:rPr>
          <w:rFonts w:eastAsia="Calibri"/>
          <w:szCs w:val="22"/>
        </w:rPr>
        <w:t xml:space="preserve">  We also acknowledge that the extended filing deadline falls within the national emergency and public health emergency first declared in 2020 and now set to expire on May 11, 2023.</w:t>
      </w:r>
      <w:r>
        <w:rPr>
          <w:rStyle w:val="FootnoteReference"/>
          <w:rFonts w:eastAsia="Calibri"/>
          <w:szCs w:val="22"/>
        </w:rPr>
        <w:footnoteReference w:id="24"/>
      </w:r>
      <w:r>
        <w:rPr>
          <w:rFonts w:eastAsia="Calibri"/>
          <w:szCs w:val="22"/>
        </w:rPr>
        <w:t xml:space="preserve">  Accordingly, we conclude that the public interest would best be served by again waiving the filing deadline requirements of section 54.621(a)(1) to account for the effects of COVID-19.  However, given the imminent end of the national emergency and public health emergency, barring unforeseen new developments, we do not anticipate extending the filing window for future funding years or waiving any other RHC Program deadline.  </w:t>
      </w:r>
    </w:p>
    <w:p w:rsidR="00BC385E" w:rsidRPr="003C5021" w:rsidP="00BC385E" w14:paraId="7C73D626" w14:textId="77777777">
      <w:pPr>
        <w:pStyle w:val="ParaNum"/>
        <w:widowControl/>
        <w:rPr>
          <w:rFonts w:eastAsia="Calibri"/>
          <w:szCs w:val="22"/>
        </w:rPr>
      </w:pPr>
      <w:r>
        <w:rPr>
          <w:rFonts w:eastAsia="Calibri"/>
          <w:szCs w:val="22"/>
        </w:rPr>
        <w:t xml:space="preserve">We reject the primary reasons advanced by </w:t>
      </w:r>
      <w:r>
        <w:rPr>
          <w:rFonts w:eastAsia="Calibri"/>
          <w:szCs w:val="22"/>
        </w:rPr>
        <w:t>NETC</w:t>
      </w:r>
      <w:r>
        <w:rPr>
          <w:rFonts w:eastAsia="Calibri"/>
          <w:szCs w:val="22"/>
        </w:rPr>
        <w:t xml:space="preserve">/CTC and </w:t>
      </w:r>
      <w:r>
        <w:rPr>
          <w:rFonts w:eastAsia="Calibri"/>
          <w:szCs w:val="22"/>
        </w:rPr>
        <w:t>SHLB</w:t>
      </w:r>
      <w:r>
        <w:rPr>
          <w:rFonts w:eastAsia="Calibri"/>
          <w:szCs w:val="22"/>
        </w:rPr>
        <w:t xml:space="preserve"> in support of their waiver requests.  The parties cite the late processing of funding year 2022 applications, the issuance of a high number of information requests, and delays experienced when using the </w:t>
      </w:r>
      <w:r>
        <w:rPr>
          <w:rFonts w:eastAsia="Calibri"/>
          <w:szCs w:val="22"/>
        </w:rPr>
        <w:t>MyPortal</w:t>
      </w:r>
      <w:r>
        <w:rPr>
          <w:rFonts w:eastAsia="Calibri"/>
          <w:szCs w:val="22"/>
        </w:rPr>
        <w:t xml:space="preserve"> platform as reasons warranting an extended filing window.</w:t>
      </w:r>
      <w:r>
        <w:rPr>
          <w:rStyle w:val="FootnoteReference"/>
          <w:rFonts w:eastAsia="Calibri"/>
          <w:szCs w:val="22"/>
        </w:rPr>
        <w:footnoteReference w:id="25"/>
      </w:r>
      <w:r>
        <w:rPr>
          <w:rFonts w:eastAsia="Calibri"/>
          <w:szCs w:val="22"/>
        </w:rPr>
        <w:t xml:space="preserve">  We find that none of these reasons provide a</w:t>
      </w:r>
      <w:r w:rsidRPr="00CC27F1">
        <w:rPr>
          <w:rFonts w:eastAsia="Calibri"/>
          <w:szCs w:val="22"/>
        </w:rPr>
        <w:t xml:space="preserve"> basis for</w:t>
      </w:r>
      <w:r>
        <w:rPr>
          <w:rFonts w:eastAsia="Calibri"/>
          <w:szCs w:val="22"/>
        </w:rPr>
        <w:t xml:space="preserve"> waiving section </w:t>
      </w:r>
      <w:r w:rsidRPr="003C5021">
        <w:rPr>
          <w:szCs w:val="22"/>
        </w:rPr>
        <w:t>54.621(a)(1)</w:t>
      </w:r>
      <w:r>
        <w:rPr>
          <w:szCs w:val="22"/>
        </w:rPr>
        <w:t xml:space="preserve"> and</w:t>
      </w:r>
      <w:r w:rsidRPr="00CC27F1">
        <w:rPr>
          <w:rFonts w:eastAsia="Calibri"/>
          <w:szCs w:val="22"/>
        </w:rPr>
        <w:t xml:space="preserve"> </w:t>
      </w:r>
      <w:r>
        <w:rPr>
          <w:rFonts w:eastAsia="Calibri"/>
          <w:szCs w:val="22"/>
        </w:rPr>
        <w:t>extending</w:t>
      </w:r>
      <w:r w:rsidRPr="00CC27F1">
        <w:rPr>
          <w:rFonts w:eastAsia="Calibri"/>
          <w:szCs w:val="22"/>
        </w:rPr>
        <w:t xml:space="preserve"> the application filing window</w:t>
      </w:r>
      <w:r>
        <w:rPr>
          <w:rFonts w:eastAsia="Calibri"/>
          <w:szCs w:val="22"/>
        </w:rPr>
        <w:t xml:space="preserve">.  Although RHC Program funding requests have been processed much faster in recent years than in the past, there are still a limited number of applications from funding year 2022 that remain pending.  </w:t>
      </w:r>
      <w:r>
        <w:t>T</w:t>
      </w:r>
      <w:r>
        <w:rPr>
          <w:rFonts w:eastAsia="Calibri"/>
          <w:szCs w:val="22"/>
        </w:rPr>
        <w:t>he delays experienced by the petitioners are likely the result, at least in part, of the two-month extension of the funding year 2022 filing window, which compressed the amount of time USAC was given to process last year’s applications.  As such, we find that processing delays do not on their own provide the level of special circumstances necessary to waive a Commission rule.</w:t>
      </w:r>
      <w:r>
        <w:rPr>
          <w:rStyle w:val="FootnoteReference"/>
          <w:rFonts w:eastAsia="Calibri"/>
          <w:szCs w:val="22"/>
        </w:rPr>
        <w:footnoteReference w:id="26"/>
      </w:r>
      <w:r>
        <w:rPr>
          <w:rFonts w:eastAsia="Calibri"/>
          <w:szCs w:val="22"/>
        </w:rPr>
        <w:t xml:space="preserve">  To the extent </w:t>
      </w:r>
      <w:r>
        <w:rPr>
          <w:rFonts w:eastAsia="Calibri"/>
          <w:szCs w:val="22"/>
        </w:rPr>
        <w:t>NETC</w:t>
      </w:r>
      <w:r>
        <w:rPr>
          <w:rFonts w:eastAsia="Calibri"/>
          <w:szCs w:val="22"/>
        </w:rPr>
        <w:t xml:space="preserve">, CTC, </w:t>
      </w:r>
      <w:r>
        <w:rPr>
          <w:rFonts w:eastAsia="Calibri"/>
          <w:szCs w:val="22"/>
        </w:rPr>
        <w:t>SHLB</w:t>
      </w:r>
      <w:r>
        <w:rPr>
          <w:rFonts w:eastAsia="Calibri"/>
          <w:szCs w:val="22"/>
        </w:rPr>
        <w:t xml:space="preserve">, or any other health care provider does </w:t>
      </w:r>
      <w:r w:rsidRPr="00CC27F1">
        <w:rPr>
          <w:rFonts w:eastAsia="Calibri"/>
          <w:szCs w:val="22"/>
        </w:rPr>
        <w:t>not yet have</w:t>
      </w:r>
      <w:r>
        <w:rPr>
          <w:rFonts w:eastAsia="Calibri"/>
          <w:szCs w:val="22"/>
        </w:rPr>
        <w:t xml:space="preserve"> an</w:t>
      </w:r>
      <w:r w:rsidRPr="00CC27F1">
        <w:rPr>
          <w:rFonts w:eastAsia="Calibri"/>
          <w:szCs w:val="22"/>
        </w:rPr>
        <w:t xml:space="preserve"> evergreen</w:t>
      </w:r>
      <w:r>
        <w:rPr>
          <w:rFonts w:eastAsia="Calibri"/>
          <w:szCs w:val="22"/>
        </w:rPr>
        <w:t xml:space="preserve"> contract</w:t>
      </w:r>
      <w:r w:rsidRPr="00CC27F1">
        <w:rPr>
          <w:rFonts w:eastAsia="Calibri"/>
          <w:szCs w:val="22"/>
        </w:rPr>
        <w:t xml:space="preserve"> determination from the previous funding year,</w:t>
      </w:r>
      <w:r>
        <w:rPr>
          <w:rStyle w:val="FootnoteReference"/>
          <w:rFonts w:eastAsia="Calibri"/>
          <w:szCs w:val="22"/>
        </w:rPr>
        <w:footnoteReference w:id="27"/>
      </w:r>
      <w:r w:rsidRPr="00CC27F1">
        <w:rPr>
          <w:rFonts w:eastAsia="Calibri"/>
          <w:szCs w:val="22"/>
        </w:rPr>
        <w:t xml:space="preserve"> they should proceed with competitive bidding to ensure that they will be able to file their applications on time.</w:t>
      </w:r>
      <w:r>
        <w:rPr>
          <w:rFonts w:eastAsia="Calibri"/>
          <w:szCs w:val="22"/>
        </w:rPr>
        <w:t xml:space="preserve">  Further, health care providers are expected to have the resources to respond to information requests in a </w:t>
      </w:r>
      <w:r>
        <w:rPr>
          <w:rFonts w:eastAsia="Calibri"/>
          <w:szCs w:val="22"/>
        </w:rPr>
        <w:t>timely manner and to withstand normal platform processing times.</w:t>
      </w:r>
      <w:r>
        <w:rPr>
          <w:rStyle w:val="FootnoteReference"/>
          <w:rFonts w:eastAsia="Calibri"/>
          <w:szCs w:val="22"/>
        </w:rPr>
        <w:footnoteReference w:id="28"/>
      </w:r>
      <w:r>
        <w:rPr>
          <w:rFonts w:eastAsia="Calibri"/>
          <w:szCs w:val="22"/>
        </w:rPr>
        <w:t xml:space="preserve">  </w:t>
      </w:r>
    </w:p>
    <w:p w:rsidR="00BC385E" w:rsidRPr="00F067E2" w:rsidP="00BC385E" w14:paraId="02EB746F" w14:textId="77777777">
      <w:pPr>
        <w:pStyle w:val="ParaNum"/>
        <w:widowControl/>
        <w:rPr>
          <w:rFonts w:eastAsia="Calibri"/>
          <w:szCs w:val="22"/>
        </w:rPr>
      </w:pPr>
      <w:r>
        <w:rPr>
          <w:rFonts w:eastAsia="Calibri"/>
          <w:szCs w:val="22"/>
        </w:rPr>
        <w:t xml:space="preserve">We also decline to extend the end of the application filing window for two months instead of one month and provide relief to only </w:t>
      </w:r>
      <w:r>
        <w:rPr>
          <w:rFonts w:eastAsia="Calibri"/>
          <w:szCs w:val="22"/>
        </w:rPr>
        <w:t>NETC</w:t>
      </w:r>
      <w:r>
        <w:rPr>
          <w:rFonts w:eastAsia="Calibri"/>
          <w:szCs w:val="22"/>
        </w:rPr>
        <w:t xml:space="preserve">/CTC as requested by </w:t>
      </w:r>
      <w:r>
        <w:rPr>
          <w:rFonts w:eastAsia="Calibri"/>
          <w:szCs w:val="22"/>
        </w:rPr>
        <w:t>NETC</w:t>
      </w:r>
      <w:r>
        <w:rPr>
          <w:rFonts w:eastAsia="Calibri"/>
          <w:szCs w:val="22"/>
        </w:rPr>
        <w:t xml:space="preserve">/CTC.  Although the national emergency and public health emergency have not yet expired, health care providers are in a much better position to manage administration of the RHC Program than they have been since the pandemic began.  Further, extending relief to a small subset of health care providers who are no differently situated than many other health care providers would unduly prejudice those other health care providers.  </w:t>
      </w:r>
    </w:p>
    <w:p w:rsidR="00BC385E" w:rsidRPr="003C5021" w:rsidP="00BC385E" w14:paraId="1DDE66EC" w14:textId="77777777">
      <w:pPr>
        <w:pStyle w:val="ParaNum"/>
        <w:widowControl/>
        <w:rPr>
          <w:rFonts w:eastAsia="Calibri"/>
          <w:szCs w:val="22"/>
        </w:rPr>
      </w:pPr>
      <w:r>
        <w:rPr>
          <w:szCs w:val="22"/>
        </w:rPr>
        <w:t xml:space="preserve">Finally, </w:t>
      </w:r>
      <w:r w:rsidRPr="003C5021">
        <w:rPr>
          <w:szCs w:val="22"/>
        </w:rPr>
        <w:t xml:space="preserve">we adjust two deadlines that are associated with the close of the filing window.  First, we direct USAC to file the RHC Program gross demand estimate by </w:t>
      </w:r>
      <w:r w:rsidRPr="00F067E2">
        <w:rPr>
          <w:szCs w:val="22"/>
        </w:rPr>
        <w:t>July 1, 2023</w:t>
      </w:r>
      <w:r w:rsidRPr="003C5021">
        <w:rPr>
          <w:szCs w:val="22"/>
        </w:rPr>
        <w:t xml:space="preserve">.  The delay of the close of the application filing window until </w:t>
      </w:r>
      <w:r w:rsidRPr="00F067E2">
        <w:rPr>
          <w:szCs w:val="22"/>
        </w:rPr>
        <w:t>May 1, 2023</w:t>
      </w:r>
      <w:r w:rsidRPr="003C5021">
        <w:rPr>
          <w:szCs w:val="22"/>
        </w:rPr>
        <w:t xml:space="preserve"> makes it</w:t>
      </w:r>
      <w:r>
        <w:rPr>
          <w:szCs w:val="22"/>
        </w:rPr>
        <w:t xml:space="preserve"> difficult</w:t>
      </w:r>
      <w:r w:rsidRPr="003C5021">
        <w:rPr>
          <w:szCs w:val="22"/>
        </w:rPr>
        <w:t xml:space="preserve"> for USAC to provide a demand estimate 30 days before the start of funding year 202</w:t>
      </w:r>
      <w:r>
        <w:rPr>
          <w:szCs w:val="22"/>
        </w:rPr>
        <w:t>3</w:t>
      </w:r>
      <w:r w:rsidRPr="003C5021">
        <w:rPr>
          <w:szCs w:val="22"/>
        </w:rPr>
        <w:t xml:space="preserve">, the deadline contemplated in the </w:t>
      </w:r>
      <w:r w:rsidRPr="003C5021">
        <w:rPr>
          <w:i/>
          <w:iCs/>
          <w:szCs w:val="22"/>
        </w:rPr>
        <w:t>Promoting Telehealth Report and Order</w:t>
      </w:r>
      <w:r w:rsidRPr="003C5021">
        <w:rPr>
          <w:szCs w:val="22"/>
        </w:rPr>
        <w:t>.</w:t>
      </w:r>
      <w:r>
        <w:rPr>
          <w:rStyle w:val="FootnoteReference"/>
        </w:rPr>
        <w:footnoteReference w:id="29"/>
      </w:r>
      <w:r w:rsidRPr="003C5021">
        <w:rPr>
          <w:szCs w:val="22"/>
        </w:rPr>
        <w:t xml:space="preserve">  Requiring USAC to file its gross demand estimate by </w:t>
      </w:r>
      <w:r w:rsidRPr="00F067E2">
        <w:rPr>
          <w:szCs w:val="22"/>
        </w:rPr>
        <w:t>July 1, 2023</w:t>
      </w:r>
      <w:r w:rsidRPr="003C5021">
        <w:rPr>
          <w:szCs w:val="22"/>
        </w:rPr>
        <w:t xml:space="preserve"> will give it</w:t>
      </w:r>
      <w:r>
        <w:rPr>
          <w:szCs w:val="22"/>
        </w:rPr>
        <w:t xml:space="preserve"> approximately</w:t>
      </w:r>
      <w:r w:rsidRPr="003C5021">
        <w:rPr>
          <w:szCs w:val="22"/>
        </w:rPr>
        <w:t xml:space="preserve"> the same amount of time to prepare the estimate as it would have had without an extension of the close of the application filing window.</w:t>
      </w:r>
      <w:r>
        <w:rPr>
          <w:rStyle w:val="FootnoteReference"/>
        </w:rPr>
        <w:footnoteReference w:id="30"/>
      </w:r>
      <w:r w:rsidRPr="003C5021">
        <w:rPr>
          <w:szCs w:val="22"/>
        </w:rPr>
        <w:t xml:space="preserve">  Second, we waive the requirement in section </w:t>
      </w:r>
      <w:bookmarkStart w:id="5" w:name="_Hlk97188463"/>
      <w:r w:rsidRPr="003C5021">
        <w:rPr>
          <w:szCs w:val="22"/>
        </w:rPr>
        <w:t xml:space="preserve">54.619(a)(5) </w:t>
      </w:r>
      <w:bookmarkEnd w:id="5"/>
      <w:r w:rsidRPr="003C5021">
        <w:rPr>
          <w:szCs w:val="22"/>
        </w:rPr>
        <w:t xml:space="preserve">of the Commission’s rules </w:t>
      </w:r>
      <w:r>
        <w:rPr>
          <w:szCs w:val="22"/>
        </w:rPr>
        <w:t xml:space="preserve">requiring </w:t>
      </w:r>
      <w:r w:rsidRPr="003C5021">
        <w:rPr>
          <w:szCs w:val="22"/>
        </w:rPr>
        <w:t>that</w:t>
      </w:r>
      <w:r>
        <w:rPr>
          <w:szCs w:val="22"/>
        </w:rPr>
        <w:t xml:space="preserve"> the</w:t>
      </w:r>
      <w:r w:rsidRPr="003C5021">
        <w:rPr>
          <w:szCs w:val="22"/>
        </w:rPr>
        <w:t xml:space="preserve"> determination of the amount of unused funding from previous funding years available to carry forward to the current funding year be made in the second quarter.</w:t>
      </w:r>
      <w:r>
        <w:rPr>
          <w:rStyle w:val="FootnoteReference"/>
        </w:rPr>
        <w:footnoteReference w:id="31"/>
      </w:r>
      <w:r w:rsidRPr="00442F94">
        <w:rPr>
          <w:sz w:val="20"/>
        </w:rPr>
        <w:t xml:space="preserve"> </w:t>
      </w:r>
      <w:r w:rsidRPr="003C5021">
        <w:rPr>
          <w:szCs w:val="22"/>
        </w:rPr>
        <w:t xml:space="preserve"> To align this deadline with the window close and gross demand estimate deadline, we now require that determination to be made in the third quarter</w:t>
      </w:r>
      <w:r>
        <w:rPr>
          <w:szCs w:val="22"/>
        </w:rPr>
        <w:t xml:space="preserve"> of 2023</w:t>
      </w:r>
      <w:r w:rsidRPr="003C5021">
        <w:rPr>
          <w:szCs w:val="22"/>
        </w:rPr>
        <w:t>.</w:t>
      </w:r>
      <w:r>
        <w:rPr>
          <w:rStyle w:val="FootnoteReference"/>
          <w:szCs w:val="22"/>
        </w:rPr>
        <w:footnoteReference w:id="32"/>
      </w:r>
      <w:r w:rsidRPr="003C5021">
        <w:rPr>
          <w:szCs w:val="22"/>
        </w:rPr>
        <w:t xml:space="preserve">  </w:t>
      </w:r>
    </w:p>
    <w:p w:rsidR="00BC385E" w:rsidRPr="003C5021" w:rsidP="00BC385E" w14:paraId="781F1FBC" w14:textId="77777777">
      <w:pPr>
        <w:pStyle w:val="Heading1"/>
      </w:pPr>
      <w:r w:rsidRPr="003C5021">
        <w:t>ordering clauses</w:t>
      </w:r>
    </w:p>
    <w:p w:rsidR="00BC385E" w:rsidP="00BC385E" w14:paraId="5D116263" w14:textId="77777777">
      <w:pPr>
        <w:pStyle w:val="ParaNum"/>
        <w:rPr>
          <w:szCs w:val="22"/>
        </w:rPr>
      </w:pPr>
      <w:r w:rsidRPr="003C5021">
        <w:rPr>
          <w:szCs w:val="22"/>
        </w:rPr>
        <w:t>ACCORDINGLY, IT IS ORDERED</w:t>
      </w:r>
      <w:r>
        <w:rPr>
          <w:szCs w:val="22"/>
        </w:rPr>
        <w:t xml:space="preserve"> that</w:t>
      </w:r>
      <w:r w:rsidRPr="003C5021">
        <w:rPr>
          <w:szCs w:val="22"/>
        </w:rPr>
        <w:t>,</w:t>
      </w:r>
      <w:r>
        <w:rPr>
          <w:szCs w:val="22"/>
        </w:rPr>
        <w:t xml:space="preserve"> </w:t>
      </w:r>
      <w:r w:rsidRPr="00146103">
        <w:rPr>
          <w:rStyle w:val="StyleNumberedparagraphs11ptChar"/>
          <w:szCs w:val="22"/>
        </w:rPr>
        <w:t xml:space="preserve">pursuant to the authority contained in sections 1-4 and 254 of the Communications Act of 1934, as amended, 47 U.S.C. §§ 151-154 and 254, and </w:t>
      </w:r>
      <w:r w:rsidRPr="00676AD4">
        <w:t xml:space="preserve">sections </w:t>
      </w:r>
      <w:r>
        <w:t xml:space="preserve">0.91, 0.291, 1.3, and 54.719(c) </w:t>
      </w:r>
      <w:r w:rsidRPr="00676AD4">
        <w:t xml:space="preserve">of the </w:t>
      </w:r>
      <w:r w:rsidRPr="00146103">
        <w:rPr>
          <w:rStyle w:val="StyleNumberedparagraphs11ptChar"/>
          <w:szCs w:val="22"/>
        </w:rPr>
        <w:t>Commission’s</w:t>
      </w:r>
      <w:r w:rsidRPr="00676AD4">
        <w:t xml:space="preserve"> rules, 47 CFR §§ </w:t>
      </w:r>
      <w:r>
        <w:t>0.91, 0.291, 1.3,</w:t>
      </w:r>
      <w:r w:rsidRPr="00676AD4">
        <w:t xml:space="preserve"> </w:t>
      </w:r>
      <w:r>
        <w:t>and 54.719(c)</w:t>
      </w:r>
      <w:r w:rsidRPr="00676AD4">
        <w:t xml:space="preserve">, </w:t>
      </w:r>
      <w:r w:rsidRPr="00146103">
        <w:rPr>
          <w:rStyle w:val="StyleNumberedparagraphs11ptChar"/>
          <w:szCs w:val="22"/>
        </w:rPr>
        <w:t xml:space="preserve">the </w:t>
      </w:r>
      <w:r>
        <w:rPr>
          <w:rStyle w:val="StyleNumberedparagraphs11ptChar"/>
          <w:szCs w:val="22"/>
        </w:rPr>
        <w:t>waiver request of the Schools, Health &amp; Libraries Coalition</w:t>
      </w:r>
      <w:r>
        <w:t xml:space="preserve"> IS GRANTED to the extent described herein.</w:t>
      </w:r>
      <w:r w:rsidRPr="003C5021">
        <w:rPr>
          <w:szCs w:val="22"/>
        </w:rPr>
        <w:t xml:space="preserve"> </w:t>
      </w:r>
    </w:p>
    <w:p w:rsidR="00BC385E" w:rsidP="00BC385E" w14:paraId="7EF849CD" w14:textId="77777777">
      <w:pPr>
        <w:pStyle w:val="ParaNum"/>
        <w:rPr>
          <w:szCs w:val="22"/>
        </w:rPr>
      </w:pPr>
      <w:r>
        <w:rPr>
          <w:szCs w:val="22"/>
        </w:rPr>
        <w:t xml:space="preserve">IT IS FURTHER ORDERED that </w:t>
      </w:r>
      <w:r>
        <w:rPr>
          <w:rStyle w:val="StyleNumberedparagraphs11ptChar"/>
          <w:szCs w:val="22"/>
        </w:rPr>
        <w:t>the waiver request of the New England Telehealth Consortium/Connections Telehealth Consortium IS GRANTED IN PART and DENIED IN PART as described herein.</w:t>
      </w:r>
    </w:p>
    <w:p w:rsidR="00BC385E" w:rsidP="00837655" w14:paraId="16343583" w14:textId="77777777">
      <w:pPr>
        <w:pStyle w:val="ParaNum"/>
        <w:widowControl/>
        <w:rPr>
          <w:szCs w:val="22"/>
        </w:rPr>
      </w:pPr>
      <w:r>
        <w:rPr>
          <w:szCs w:val="22"/>
        </w:rPr>
        <w:t xml:space="preserve">IT IS FURTHER ORDERED, </w:t>
      </w:r>
      <w:r w:rsidRPr="003C5021">
        <w:rPr>
          <w:szCs w:val="22"/>
        </w:rPr>
        <w:t>pursuant to the authority contained in sections 1-4 and 254 of the Communications Act of 1934, as amended, 47 U</w:t>
      </w:r>
      <w:r>
        <w:rPr>
          <w:szCs w:val="22"/>
        </w:rPr>
        <w:t>.</w:t>
      </w:r>
      <w:r w:rsidRPr="003C5021">
        <w:rPr>
          <w:szCs w:val="22"/>
        </w:rPr>
        <w:t>S</w:t>
      </w:r>
      <w:r>
        <w:rPr>
          <w:szCs w:val="22"/>
        </w:rPr>
        <w:t>.</w:t>
      </w:r>
      <w:r w:rsidRPr="003C5021">
        <w:rPr>
          <w:szCs w:val="22"/>
        </w:rPr>
        <w:t>C</w:t>
      </w:r>
      <w:r>
        <w:rPr>
          <w:szCs w:val="22"/>
        </w:rPr>
        <w:t>.</w:t>
      </w:r>
      <w:r w:rsidRPr="003C5021">
        <w:rPr>
          <w:szCs w:val="22"/>
        </w:rPr>
        <w:t xml:space="preserve"> §§ 151-154 and 254, and sections 0.91, 0.291, 1.3</w:t>
      </w:r>
      <w:r>
        <w:rPr>
          <w:szCs w:val="22"/>
        </w:rPr>
        <w:t>, and 54.719(c)</w:t>
      </w:r>
      <w:r w:rsidRPr="003C5021">
        <w:rPr>
          <w:szCs w:val="22"/>
        </w:rPr>
        <w:t xml:space="preserve"> of the Commission’s rules, 47 CFR §§ 0.91, 0.291, 1.3,</w:t>
      </w:r>
      <w:r>
        <w:rPr>
          <w:szCs w:val="22"/>
        </w:rPr>
        <w:t xml:space="preserve"> and 54.719(c),</w:t>
      </w:r>
      <w:r w:rsidRPr="003C5021">
        <w:rPr>
          <w:szCs w:val="22"/>
        </w:rPr>
        <w:t xml:space="preserve"> that sections 54.619(a)(5) and 54.621(a)(1) of the Commission’s rules, 47 CFR §§ 54.619(a)(5), 54.621(a)(1), are </w:t>
      </w:r>
      <w:r>
        <w:rPr>
          <w:szCs w:val="22"/>
        </w:rPr>
        <w:t xml:space="preserve">WAIVED </w:t>
      </w:r>
      <w:r w:rsidRPr="003C5021">
        <w:rPr>
          <w:szCs w:val="22"/>
        </w:rPr>
        <w:t>to the extent provided herein.</w:t>
      </w:r>
    </w:p>
    <w:p w:rsidR="00BC385E" w:rsidP="00BC385E" w14:paraId="6BF595C3" w14:textId="7BDBE9CE">
      <w:pPr>
        <w:pStyle w:val="ParaNum"/>
        <w:rPr>
          <w:szCs w:val="22"/>
        </w:rPr>
      </w:pPr>
      <w:r w:rsidRPr="003C5021">
        <w:rPr>
          <w:szCs w:val="22"/>
        </w:rPr>
        <w:t>IT IS FURTHER ORDERED, that pursuant to section 1.102(b)(1) of the Commission’s rules, 47 CFR § 1.102(b)(1), this Order SHALL BE EFFECTIVE upon release.</w:t>
      </w:r>
    </w:p>
    <w:p w:rsidR="00BC385E" w:rsidP="00BC385E" w14:paraId="3EA56F95" w14:textId="5997793D">
      <w:pPr>
        <w:pStyle w:val="ParaNum"/>
        <w:numPr>
          <w:ilvl w:val="0"/>
          <w:numId w:val="0"/>
        </w:numPr>
        <w:rPr>
          <w:szCs w:val="22"/>
        </w:rPr>
      </w:pPr>
    </w:p>
    <w:p w:rsidR="00BC385E" w:rsidP="00BC385E" w14:paraId="2312F566" w14:textId="57B86EEF">
      <w:pPr>
        <w:pStyle w:val="ParaNum"/>
        <w:numPr>
          <w:ilvl w:val="0"/>
          <w:numId w:val="0"/>
        </w:numPr>
        <w:rPr>
          <w:szCs w:val="22"/>
        </w:rPr>
      </w:pPr>
    </w:p>
    <w:p w:rsidR="00BC385E" w:rsidP="00BC385E" w14:paraId="59849E90" w14:textId="77777777">
      <w:pPr>
        <w:pStyle w:val="ParaNum"/>
        <w:numPr>
          <w:ilvl w:val="0"/>
          <w:numId w:val="0"/>
        </w:numPr>
        <w:rPr>
          <w:szCs w:val="22"/>
        </w:rPr>
      </w:pPr>
    </w:p>
    <w:p w:rsidR="00BC385E" w:rsidP="0017296B" w14:paraId="0AD66EB1" w14:textId="77777777">
      <w:r>
        <w:tab/>
      </w:r>
      <w:r>
        <w:tab/>
      </w:r>
      <w:r>
        <w:tab/>
      </w:r>
      <w:r>
        <w:tab/>
      </w:r>
      <w:r>
        <w:tab/>
      </w:r>
      <w:r>
        <w:tab/>
        <w:t>FEDERAL COMMUNICATIONS COMMISSION</w:t>
      </w:r>
    </w:p>
    <w:p w:rsidR="00BC385E" w:rsidP="0017296B" w14:paraId="5F611FD1" w14:textId="77777777"/>
    <w:p w:rsidR="00BC385E" w:rsidP="0017296B" w14:paraId="2C0E7283" w14:textId="77777777"/>
    <w:p w:rsidR="00BC385E" w:rsidP="0017296B" w14:paraId="414BE069" w14:textId="77777777"/>
    <w:p w:rsidR="00BC385E" w:rsidP="0017296B" w14:paraId="16ECE74D" w14:textId="77777777"/>
    <w:p w:rsidR="00BC385E" w:rsidP="0017296B" w14:paraId="19722F92" w14:textId="79564052">
      <w:r>
        <w:tab/>
      </w:r>
      <w:r>
        <w:tab/>
      </w:r>
      <w:r>
        <w:tab/>
      </w:r>
      <w:r>
        <w:tab/>
      </w:r>
      <w:r>
        <w:tab/>
      </w:r>
      <w:r>
        <w:tab/>
        <w:t>Trent B. Harkrader</w:t>
      </w:r>
    </w:p>
    <w:p w:rsidR="00BC385E" w:rsidP="0017296B" w14:paraId="4C97A92A" w14:textId="1E05FBA2">
      <w:r>
        <w:tab/>
      </w:r>
      <w:r>
        <w:tab/>
      </w:r>
      <w:r>
        <w:tab/>
      </w:r>
      <w:r>
        <w:tab/>
      </w:r>
      <w:r>
        <w:tab/>
      </w:r>
      <w:r>
        <w:tab/>
        <w:t>Chief</w:t>
      </w:r>
    </w:p>
    <w:p w:rsidR="00BC385E" w:rsidP="00BC385E" w14:paraId="72E9945F" w14:textId="2248A396">
      <w:pPr>
        <w:pStyle w:val="ParaNum"/>
        <w:numPr>
          <w:ilvl w:val="0"/>
          <w:numId w:val="0"/>
        </w:numPr>
        <w:rPr>
          <w:szCs w:val="22"/>
        </w:rPr>
      </w:pPr>
      <w:r>
        <w:rPr>
          <w:szCs w:val="22"/>
        </w:rPr>
        <w:tab/>
      </w:r>
      <w:r>
        <w:rPr>
          <w:szCs w:val="22"/>
        </w:rPr>
        <w:tab/>
      </w:r>
      <w:r>
        <w:rPr>
          <w:szCs w:val="22"/>
        </w:rPr>
        <w:tab/>
      </w:r>
      <w:r>
        <w:rPr>
          <w:szCs w:val="22"/>
        </w:rPr>
        <w:tab/>
      </w:r>
      <w:r>
        <w:rPr>
          <w:szCs w:val="22"/>
        </w:rPr>
        <w:tab/>
      </w:r>
      <w:r>
        <w:rPr>
          <w:szCs w:val="22"/>
        </w:rP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F3B2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23A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CDA672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33DD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385E" w14:paraId="07A2B0A6" w14:textId="77777777">
      <w:r>
        <w:separator/>
      </w:r>
    </w:p>
  </w:footnote>
  <w:footnote w:type="continuationSeparator" w:id="1">
    <w:p w:rsidR="00BC385E" w:rsidP="00C721AC" w14:paraId="749A74FC" w14:textId="77777777">
      <w:pPr>
        <w:spacing w:before="120"/>
        <w:rPr>
          <w:sz w:val="20"/>
        </w:rPr>
      </w:pPr>
      <w:r>
        <w:rPr>
          <w:sz w:val="20"/>
        </w:rPr>
        <w:t xml:space="preserve">(Continued from previous page)  </w:t>
      </w:r>
      <w:r>
        <w:rPr>
          <w:sz w:val="20"/>
        </w:rPr>
        <w:separator/>
      </w:r>
    </w:p>
  </w:footnote>
  <w:footnote w:type="continuationNotice" w:id="2">
    <w:p w:rsidR="00BC385E" w:rsidP="00C721AC" w14:paraId="22876FC3" w14:textId="77777777">
      <w:pPr>
        <w:jc w:val="right"/>
        <w:rPr>
          <w:sz w:val="20"/>
        </w:rPr>
      </w:pPr>
      <w:r>
        <w:rPr>
          <w:sz w:val="20"/>
        </w:rPr>
        <w:t>(continued….)</w:t>
      </w:r>
    </w:p>
  </w:footnote>
  <w:footnote w:id="3">
    <w:p w:rsidR="00BC385E" w:rsidRPr="000A1A4F" w:rsidP="00BC385E" w14:paraId="477F5C5D" w14:textId="77777777">
      <w:pPr>
        <w:pStyle w:val="FootnoteText"/>
        <w:rPr>
          <w:i/>
          <w:iCs/>
        </w:rPr>
      </w:pPr>
      <w:r>
        <w:rPr>
          <w:rStyle w:val="FootnoteReference"/>
        </w:rPr>
        <w:footnoteRef/>
      </w:r>
      <w:r>
        <w:t xml:space="preserve"> </w:t>
      </w:r>
      <w:r>
        <w:rPr>
          <w:i/>
          <w:iCs/>
        </w:rPr>
        <w:t xml:space="preserve">See </w:t>
      </w:r>
      <w:r w:rsidRPr="003C5021">
        <w:t>Request for Waiver by the New England Telehealth Consortium</w:t>
      </w:r>
      <w:r>
        <w:t xml:space="preserve"> </w:t>
      </w:r>
      <w:r w:rsidRPr="003C5021">
        <w:t>and the Connections Telehealth Consortium</w:t>
      </w:r>
      <w:r>
        <w:t xml:space="preserve">, </w:t>
      </w:r>
      <w:r w:rsidRPr="003C5021">
        <w:t>WC Docket Nos. 02-60 and 17-310</w:t>
      </w:r>
      <w:r>
        <w:t xml:space="preserve"> at 1</w:t>
      </w:r>
      <w:r w:rsidRPr="003C5021">
        <w:t xml:space="preserve"> (filed Feb. </w:t>
      </w:r>
      <w:r>
        <w:t>13</w:t>
      </w:r>
      <w:r w:rsidRPr="003C5021">
        <w:t>, 202</w:t>
      </w:r>
      <w:r>
        <w:t>3</w:t>
      </w:r>
      <w:r w:rsidRPr="003C5021">
        <w:t>) (</w:t>
      </w:r>
      <w:r w:rsidRPr="00EC612A">
        <w:t>NETC</w:t>
      </w:r>
      <w:r w:rsidRPr="00EC612A">
        <w:t xml:space="preserve"> and CTC Request for Waiver</w:t>
      </w:r>
      <w:r w:rsidRPr="003C5021">
        <w:t>)</w:t>
      </w:r>
      <w:r>
        <w:t xml:space="preserve">; </w:t>
      </w:r>
      <w:r w:rsidRPr="003C5021">
        <w:t xml:space="preserve">Request for Waiver by the </w:t>
      </w:r>
      <w:r w:rsidRPr="00C46157">
        <w:rPr>
          <w:szCs w:val="22"/>
        </w:rPr>
        <w:t>Schools, Health &amp; Libraries Broadband</w:t>
      </w:r>
      <w:r>
        <w:rPr>
          <w:szCs w:val="22"/>
        </w:rPr>
        <w:t xml:space="preserve"> </w:t>
      </w:r>
      <w:r w:rsidRPr="00C46157">
        <w:rPr>
          <w:szCs w:val="22"/>
        </w:rPr>
        <w:t>Coalition</w:t>
      </w:r>
      <w:r w:rsidRPr="003C5021">
        <w:t>, WC Docket Nos. 02-60 and 17-310</w:t>
      </w:r>
      <w:r>
        <w:t xml:space="preserve"> at 1-3</w:t>
      </w:r>
      <w:r w:rsidRPr="003C5021">
        <w:t xml:space="preserve"> (filed Feb. </w:t>
      </w:r>
      <w:r>
        <w:t>24</w:t>
      </w:r>
      <w:r w:rsidRPr="003C5021">
        <w:t>, 202</w:t>
      </w:r>
      <w:r>
        <w:t>3</w:t>
      </w:r>
      <w:r w:rsidRPr="003C5021">
        <w:t>)</w:t>
      </w:r>
      <w:r>
        <w:t xml:space="preserve"> </w:t>
      </w:r>
      <w:r w:rsidRPr="003C5021">
        <w:t>(</w:t>
      </w:r>
      <w:r w:rsidRPr="00EC612A">
        <w:t>SHLB</w:t>
      </w:r>
      <w:r w:rsidRPr="00EC612A">
        <w:t xml:space="preserve"> Request for Waiver</w:t>
      </w:r>
      <w:r w:rsidRPr="003C5021">
        <w:t>)</w:t>
      </w:r>
      <w:r>
        <w:t>.</w:t>
      </w:r>
    </w:p>
  </w:footnote>
  <w:footnote w:id="4">
    <w:p w:rsidR="00BC385E" w:rsidRPr="003C5021" w:rsidP="00BC385E" w14:paraId="7C0745CE" w14:textId="77777777">
      <w:pPr>
        <w:spacing w:after="120"/>
        <w:rPr>
          <w:sz w:val="20"/>
          <w:vertAlign w:val="superscript"/>
        </w:rPr>
      </w:pPr>
      <w:r w:rsidRPr="003C5021">
        <w:rPr>
          <w:sz w:val="20"/>
          <w:vertAlign w:val="superscript"/>
        </w:rPr>
        <w:footnoteRef/>
      </w:r>
      <w:r w:rsidRPr="003C5021">
        <w:rPr>
          <w:i/>
          <w:sz w:val="20"/>
        </w:rPr>
        <w:t xml:space="preserve"> Rural Health Care Support Mechanism</w:t>
      </w:r>
      <w:r w:rsidRPr="003C5021">
        <w:rPr>
          <w:sz w:val="20"/>
        </w:rPr>
        <w:t xml:space="preserve">, WC Docket No. 02-60, Order, 34 FCC </w:t>
      </w:r>
      <w:r w:rsidRPr="003C5021">
        <w:rPr>
          <w:sz w:val="20"/>
        </w:rPr>
        <w:t>Rcd</w:t>
      </w:r>
      <w:r w:rsidRPr="003C5021">
        <w:rPr>
          <w:sz w:val="20"/>
        </w:rPr>
        <w:t xml:space="preserve"> 4136, 4136, para. 2 (2019) (</w:t>
      </w:r>
      <w:r w:rsidRPr="003C5021">
        <w:rPr>
          <w:i/>
          <w:sz w:val="20"/>
        </w:rPr>
        <w:t>Funding Year 2018 Demand Order</w:t>
      </w:r>
      <w:r w:rsidRPr="003C5021">
        <w:rPr>
          <w:sz w:val="20"/>
        </w:rPr>
        <w:t>).</w:t>
      </w:r>
      <w:r w:rsidRPr="003C5021">
        <w:rPr>
          <w:sz w:val="20"/>
          <w:vertAlign w:val="superscript"/>
        </w:rPr>
        <w:t xml:space="preserve">  </w:t>
      </w:r>
    </w:p>
  </w:footnote>
  <w:footnote w:id="5">
    <w:p w:rsidR="00BC385E" w:rsidRPr="003C5021" w:rsidP="00BC385E" w14:paraId="3E0DF0DD" w14:textId="77777777">
      <w:pPr>
        <w:pStyle w:val="FootnoteText"/>
      </w:pPr>
      <w:r w:rsidRPr="003C5021">
        <w:rPr>
          <w:rStyle w:val="FootnoteReference"/>
        </w:rPr>
        <w:footnoteRef/>
      </w:r>
      <w:r w:rsidRPr="003C5021">
        <w:t xml:space="preserve"> </w:t>
      </w:r>
      <w:r w:rsidRPr="003C5021">
        <w:rPr>
          <w:i/>
          <w:iCs/>
        </w:rPr>
        <w:t xml:space="preserve">See </w:t>
      </w:r>
      <w:r w:rsidRPr="003C5021">
        <w:rPr>
          <w:i/>
        </w:rPr>
        <w:t>Funding Year 2018 Demand Order,</w:t>
      </w:r>
      <w:r w:rsidRPr="003C5021">
        <w:t xml:space="preserve"> 34 FCC </w:t>
      </w:r>
      <w:r w:rsidRPr="003C5021">
        <w:t>Rcd</w:t>
      </w:r>
      <w:r w:rsidRPr="003C5021">
        <w:t xml:space="preserve"> at 4139, para. 10; </w:t>
      </w:r>
      <w:r w:rsidRPr="003C5021">
        <w:rPr>
          <w:i/>
        </w:rPr>
        <w:t>WCB Provides a Filing Window Period Schedule for Funding Requests under the Telecom Program and the Healthcare Connect Fund</w:t>
      </w:r>
      <w:r w:rsidRPr="003C5021">
        <w:t xml:space="preserve">, WC Docket No. 02-60, Public Notice, 31 FCC </w:t>
      </w:r>
      <w:r w:rsidRPr="003C5021">
        <w:t>Rcd</w:t>
      </w:r>
      <w:r w:rsidRPr="003C5021">
        <w:t xml:space="preserve"> 9588, 9589, 9592 (WCB 2016).</w:t>
      </w:r>
    </w:p>
  </w:footnote>
  <w:footnote w:id="6">
    <w:p w:rsidR="00BC385E" w:rsidRPr="003C5021" w:rsidP="00BC385E" w14:paraId="37DE2008" w14:textId="77777777">
      <w:pPr>
        <w:pStyle w:val="FootnoteText"/>
      </w:pPr>
      <w:r w:rsidRPr="003C5021">
        <w:rPr>
          <w:rStyle w:val="FootnoteReference"/>
        </w:rPr>
        <w:footnoteRef/>
      </w:r>
      <w:r w:rsidRPr="003C5021">
        <w:t xml:space="preserve"> </w:t>
      </w:r>
      <w:r w:rsidRPr="003C5021">
        <w:rPr>
          <w:i/>
          <w:iCs/>
        </w:rPr>
        <w:t>Promoting Telehealth in Rural America</w:t>
      </w:r>
      <w:r w:rsidRPr="003C5021">
        <w:t xml:space="preserve">, WC Docket No. 17-310, Report and Order, 34 FCC </w:t>
      </w:r>
      <w:r w:rsidRPr="003C5021">
        <w:t>Rcd</w:t>
      </w:r>
      <w:r w:rsidRPr="003C5021">
        <w:t xml:space="preserve"> 7335, 7416-17, 7433, paras. 176, 214 (2019) (</w:t>
      </w:r>
      <w:r w:rsidRPr="003C5021">
        <w:rPr>
          <w:i/>
        </w:rPr>
        <w:t>Promoting Telehealth Report and Order</w:t>
      </w:r>
      <w:r w:rsidRPr="003C5021">
        <w:t xml:space="preserve">).  The RHC Program funding year begins on July 1 of each calendar year and ends June 30 of the next calendar year.  </w:t>
      </w:r>
      <w:r w:rsidRPr="003C5021">
        <w:rPr>
          <w:i/>
          <w:iCs/>
        </w:rPr>
        <w:t>See</w:t>
      </w:r>
      <w:r w:rsidRPr="003C5021">
        <w:t xml:space="preserve"> 47 CFR § 54.600(a).  </w:t>
      </w:r>
    </w:p>
  </w:footnote>
  <w:footnote w:id="7">
    <w:p w:rsidR="00BC385E" w:rsidRPr="003C5021" w:rsidP="00BC385E" w14:paraId="5F7FB343" w14:textId="77777777">
      <w:pPr>
        <w:pStyle w:val="FootnoteText"/>
      </w:pPr>
      <w:r w:rsidRPr="003C5021">
        <w:rPr>
          <w:rStyle w:val="FootnoteReference"/>
        </w:rPr>
        <w:footnoteRef/>
      </w:r>
      <w:r w:rsidRPr="003C5021">
        <w:t xml:space="preserve"> 47 CFR § 54.621(a)(1); </w:t>
      </w:r>
      <w:r w:rsidRPr="003C5021">
        <w:rPr>
          <w:i/>
        </w:rPr>
        <w:t>Promoting Telehealth Report and Order</w:t>
      </w:r>
      <w:r w:rsidRPr="003C5021">
        <w:t xml:space="preserve">, 34 FCC </w:t>
      </w:r>
      <w:r w:rsidRPr="003C5021">
        <w:t>Rcd</w:t>
      </w:r>
      <w:r w:rsidRPr="003C5021">
        <w:t xml:space="preserve"> at 7416, para. 176.</w:t>
      </w:r>
    </w:p>
  </w:footnote>
  <w:footnote w:id="8">
    <w:p w:rsidR="00BC385E" w:rsidRPr="003C5021" w:rsidP="00BC385E" w14:paraId="410D01CF" w14:textId="77777777">
      <w:pPr>
        <w:pStyle w:val="FootnoteText"/>
      </w:pPr>
      <w:r w:rsidRPr="003C5021">
        <w:rPr>
          <w:rStyle w:val="FootnoteReference"/>
        </w:rPr>
        <w:footnoteRef/>
      </w:r>
      <w:r w:rsidRPr="003C5021">
        <w:t xml:space="preserve"> </w:t>
      </w:r>
      <w:r w:rsidRPr="003C5021">
        <w:rPr>
          <w:i/>
          <w:iCs/>
        </w:rPr>
        <w:t>Promoting Telehealth Report and Order</w:t>
      </w:r>
      <w:r w:rsidRPr="003C5021">
        <w:t xml:space="preserve">, 34 FCC </w:t>
      </w:r>
      <w:r w:rsidRPr="003C5021">
        <w:t>Rcd</w:t>
      </w:r>
      <w:r w:rsidRPr="003C5021">
        <w:t xml:space="preserve"> at 7416, para. 176.  </w:t>
      </w:r>
    </w:p>
  </w:footnote>
  <w:footnote w:id="9">
    <w:p w:rsidR="00BC385E" w:rsidRPr="003C5021" w:rsidP="00BC385E" w14:paraId="2B0B2E54" w14:textId="77777777">
      <w:pPr>
        <w:pStyle w:val="FootnoteText"/>
      </w:pPr>
      <w:r w:rsidRPr="003C5021">
        <w:rPr>
          <w:rStyle w:val="FootnoteReference"/>
        </w:rPr>
        <w:footnoteRef/>
      </w:r>
      <w:r w:rsidRPr="003C5021">
        <w:t xml:space="preserve"> </w:t>
      </w:r>
      <w:r w:rsidRPr="003C5021">
        <w:rPr>
          <w:i/>
          <w:iCs/>
        </w:rPr>
        <w:t>Id.</w:t>
      </w:r>
      <w:r w:rsidRPr="003C5021">
        <w:t xml:space="preserve"> at 7416, para. 176 &amp; n.532.</w:t>
      </w:r>
    </w:p>
  </w:footnote>
  <w:footnote w:id="10">
    <w:p w:rsidR="00BC385E" w:rsidRPr="003C5021" w:rsidP="00BC385E" w14:paraId="66FD14F8" w14:textId="77777777">
      <w:pPr>
        <w:pStyle w:val="FootnoteText"/>
      </w:pPr>
      <w:r w:rsidRPr="003C5021">
        <w:rPr>
          <w:rStyle w:val="FootnoteReference"/>
        </w:rPr>
        <w:footnoteRef/>
      </w:r>
      <w:r w:rsidRPr="003C5021">
        <w:t xml:space="preserve"> </w:t>
      </w:r>
      <w:r w:rsidRPr="003C5021">
        <w:rPr>
          <w:i/>
          <w:iCs/>
        </w:rPr>
        <w:t>See</w:t>
      </w:r>
      <w:r w:rsidRPr="003C5021">
        <w:t xml:space="preserve"> 47 CFR § 54.619(a)(5).  </w:t>
      </w:r>
    </w:p>
  </w:footnote>
  <w:footnote w:id="11">
    <w:p w:rsidR="00BC385E" w:rsidRPr="003C5021" w:rsidP="00BC385E" w14:paraId="161A60BD" w14:textId="77777777">
      <w:pPr>
        <w:pStyle w:val="FootnoteText"/>
      </w:pPr>
      <w:r w:rsidRPr="003C5021">
        <w:rPr>
          <w:rStyle w:val="FootnoteReference"/>
        </w:rPr>
        <w:footnoteRef/>
      </w:r>
      <w:r w:rsidRPr="003C5021">
        <w:t xml:space="preserve"> </w:t>
      </w:r>
      <w:r w:rsidRPr="003C5021">
        <w:rPr>
          <w:i/>
          <w:iCs/>
        </w:rPr>
        <w:t xml:space="preserve">See </w:t>
      </w:r>
      <w:r w:rsidRPr="003C5021">
        <w:t>USAC, R</w:t>
      </w:r>
      <w:r>
        <w:t>ural Health Care, August</w:t>
      </w:r>
      <w:r w:rsidRPr="003C5021">
        <w:t xml:space="preserve"> 202</w:t>
      </w:r>
      <w:r>
        <w:t>2 RHC Monthly Newsletter</w:t>
      </w:r>
      <w:r w:rsidRPr="003C5021">
        <w:t xml:space="preserve">, at </w:t>
      </w:r>
      <w:r>
        <w:t>1</w:t>
      </w:r>
      <w:r w:rsidRPr="003C5021">
        <w:t xml:space="preserve"> (</w:t>
      </w:r>
      <w:r>
        <w:t>Aug.</w:t>
      </w:r>
      <w:r w:rsidRPr="003C5021">
        <w:t xml:space="preserve"> </w:t>
      </w:r>
      <w:r>
        <w:t>4</w:t>
      </w:r>
      <w:r w:rsidRPr="003C5021">
        <w:t>, 202</w:t>
      </w:r>
      <w:r>
        <w:t>2</w:t>
      </w:r>
      <w:r w:rsidRPr="003C5021">
        <w:t xml:space="preserve">), </w:t>
      </w:r>
      <w:hyperlink r:id="rId1" w:history="1">
        <w:r w:rsidRPr="00DF7A9A">
          <w:rPr>
            <w:rStyle w:val="Hyperlink"/>
          </w:rPr>
          <w:t>https://www.usac.org/wp-content/uploads/rural-health-care/documents/monthly-newsletter/2022-newsletters/RHC-Newsletter-August-2022.pdf</w:t>
        </w:r>
      </w:hyperlink>
      <w:r w:rsidRPr="003C5021">
        <w:t xml:space="preserve">.  </w:t>
      </w:r>
      <w:r>
        <w:t xml:space="preserve">The funding year 2023 filing window closes on April 3, 2023 because April 1, 2023 is a Saturday.  </w:t>
      </w:r>
      <w:r w:rsidRPr="00AC1166">
        <w:rPr>
          <w:i/>
          <w:iCs/>
        </w:rPr>
        <w:t>See</w:t>
      </w:r>
      <w:r>
        <w:t xml:space="preserve"> 47 CFR § 1.4(j).</w:t>
      </w:r>
    </w:p>
  </w:footnote>
  <w:footnote w:id="12">
    <w:p w:rsidR="00BC385E" w:rsidRPr="003C5021" w:rsidP="00BC385E" w14:paraId="0CFDE2B1" w14:textId="77777777">
      <w:pPr>
        <w:pStyle w:val="FootnoteText"/>
      </w:pPr>
      <w:r w:rsidRPr="003C5021">
        <w:rPr>
          <w:rStyle w:val="FootnoteReference"/>
        </w:rPr>
        <w:footnoteRef/>
      </w:r>
      <w:r w:rsidRPr="003C5021">
        <w:t xml:space="preserve"> </w:t>
      </w:r>
      <w:r w:rsidRPr="00DF7A9A">
        <w:rPr>
          <w:i/>
          <w:iCs/>
        </w:rPr>
        <w:t>Rural Health Care Support Mechanism</w:t>
      </w:r>
      <w:r w:rsidRPr="003C5021">
        <w:t xml:space="preserve">, WC Docket No. 02-60, Order, </w:t>
      </w:r>
      <w:bookmarkStart w:id="3" w:name="_Hlk63952654"/>
      <w:r w:rsidRPr="003C5021">
        <w:t xml:space="preserve">35 FCC </w:t>
      </w:r>
      <w:r w:rsidRPr="003C5021">
        <w:t>Rcd</w:t>
      </w:r>
      <w:r w:rsidRPr="003C5021">
        <w:t xml:space="preserve"> 2922, 2924, para. 6 </w:t>
      </w:r>
      <w:bookmarkEnd w:id="3"/>
      <w:r w:rsidRPr="003C5021">
        <w:t>(WCB 2020) (</w:t>
      </w:r>
      <w:r w:rsidRPr="003C5021">
        <w:rPr>
          <w:i/>
          <w:iCs/>
        </w:rPr>
        <w:t>COVID-19 RHC Relief Order</w:t>
      </w:r>
      <w:r w:rsidRPr="003C5021">
        <w:t>).</w:t>
      </w:r>
    </w:p>
  </w:footnote>
  <w:footnote w:id="13">
    <w:p w:rsidR="00BC385E" w:rsidRPr="003C5021" w:rsidP="00BC385E" w14:paraId="02EE6457" w14:textId="77777777">
      <w:pPr>
        <w:pStyle w:val="FootnoteText"/>
      </w:pPr>
      <w:r w:rsidRPr="003C5021">
        <w:rPr>
          <w:rStyle w:val="FootnoteReference"/>
        </w:rPr>
        <w:footnoteRef/>
      </w:r>
      <w:r w:rsidRPr="003C5021">
        <w:t xml:space="preserve"> </w:t>
      </w:r>
      <w:r w:rsidRPr="003C5021">
        <w:rPr>
          <w:i/>
          <w:iCs/>
        </w:rPr>
        <w:t>Rural Health Care Support Mechanism; Promoting Telehealth in Rural America</w:t>
      </w:r>
      <w:r w:rsidRPr="003C5021">
        <w:t xml:space="preserve">, </w:t>
      </w:r>
      <w:bookmarkStart w:id="4" w:name="_Hlk97053940"/>
      <w:r w:rsidRPr="003C5021">
        <w:t xml:space="preserve">WC Docket Nos. 02-60 and 17-310, </w:t>
      </w:r>
      <w:bookmarkEnd w:id="4"/>
      <w:r w:rsidRPr="003C5021">
        <w:t xml:space="preserve">Order, 36 FCC </w:t>
      </w:r>
      <w:r w:rsidRPr="003C5021">
        <w:t>Rcd</w:t>
      </w:r>
      <w:r w:rsidRPr="003C5021">
        <w:t xml:space="preserve"> 1604, 1604, para. 1 (WCB 2021)</w:t>
      </w:r>
      <w:r>
        <w:t>.</w:t>
      </w:r>
    </w:p>
  </w:footnote>
  <w:footnote w:id="14">
    <w:p w:rsidR="00BC385E" w:rsidP="00BC385E" w14:paraId="0E8C0E63" w14:textId="77777777">
      <w:pPr>
        <w:pStyle w:val="FootnoteText"/>
      </w:pPr>
      <w:r>
        <w:rPr>
          <w:rStyle w:val="FootnoteReference"/>
        </w:rPr>
        <w:footnoteRef/>
      </w:r>
      <w:r>
        <w:t xml:space="preserve"> </w:t>
      </w:r>
      <w:r w:rsidRPr="003C5021">
        <w:rPr>
          <w:i/>
          <w:iCs/>
        </w:rPr>
        <w:t>Rural Health Care Support Mechanism; Promoting Telehealth in Rural America</w:t>
      </w:r>
      <w:r w:rsidRPr="003C5021">
        <w:t xml:space="preserve">, WC Docket Nos. 02-60 and 17-310, Order, </w:t>
      </w:r>
      <w:r w:rsidRPr="00FC5E0F">
        <w:t>DA 22-221, 2022 WL 658878, at *</w:t>
      </w:r>
      <w:r>
        <w:t>1</w:t>
      </w:r>
      <w:r w:rsidRPr="00FC5E0F">
        <w:t xml:space="preserve">, para. </w:t>
      </w:r>
      <w:r>
        <w:t>1</w:t>
      </w:r>
      <w:r w:rsidRPr="00FC5E0F">
        <w:t xml:space="preserve"> (WCB Mar. 3, 2022)</w:t>
      </w:r>
      <w:r>
        <w:t>.</w:t>
      </w:r>
    </w:p>
  </w:footnote>
  <w:footnote w:id="15">
    <w:p w:rsidR="00BC385E" w:rsidRPr="003C5021" w:rsidP="00BC385E" w14:paraId="2E10A8F6" w14:textId="77777777">
      <w:pPr>
        <w:pStyle w:val="FootnoteText"/>
      </w:pPr>
      <w:r w:rsidRPr="003C5021">
        <w:rPr>
          <w:rStyle w:val="FootnoteReference"/>
        </w:rPr>
        <w:footnoteRef/>
      </w:r>
      <w:r w:rsidRPr="003C5021">
        <w:t xml:space="preserve"> </w:t>
      </w:r>
      <w:r w:rsidRPr="00EC612A">
        <w:t>NETC</w:t>
      </w:r>
      <w:r w:rsidRPr="00EC612A">
        <w:t xml:space="preserve"> and CTC Request for Waiver</w:t>
      </w:r>
      <w:r>
        <w:t xml:space="preserve"> at 1.</w:t>
      </w:r>
    </w:p>
  </w:footnote>
  <w:footnote w:id="16">
    <w:p w:rsidR="00BC385E" w:rsidRPr="002C4E45" w:rsidP="00BC385E" w14:paraId="502EAA4D" w14:textId="77777777">
      <w:pPr>
        <w:pStyle w:val="FootnoteText"/>
        <w:ind w:left="720" w:hanging="720"/>
        <w:rPr>
          <w:iCs/>
        </w:rPr>
      </w:pPr>
      <w:r>
        <w:rPr>
          <w:rStyle w:val="FootnoteReference"/>
        </w:rPr>
        <w:footnoteRef/>
      </w:r>
      <w:r>
        <w:t xml:space="preserve"> </w:t>
      </w:r>
      <w:r w:rsidRPr="003C5021">
        <w:rPr>
          <w:i/>
        </w:rPr>
        <w:t>Id.</w:t>
      </w:r>
      <w:r>
        <w:rPr>
          <w:i/>
        </w:rPr>
        <w:t xml:space="preserve"> </w:t>
      </w:r>
      <w:r>
        <w:rPr>
          <w:iCs/>
        </w:rPr>
        <w:t>at 1-4.</w:t>
      </w:r>
    </w:p>
  </w:footnote>
  <w:footnote w:id="17">
    <w:p w:rsidR="00BC385E" w:rsidRPr="003C5021" w:rsidP="00BC385E" w14:paraId="29482A02" w14:textId="77777777">
      <w:pPr>
        <w:pStyle w:val="FootnoteText"/>
      </w:pPr>
      <w:r w:rsidRPr="003C5021">
        <w:rPr>
          <w:rStyle w:val="FootnoteReference"/>
        </w:rPr>
        <w:footnoteRef/>
      </w:r>
      <w:r w:rsidRPr="003C5021">
        <w:t xml:space="preserve"> </w:t>
      </w:r>
      <w:r w:rsidRPr="00EC612A">
        <w:t>SHLB</w:t>
      </w:r>
      <w:r w:rsidRPr="00EC612A">
        <w:t xml:space="preserve"> Request for Waiver</w:t>
      </w:r>
      <w:r>
        <w:t xml:space="preserve"> at 1-3.</w:t>
      </w:r>
    </w:p>
  </w:footnote>
  <w:footnote w:id="18">
    <w:p w:rsidR="00BC385E" w:rsidRPr="003C5021" w:rsidP="00BC385E" w14:paraId="508066FE" w14:textId="77777777">
      <w:pPr>
        <w:pStyle w:val="FootnoteText"/>
      </w:pPr>
      <w:r w:rsidRPr="003C5021">
        <w:rPr>
          <w:rStyle w:val="FootnoteReference"/>
        </w:rPr>
        <w:footnoteRef/>
      </w:r>
      <w:r w:rsidRPr="003C5021">
        <w:t xml:space="preserve"> 47 CFR § 54.621(a)(1).</w:t>
      </w:r>
    </w:p>
  </w:footnote>
  <w:footnote w:id="19">
    <w:p w:rsidR="00BC385E" w:rsidP="00BC385E" w14:paraId="68FBF710" w14:textId="77777777">
      <w:pPr>
        <w:pStyle w:val="FootnoteText"/>
      </w:pPr>
      <w:r>
        <w:rPr>
          <w:rStyle w:val="FootnoteReference"/>
        </w:rPr>
        <w:footnoteRef/>
      </w:r>
      <w:r>
        <w:t xml:space="preserve"> 47 CFR § 1.3.</w:t>
      </w:r>
    </w:p>
  </w:footnote>
  <w:footnote w:id="20">
    <w:p w:rsidR="00BC385E" w:rsidRPr="009F19D8" w:rsidP="00BC385E" w14:paraId="25420405" w14:textId="77777777">
      <w:pPr>
        <w:pStyle w:val="FootnoteText"/>
      </w:pPr>
      <w:r>
        <w:rPr>
          <w:rStyle w:val="FootnoteReference"/>
        </w:rPr>
        <w:footnoteRef/>
      </w:r>
      <w:r>
        <w:t xml:space="preserve"> </w:t>
      </w:r>
      <w:r>
        <w:rPr>
          <w:i/>
          <w:iCs/>
        </w:rPr>
        <w:t>Northeast Cellular Tel. Co.</w:t>
      </w:r>
      <w:r>
        <w:t xml:space="preserve"> </w:t>
      </w:r>
      <w:r>
        <w:rPr>
          <w:i/>
          <w:iCs/>
        </w:rPr>
        <w:t>v. FCC</w:t>
      </w:r>
      <w:r>
        <w:t>, 897 F.2d 1164, 1166 (D.C. Cir. 1990) (</w:t>
      </w:r>
      <w:r>
        <w:rPr>
          <w:i/>
          <w:iCs/>
        </w:rPr>
        <w:t>Northeast Cellular</w:t>
      </w:r>
      <w:r>
        <w:t>).</w:t>
      </w:r>
    </w:p>
  </w:footnote>
  <w:footnote w:id="21">
    <w:p w:rsidR="00BC385E" w:rsidRPr="009F19D8" w:rsidP="00BC385E" w14:paraId="70A0FA2C" w14:textId="77777777">
      <w:pPr>
        <w:pStyle w:val="FootnoteText"/>
      </w:pPr>
      <w:r>
        <w:rPr>
          <w:rStyle w:val="FootnoteReference"/>
        </w:rPr>
        <w:footnoteRef/>
      </w:r>
      <w:r>
        <w:t xml:space="preserve"> </w:t>
      </w:r>
      <w:r>
        <w:rPr>
          <w:i/>
          <w:iCs/>
        </w:rPr>
        <w:t>WAIT Radio v. FCC</w:t>
      </w:r>
      <w:r>
        <w:t xml:space="preserve">, 418 F.2d 1153, 1159 (D.C. Cir. 1969); </w:t>
      </w:r>
      <w:r>
        <w:rPr>
          <w:i/>
          <w:iCs/>
        </w:rPr>
        <w:t>Northeast Cellular</w:t>
      </w:r>
      <w:r>
        <w:t>, 897 F.2d at 1166.</w:t>
      </w:r>
    </w:p>
  </w:footnote>
  <w:footnote w:id="22">
    <w:p w:rsidR="00BC385E" w:rsidRPr="00D02E7B" w:rsidP="00BC385E" w14:paraId="6AAA5953" w14:textId="77777777">
      <w:pPr>
        <w:pStyle w:val="FootnoteText"/>
      </w:pPr>
      <w:r>
        <w:rPr>
          <w:rStyle w:val="FootnoteReference"/>
        </w:rPr>
        <w:footnoteRef/>
      </w:r>
      <w:r>
        <w:t xml:space="preserve"> </w:t>
      </w:r>
      <w:r>
        <w:rPr>
          <w:i/>
          <w:iCs/>
        </w:rPr>
        <w:t>Northeast Cellular</w:t>
      </w:r>
      <w:r>
        <w:t>, 897 F.2d at 1166.</w:t>
      </w:r>
    </w:p>
  </w:footnote>
  <w:footnote w:id="23">
    <w:p w:rsidR="00BC385E" w:rsidRPr="00EC612A" w:rsidP="00BC385E" w14:paraId="2431C25C" w14:textId="77777777">
      <w:pPr>
        <w:pStyle w:val="FootnoteText"/>
        <w:rPr>
          <w:i/>
          <w:iCs/>
        </w:rPr>
      </w:pPr>
      <w:r>
        <w:rPr>
          <w:rStyle w:val="FootnoteReference"/>
        </w:rPr>
        <w:footnoteRef/>
      </w:r>
      <w:r>
        <w:t xml:space="preserve"> </w:t>
      </w:r>
      <w:r w:rsidRPr="00EC612A">
        <w:t>NETC</w:t>
      </w:r>
      <w:r w:rsidRPr="00EC612A">
        <w:t xml:space="preserve"> and CTC Request for Waiver</w:t>
      </w:r>
      <w:r>
        <w:rPr>
          <w:i/>
          <w:iCs/>
        </w:rPr>
        <w:t xml:space="preserve"> </w:t>
      </w:r>
      <w:r>
        <w:t xml:space="preserve">at 4; </w:t>
      </w:r>
      <w:r w:rsidRPr="00EC612A">
        <w:t>SHLB</w:t>
      </w:r>
      <w:r w:rsidRPr="00EC612A">
        <w:t xml:space="preserve"> Request for Waiver</w:t>
      </w:r>
      <w:r>
        <w:t xml:space="preserve"> at 3, n.4.  </w:t>
      </w:r>
    </w:p>
  </w:footnote>
  <w:footnote w:id="24">
    <w:p w:rsidR="00BC385E" w:rsidRPr="00273120" w:rsidP="00BC385E" w14:paraId="23FA0AE8" w14:textId="77777777">
      <w:pPr>
        <w:pStyle w:val="FootnoteText"/>
      </w:pPr>
      <w:r>
        <w:rPr>
          <w:rStyle w:val="FootnoteReference"/>
        </w:rPr>
        <w:footnoteRef/>
      </w:r>
      <w:r>
        <w:t xml:space="preserve"> </w:t>
      </w:r>
      <w:r>
        <w:rPr>
          <w:i/>
          <w:iCs/>
        </w:rPr>
        <w:t xml:space="preserve">See </w:t>
      </w:r>
      <w:r>
        <w:t xml:space="preserve">Executive Office of the President, Office of Management and Budget, Statement of Administration Policy (Jan. 30, 2023), </w:t>
      </w:r>
      <w:hyperlink r:id="rId2" w:history="1">
        <w:r w:rsidRPr="00CF4A15">
          <w:rPr>
            <w:rStyle w:val="Hyperlink"/>
          </w:rPr>
          <w:t>https://www.whitehouse.gov/wp-content/uploads/2023/01/SAP-H.R.-382-H.J.-Res.-7.pdf</w:t>
        </w:r>
      </w:hyperlink>
      <w:r>
        <w:t xml:space="preserve">.  </w:t>
      </w:r>
      <w:r>
        <w:rPr>
          <w:i/>
          <w:iCs/>
        </w:rPr>
        <w:t xml:space="preserve">See also </w:t>
      </w:r>
      <w:r>
        <w:t>NETC</w:t>
      </w:r>
      <w:r>
        <w:t xml:space="preserve"> and CTC Request for Waiver at 5; </w:t>
      </w:r>
      <w:r>
        <w:t>SHLB</w:t>
      </w:r>
      <w:r>
        <w:t xml:space="preserve"> Request for Waiver at 3, n.4.   </w:t>
      </w:r>
    </w:p>
  </w:footnote>
  <w:footnote w:id="25">
    <w:p w:rsidR="00BC385E" w:rsidP="00BC385E" w14:paraId="4A8124B2" w14:textId="77777777">
      <w:pPr>
        <w:pStyle w:val="FootnoteText"/>
      </w:pPr>
      <w:r>
        <w:rPr>
          <w:rStyle w:val="FootnoteReference"/>
        </w:rPr>
        <w:footnoteRef/>
      </w:r>
      <w:r>
        <w:t xml:space="preserve"> </w:t>
      </w:r>
      <w:r>
        <w:t>NETC</w:t>
      </w:r>
      <w:r>
        <w:t xml:space="preserve"> and CTC Request for Waiver at 1-4; </w:t>
      </w:r>
      <w:r>
        <w:t>SHLB</w:t>
      </w:r>
      <w:r>
        <w:t xml:space="preserve"> Request for Waiver at 1-3.</w:t>
      </w:r>
    </w:p>
  </w:footnote>
  <w:footnote w:id="26">
    <w:p w:rsidR="00BC385E" w:rsidRPr="00F7160F" w:rsidP="00BC385E" w14:paraId="5769A644" w14:textId="77777777">
      <w:pPr>
        <w:pStyle w:val="FootnoteText"/>
      </w:pPr>
      <w:r>
        <w:rPr>
          <w:rStyle w:val="FootnoteReference"/>
        </w:rPr>
        <w:footnoteRef/>
      </w:r>
      <w:r>
        <w:t xml:space="preserve"> </w:t>
      </w:r>
      <w:r>
        <w:rPr>
          <w:i/>
          <w:iCs/>
        </w:rPr>
        <w:t>See Northeast Cellular</w:t>
      </w:r>
      <w:r>
        <w:t>, 897 F.2d at 1166.</w:t>
      </w:r>
    </w:p>
  </w:footnote>
  <w:footnote w:id="27">
    <w:p w:rsidR="00BC385E" w:rsidP="00BC385E" w14:paraId="0B1C643C" w14:textId="77777777">
      <w:pPr>
        <w:pStyle w:val="FootnoteText"/>
      </w:pPr>
      <w:r>
        <w:rPr>
          <w:rStyle w:val="FootnoteReference"/>
        </w:rPr>
        <w:footnoteRef/>
      </w:r>
      <w:r>
        <w:t xml:space="preserve"> </w:t>
      </w:r>
      <w:r>
        <w:rPr>
          <w:i/>
          <w:iCs/>
        </w:rPr>
        <w:t xml:space="preserve">See </w:t>
      </w:r>
      <w:r>
        <w:t>NETC</w:t>
      </w:r>
      <w:r>
        <w:t xml:space="preserve"> and CTC Request for Waiver at 2; </w:t>
      </w:r>
      <w:r>
        <w:t>SHLB</w:t>
      </w:r>
      <w:r>
        <w:t xml:space="preserve"> Request for Waiver at 2.</w:t>
      </w:r>
    </w:p>
  </w:footnote>
  <w:footnote w:id="28">
    <w:p w:rsidR="00BC385E" w:rsidP="00BC385E" w14:paraId="5B3E09FE" w14:textId="77777777">
      <w:pPr>
        <w:pStyle w:val="FootnoteText"/>
      </w:pPr>
      <w:r>
        <w:rPr>
          <w:rStyle w:val="FootnoteReference"/>
        </w:rPr>
        <w:footnoteRef/>
      </w:r>
      <w:r>
        <w:t xml:space="preserve"> It is our understanding that any implementation issues associated with </w:t>
      </w:r>
      <w:r>
        <w:t>MyPortal</w:t>
      </w:r>
      <w:r>
        <w:t xml:space="preserve"> have been limited in scope and duration and should not present a material reason for a delay in an applicant’s ability to submit an application.</w:t>
      </w:r>
    </w:p>
  </w:footnote>
  <w:footnote w:id="29">
    <w:p w:rsidR="00BC385E" w:rsidRPr="003C5021" w:rsidP="00BC385E" w14:paraId="761237F3" w14:textId="77777777">
      <w:pPr>
        <w:pStyle w:val="FootnoteText"/>
      </w:pPr>
      <w:r w:rsidRPr="003C5021">
        <w:rPr>
          <w:rStyle w:val="FootnoteReference"/>
        </w:rPr>
        <w:footnoteRef/>
      </w:r>
      <w:r w:rsidRPr="003C5021">
        <w:t xml:space="preserve"> </w:t>
      </w:r>
      <w:r w:rsidRPr="003C5021">
        <w:rPr>
          <w:i/>
          <w:iCs/>
        </w:rPr>
        <w:t>Promoting Telehealth Report and Order</w:t>
      </w:r>
      <w:r w:rsidRPr="003C5021">
        <w:t xml:space="preserve">, 34 FCC </w:t>
      </w:r>
      <w:r w:rsidRPr="003C5021">
        <w:t>Rcd</w:t>
      </w:r>
      <w:r w:rsidRPr="003C5021">
        <w:t xml:space="preserve"> at 7416, para. 176 &amp; n.532 (requiring that USAC provide a “gross demand estimate 30 days prior to the start of the pertinent funding year.”).</w:t>
      </w:r>
    </w:p>
  </w:footnote>
  <w:footnote w:id="30">
    <w:p w:rsidR="00BC385E" w:rsidRPr="003C5021" w:rsidP="00BC385E" w14:paraId="33F96DF3" w14:textId="77777777">
      <w:pPr>
        <w:pStyle w:val="FootnoteText"/>
      </w:pPr>
      <w:r w:rsidRPr="003C5021">
        <w:rPr>
          <w:rStyle w:val="FootnoteReference"/>
        </w:rPr>
        <w:footnoteRef/>
      </w:r>
      <w:r w:rsidRPr="003C5021">
        <w:t xml:space="preserve"> Thirty days prior to the start of the funding year is June 1. </w:t>
      </w:r>
      <w:r>
        <w:t xml:space="preserve"> </w:t>
      </w:r>
      <w:r w:rsidRPr="003C5021">
        <w:rPr>
          <w:i/>
          <w:iCs/>
        </w:rPr>
        <w:t>See</w:t>
      </w:r>
      <w:r w:rsidRPr="003C5021">
        <w:t xml:space="preserve"> 47 CFR §</w:t>
      </w:r>
      <w:r>
        <w:t xml:space="preserve"> </w:t>
      </w:r>
      <w:r w:rsidRPr="003C5021">
        <w:t xml:space="preserve">54.600(a).  If the application filing window closed on April </w:t>
      </w:r>
      <w:r>
        <w:t>3</w:t>
      </w:r>
      <w:r w:rsidRPr="003C5021">
        <w:t xml:space="preserve">, USAC would have </w:t>
      </w:r>
      <w:r>
        <w:t xml:space="preserve">about </w:t>
      </w:r>
      <w:r w:rsidRPr="003C5021">
        <w:t xml:space="preserve">two months to provide a gross demand estimate. </w:t>
      </w:r>
    </w:p>
  </w:footnote>
  <w:footnote w:id="31">
    <w:p w:rsidR="00BC385E" w:rsidRPr="003C5021" w:rsidP="00BC385E" w14:paraId="02FBC2BF" w14:textId="77777777">
      <w:pPr>
        <w:pStyle w:val="FootnoteText"/>
      </w:pPr>
      <w:r w:rsidRPr="003C5021">
        <w:rPr>
          <w:rStyle w:val="FootnoteReference"/>
        </w:rPr>
        <w:footnoteRef/>
      </w:r>
      <w:r w:rsidRPr="003C5021">
        <w:t xml:space="preserve"> </w:t>
      </w:r>
      <w:r w:rsidRPr="003C5021">
        <w:rPr>
          <w:i/>
          <w:iCs/>
        </w:rPr>
        <w:t>See</w:t>
      </w:r>
      <w:r w:rsidRPr="003C5021">
        <w:t xml:space="preserve"> 47 CFR § 54.619(a)(5).  </w:t>
      </w:r>
    </w:p>
  </w:footnote>
  <w:footnote w:id="32">
    <w:p w:rsidR="00BC385E" w:rsidP="00BC385E" w14:paraId="0F6AC719" w14:textId="77777777">
      <w:pPr>
        <w:pStyle w:val="FootnoteText"/>
      </w:pPr>
      <w:r>
        <w:rPr>
          <w:rStyle w:val="FootnoteReference"/>
        </w:rPr>
        <w:footnoteRef/>
      </w:r>
      <w:r>
        <w:t xml:space="preserve"> </w:t>
      </w:r>
      <w:r>
        <w:rPr>
          <w:szCs w:val="22"/>
        </w:rPr>
        <w:t>When</w:t>
      </w:r>
      <w:r w:rsidRPr="008C6F79">
        <w:rPr>
          <w:szCs w:val="22"/>
        </w:rPr>
        <w:t xml:space="preserve"> </w:t>
      </w:r>
      <w:r>
        <w:rPr>
          <w:szCs w:val="22"/>
        </w:rPr>
        <w:t xml:space="preserve">the </w:t>
      </w:r>
      <w:r w:rsidRPr="008C6F79">
        <w:rPr>
          <w:szCs w:val="22"/>
        </w:rPr>
        <w:t xml:space="preserve">Commission </w:t>
      </w:r>
      <w:r>
        <w:rPr>
          <w:szCs w:val="22"/>
        </w:rPr>
        <w:t xml:space="preserve">adopted section 54.619(a)(5), it </w:t>
      </w:r>
      <w:r w:rsidRPr="008C6F79">
        <w:rPr>
          <w:szCs w:val="22"/>
        </w:rPr>
        <w:t>also directed the</w:t>
      </w:r>
      <w:r>
        <w:rPr>
          <w:szCs w:val="22"/>
        </w:rPr>
        <w:t xml:space="preserve"> </w:t>
      </w:r>
      <w:r w:rsidRPr="008C6F79">
        <w:rPr>
          <w:szCs w:val="22"/>
        </w:rPr>
        <w:t>Bureau to announce a specific amount of unused funds from prior funding years to be carried forward to increase available funding for future funding years</w:t>
      </w:r>
      <w:r>
        <w:rPr>
          <w:szCs w:val="22"/>
        </w:rPr>
        <w:t xml:space="preserve"> in the second quarter. </w:t>
      </w:r>
      <w:r w:rsidRPr="001D130D">
        <w:rPr>
          <w:i/>
          <w:iCs/>
          <w:spacing w:val="-2"/>
          <w:lang w:val="sv-SE"/>
        </w:rPr>
        <w:t>See</w:t>
      </w:r>
      <w:r>
        <w:rPr>
          <w:spacing w:val="-2"/>
          <w:lang w:val="sv-SE"/>
        </w:rPr>
        <w:t xml:space="preserve"> </w:t>
      </w:r>
      <w:r w:rsidRPr="00972D4A">
        <w:rPr>
          <w:i/>
          <w:spacing w:val="-2"/>
          <w:lang w:val="sv-SE"/>
        </w:rPr>
        <w:t>Promoting Telehealth in Rural America</w:t>
      </w:r>
      <w:r w:rsidRPr="00972D4A">
        <w:rPr>
          <w:spacing w:val="-2"/>
          <w:lang w:val="sv-SE"/>
        </w:rPr>
        <w:t xml:space="preserve">, WC Docket No. 17-310, </w:t>
      </w:r>
      <w:r w:rsidRPr="00972D4A">
        <w:t>Report and Order</w:t>
      </w:r>
      <w:r w:rsidRPr="00972D4A">
        <w:rPr>
          <w:spacing w:val="-2"/>
          <w:lang w:val="sv-SE"/>
        </w:rPr>
        <w:t>, 33 FCC Rcd 6574</w:t>
      </w:r>
      <w:r>
        <w:rPr>
          <w:spacing w:val="-2"/>
          <w:lang w:val="sv-SE"/>
        </w:rPr>
        <w:t xml:space="preserve">, </w:t>
      </w:r>
      <w:r w:rsidRPr="00972D4A">
        <w:rPr>
          <w:spacing w:val="-2"/>
          <w:lang w:val="sv-SE"/>
        </w:rPr>
        <w:t>6584-85, para. 27 (2018) (</w:t>
      </w:r>
      <w:r w:rsidRPr="00972D4A">
        <w:t>“</w:t>
      </w:r>
      <w:r w:rsidRPr="00972D4A">
        <w:rPr>
          <w:spacing w:val="-2"/>
          <w:lang w:val="sv-SE"/>
        </w:rPr>
        <w:t>The Bureau will announce the availability and amount of carryover funds during the second quarter of the calendar year.”)</w:t>
      </w:r>
      <w:r>
        <w:rPr>
          <w:spacing w:val="-2"/>
          <w:lang w:val="sv-SE"/>
        </w:rPr>
        <w:t>.  W</w:t>
      </w:r>
      <w:r>
        <w:rPr>
          <w:szCs w:val="22"/>
        </w:rPr>
        <w:t xml:space="preserve">e require the announcement of the </w:t>
      </w:r>
      <w:bookmarkStart w:id="6" w:name="_Hlk97187885"/>
      <w:r>
        <w:rPr>
          <w:szCs w:val="22"/>
        </w:rPr>
        <w:t xml:space="preserve">availability </w:t>
      </w:r>
      <w:r w:rsidRPr="00972D4A">
        <w:rPr>
          <w:spacing w:val="-2"/>
          <w:lang w:val="sv-SE"/>
        </w:rPr>
        <w:t xml:space="preserve">and amount of carryover funds </w:t>
      </w:r>
      <w:r>
        <w:rPr>
          <w:szCs w:val="22"/>
        </w:rPr>
        <w:t>to be made in the third quarter of 202</w:t>
      </w:r>
      <w:bookmarkEnd w:id="6"/>
      <w:r>
        <w:rPr>
          <w:szCs w:val="22"/>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B2EBD4" w14:textId="6BF71AB6">
    <w:pPr>
      <w:pStyle w:val="Header"/>
      <w:rPr>
        <w:b w:val="0"/>
      </w:rPr>
    </w:pPr>
    <w:r>
      <w:tab/>
      <w:t>Federal Communications Commission</w:t>
    </w:r>
    <w:r>
      <w:tab/>
    </w:r>
    <w:r w:rsidR="00BC385E">
      <w:t>DA 23-189</w:t>
    </w:r>
  </w:p>
  <w:p w:rsidR="00D25FB5" w14:paraId="0F0E2D3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DE93A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E0D6A5" w14:textId="019FB4F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C385E">
      <w:rPr>
        <w:spacing w:val="-2"/>
      </w:rPr>
      <w:t>DA 23-189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5E"/>
    <w:rsid w:val="00036039"/>
    <w:rsid w:val="00037F90"/>
    <w:rsid w:val="000875BF"/>
    <w:rsid w:val="00096D8C"/>
    <w:rsid w:val="000A1A4F"/>
    <w:rsid w:val="000C0B65"/>
    <w:rsid w:val="000E05FE"/>
    <w:rsid w:val="000E3D42"/>
    <w:rsid w:val="00122BD5"/>
    <w:rsid w:val="00133F79"/>
    <w:rsid w:val="00146103"/>
    <w:rsid w:val="0017296B"/>
    <w:rsid w:val="00194A66"/>
    <w:rsid w:val="001D130D"/>
    <w:rsid w:val="001D6BCF"/>
    <w:rsid w:val="001E01CA"/>
    <w:rsid w:val="00273120"/>
    <w:rsid w:val="00275CF5"/>
    <w:rsid w:val="0028301F"/>
    <w:rsid w:val="00285017"/>
    <w:rsid w:val="002A2D2E"/>
    <w:rsid w:val="002C00E8"/>
    <w:rsid w:val="002C4E45"/>
    <w:rsid w:val="00343749"/>
    <w:rsid w:val="003660ED"/>
    <w:rsid w:val="003B0550"/>
    <w:rsid w:val="003B694F"/>
    <w:rsid w:val="003C5021"/>
    <w:rsid w:val="003F171C"/>
    <w:rsid w:val="00412FC5"/>
    <w:rsid w:val="00422276"/>
    <w:rsid w:val="004242F1"/>
    <w:rsid w:val="00442F94"/>
    <w:rsid w:val="00445A00"/>
    <w:rsid w:val="00451B0F"/>
    <w:rsid w:val="004C2EE3"/>
    <w:rsid w:val="004E4A22"/>
    <w:rsid w:val="00511968"/>
    <w:rsid w:val="0055614C"/>
    <w:rsid w:val="00566D06"/>
    <w:rsid w:val="005E14C2"/>
    <w:rsid w:val="00607BA5"/>
    <w:rsid w:val="0061180A"/>
    <w:rsid w:val="00626EB6"/>
    <w:rsid w:val="00655D03"/>
    <w:rsid w:val="00676AD4"/>
    <w:rsid w:val="00683388"/>
    <w:rsid w:val="00683F84"/>
    <w:rsid w:val="006A6A81"/>
    <w:rsid w:val="006F7393"/>
    <w:rsid w:val="0070224F"/>
    <w:rsid w:val="007115F7"/>
    <w:rsid w:val="00785689"/>
    <w:rsid w:val="0079754B"/>
    <w:rsid w:val="007A1E6D"/>
    <w:rsid w:val="007B0EB2"/>
    <w:rsid w:val="00810B6F"/>
    <w:rsid w:val="00822CE0"/>
    <w:rsid w:val="00837655"/>
    <w:rsid w:val="00841AB1"/>
    <w:rsid w:val="008C68F1"/>
    <w:rsid w:val="008C6F79"/>
    <w:rsid w:val="00921803"/>
    <w:rsid w:val="00926503"/>
    <w:rsid w:val="009726D8"/>
    <w:rsid w:val="00972D4A"/>
    <w:rsid w:val="009D7308"/>
    <w:rsid w:val="009F19D8"/>
    <w:rsid w:val="009F76DB"/>
    <w:rsid w:val="00A32C3B"/>
    <w:rsid w:val="00A45F4F"/>
    <w:rsid w:val="00A600A9"/>
    <w:rsid w:val="00AA55B7"/>
    <w:rsid w:val="00AA5B9E"/>
    <w:rsid w:val="00AB2407"/>
    <w:rsid w:val="00AB53DF"/>
    <w:rsid w:val="00AC1166"/>
    <w:rsid w:val="00AD2BD7"/>
    <w:rsid w:val="00AF1297"/>
    <w:rsid w:val="00B07E5C"/>
    <w:rsid w:val="00B811F7"/>
    <w:rsid w:val="00BA5DC6"/>
    <w:rsid w:val="00BA6196"/>
    <w:rsid w:val="00BC385E"/>
    <w:rsid w:val="00BC6D8C"/>
    <w:rsid w:val="00C34006"/>
    <w:rsid w:val="00C36B4C"/>
    <w:rsid w:val="00C426B1"/>
    <w:rsid w:val="00C46157"/>
    <w:rsid w:val="00C66160"/>
    <w:rsid w:val="00C7204B"/>
    <w:rsid w:val="00C721AC"/>
    <w:rsid w:val="00C90D6A"/>
    <w:rsid w:val="00CA247E"/>
    <w:rsid w:val="00CA6D21"/>
    <w:rsid w:val="00CC27F1"/>
    <w:rsid w:val="00CC72B6"/>
    <w:rsid w:val="00CF4A15"/>
    <w:rsid w:val="00D0218D"/>
    <w:rsid w:val="00D02E7B"/>
    <w:rsid w:val="00D25FB5"/>
    <w:rsid w:val="00D44223"/>
    <w:rsid w:val="00DA2529"/>
    <w:rsid w:val="00DB130A"/>
    <w:rsid w:val="00DB2EBB"/>
    <w:rsid w:val="00DC10A1"/>
    <w:rsid w:val="00DC655F"/>
    <w:rsid w:val="00DD0B59"/>
    <w:rsid w:val="00DD7EBD"/>
    <w:rsid w:val="00DF62B6"/>
    <w:rsid w:val="00DF7A9A"/>
    <w:rsid w:val="00E07225"/>
    <w:rsid w:val="00E5409F"/>
    <w:rsid w:val="00EC612A"/>
    <w:rsid w:val="00EE6488"/>
    <w:rsid w:val="00F021FA"/>
    <w:rsid w:val="00F067E2"/>
    <w:rsid w:val="00F62E97"/>
    <w:rsid w:val="00F64209"/>
    <w:rsid w:val="00F7160F"/>
    <w:rsid w:val="00F93BF5"/>
    <w:rsid w:val="00FC5E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14E549"/>
  <w15:chartTrackingRefBased/>
  <w15:docId w15:val="{F891F900-B93B-4B3E-BB42-6BC8738E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BC385E"/>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BC385E"/>
  </w:style>
  <w:style w:type="character" w:customStyle="1" w:styleId="StyleNumberedparagraphs11ptChar">
    <w:name w:val="Style Numbered paragraphs + 11 pt Char"/>
    <w:rsid w:val="00BC385E"/>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wp-content/uploads/rural-health-care/documents/monthly-newsletter/2022-newsletters/RHC-Newsletter-August-2022.pdf" TargetMode="External" /><Relationship Id="rId2" Type="http://schemas.openxmlformats.org/officeDocument/2006/relationships/hyperlink" Target="https://www.whitehouse.gov/wp-content/uploads/2023/01/SAP-H.R.-382-H.J.-Res.-7.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