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E41F8" w:rsidP="00CE41F8" w14:paraId="4B3C0896" w14:textId="77777777">
      <w:pPr>
        <w:jc w:val="center"/>
        <w:rPr>
          <w:b/>
        </w:rPr>
      </w:pPr>
      <w:r w:rsidRPr="0070224F">
        <w:rPr>
          <w:rFonts w:ascii="Times New Roman Bold" w:hAnsi="Times New Roman Bold"/>
          <w:b/>
          <w:kern w:val="0"/>
          <w:szCs w:val="22"/>
        </w:rPr>
        <w:t>Before</w:t>
      </w:r>
      <w:r>
        <w:rPr>
          <w:b/>
        </w:rPr>
        <w:t xml:space="preserve"> the</w:t>
      </w:r>
    </w:p>
    <w:p w:rsidR="00CE41F8" w:rsidP="00CE41F8" w14:paraId="59224E3D" w14:textId="77777777">
      <w:pPr>
        <w:pStyle w:val="StyleBoldCentered"/>
      </w:pPr>
      <w:r>
        <w:t>F</w:t>
      </w:r>
      <w:r>
        <w:rPr>
          <w:caps w:val="0"/>
        </w:rPr>
        <w:t>ederal Communications Commission</w:t>
      </w:r>
    </w:p>
    <w:p w:rsidR="00CE41F8" w:rsidP="00CE41F8" w14:paraId="14205BA5" w14:textId="77777777">
      <w:pPr>
        <w:pStyle w:val="StyleBoldCentered"/>
      </w:pPr>
      <w:r>
        <w:rPr>
          <w:caps w:val="0"/>
        </w:rPr>
        <w:t>Washington, D.C. 20554</w:t>
      </w:r>
    </w:p>
    <w:p w:rsidR="00CE41F8" w:rsidP="00CE41F8" w14:paraId="3868887B" w14:textId="77777777"/>
    <w:p w:rsidR="00CE41F8" w:rsidP="00CE41F8" w14:paraId="1D48B1B9" w14:textId="77777777"/>
    <w:tbl>
      <w:tblPr>
        <w:tblW w:w="0" w:type="auto"/>
        <w:tblLayout w:type="fixed"/>
        <w:tblLook w:val="0000"/>
      </w:tblPr>
      <w:tblGrid>
        <w:gridCol w:w="4698"/>
        <w:gridCol w:w="630"/>
        <w:gridCol w:w="4248"/>
      </w:tblGrid>
      <w:tr w14:paraId="7CCAEEB8" w14:textId="77777777" w:rsidTr="002A4E12">
        <w:tblPrEx>
          <w:tblW w:w="0" w:type="auto"/>
          <w:tblLayout w:type="fixed"/>
          <w:tblLook w:val="0000"/>
        </w:tblPrEx>
        <w:tc>
          <w:tcPr>
            <w:tcW w:w="4698" w:type="dxa"/>
          </w:tcPr>
          <w:p w:rsidR="00CE41F8" w:rsidP="002A4E12" w14:paraId="08D6D449" w14:textId="77777777">
            <w:pPr>
              <w:tabs>
                <w:tab w:val="center" w:pos="4680"/>
              </w:tabs>
              <w:suppressAutoHyphens/>
              <w:rPr>
                <w:spacing w:val="-2"/>
              </w:rPr>
            </w:pPr>
            <w:r>
              <w:rPr>
                <w:spacing w:val="-2"/>
              </w:rPr>
              <w:t>In the Matter of</w:t>
            </w:r>
          </w:p>
          <w:p w:rsidR="00CE41F8" w:rsidP="002A4E12" w14:paraId="349AB256" w14:textId="77777777">
            <w:pPr>
              <w:tabs>
                <w:tab w:val="center" w:pos="4680"/>
              </w:tabs>
              <w:suppressAutoHyphens/>
              <w:rPr>
                <w:spacing w:val="-2"/>
              </w:rPr>
            </w:pPr>
          </w:p>
          <w:p w:rsidR="00CE41F8" w:rsidRPr="007115F7" w:rsidP="002A4E12" w14:paraId="2DB86177" w14:textId="77777777">
            <w:pPr>
              <w:tabs>
                <w:tab w:val="center" w:pos="4680"/>
              </w:tabs>
              <w:suppressAutoHyphens/>
              <w:rPr>
                <w:spacing w:val="-2"/>
              </w:rPr>
            </w:pPr>
            <w:r w:rsidRPr="00E869BB">
              <w:rPr>
                <w:spacing w:val="-2"/>
              </w:rPr>
              <w:t>Protecting Against National Security Threats to the Communications Supply Chain Through FCC Programs</w:t>
            </w:r>
          </w:p>
        </w:tc>
        <w:tc>
          <w:tcPr>
            <w:tcW w:w="630" w:type="dxa"/>
          </w:tcPr>
          <w:p w:rsidR="00CE41F8" w:rsidP="002A4E12" w14:paraId="157FCC01" w14:textId="77777777">
            <w:pPr>
              <w:tabs>
                <w:tab w:val="center" w:pos="4680"/>
              </w:tabs>
              <w:suppressAutoHyphens/>
              <w:rPr>
                <w:b/>
                <w:spacing w:val="-2"/>
              </w:rPr>
            </w:pPr>
            <w:r>
              <w:rPr>
                <w:b/>
                <w:spacing w:val="-2"/>
              </w:rPr>
              <w:t>)</w:t>
            </w:r>
          </w:p>
          <w:p w:rsidR="00CE41F8" w:rsidP="002A4E12" w14:paraId="62C1F790" w14:textId="77777777">
            <w:pPr>
              <w:tabs>
                <w:tab w:val="center" w:pos="4680"/>
              </w:tabs>
              <w:suppressAutoHyphens/>
              <w:rPr>
                <w:b/>
                <w:spacing w:val="-2"/>
              </w:rPr>
            </w:pPr>
            <w:r>
              <w:rPr>
                <w:b/>
                <w:spacing w:val="-2"/>
              </w:rPr>
              <w:t>)</w:t>
            </w:r>
          </w:p>
          <w:p w:rsidR="00CE41F8" w:rsidP="002A4E12" w14:paraId="464327CE" w14:textId="77777777">
            <w:pPr>
              <w:tabs>
                <w:tab w:val="center" w:pos="4680"/>
              </w:tabs>
              <w:suppressAutoHyphens/>
              <w:rPr>
                <w:b/>
                <w:spacing w:val="-2"/>
              </w:rPr>
            </w:pPr>
            <w:r>
              <w:rPr>
                <w:b/>
                <w:spacing w:val="-2"/>
              </w:rPr>
              <w:t>)</w:t>
            </w:r>
          </w:p>
          <w:p w:rsidR="00CE41F8" w:rsidP="002A4E12" w14:paraId="195AD12C" w14:textId="77777777">
            <w:pPr>
              <w:tabs>
                <w:tab w:val="center" w:pos="4680"/>
              </w:tabs>
              <w:suppressAutoHyphens/>
              <w:rPr>
                <w:b/>
                <w:spacing w:val="-2"/>
              </w:rPr>
            </w:pPr>
            <w:r>
              <w:rPr>
                <w:b/>
                <w:spacing w:val="-2"/>
              </w:rPr>
              <w:t>)</w:t>
            </w:r>
          </w:p>
          <w:p w:rsidR="00CE41F8" w:rsidP="002A4E12" w14:paraId="4C173576" w14:textId="77777777">
            <w:pPr>
              <w:tabs>
                <w:tab w:val="center" w:pos="4680"/>
              </w:tabs>
              <w:suppressAutoHyphens/>
              <w:rPr>
                <w:b/>
                <w:spacing w:val="-2"/>
              </w:rPr>
            </w:pPr>
            <w:r>
              <w:rPr>
                <w:b/>
                <w:spacing w:val="-2"/>
              </w:rPr>
              <w:t>)</w:t>
            </w:r>
          </w:p>
          <w:p w:rsidR="00CE41F8" w:rsidP="002A4E12" w14:paraId="316ADDB7" w14:textId="77777777">
            <w:pPr>
              <w:tabs>
                <w:tab w:val="center" w:pos="4680"/>
              </w:tabs>
              <w:suppressAutoHyphens/>
              <w:rPr>
                <w:b/>
                <w:spacing w:val="-2"/>
              </w:rPr>
            </w:pPr>
            <w:r>
              <w:rPr>
                <w:b/>
                <w:spacing w:val="-2"/>
              </w:rPr>
              <w:t>)</w:t>
            </w:r>
          </w:p>
          <w:p w:rsidR="00CE41F8" w:rsidP="002A4E12" w14:paraId="6BC873E5" w14:textId="77777777">
            <w:pPr>
              <w:tabs>
                <w:tab w:val="center" w:pos="4680"/>
              </w:tabs>
              <w:suppressAutoHyphens/>
              <w:rPr>
                <w:b/>
                <w:spacing w:val="-2"/>
              </w:rPr>
            </w:pPr>
            <w:r>
              <w:rPr>
                <w:b/>
                <w:spacing w:val="-2"/>
              </w:rPr>
              <w:t>)</w:t>
            </w:r>
          </w:p>
          <w:p w:rsidR="00CE41F8" w:rsidP="002A4E12" w14:paraId="0412FDCC" w14:textId="77777777">
            <w:pPr>
              <w:tabs>
                <w:tab w:val="center" w:pos="4680"/>
              </w:tabs>
              <w:suppressAutoHyphens/>
              <w:rPr>
                <w:b/>
                <w:spacing w:val="-2"/>
              </w:rPr>
            </w:pPr>
            <w:r>
              <w:rPr>
                <w:b/>
                <w:spacing w:val="-2"/>
              </w:rPr>
              <w:t>)</w:t>
            </w:r>
          </w:p>
          <w:p w:rsidR="00CE41F8" w:rsidP="002A4E12" w14:paraId="679F3A46" w14:textId="77777777">
            <w:pPr>
              <w:tabs>
                <w:tab w:val="center" w:pos="4680"/>
              </w:tabs>
              <w:suppressAutoHyphens/>
              <w:rPr>
                <w:spacing w:val="-2"/>
              </w:rPr>
            </w:pPr>
            <w:r>
              <w:rPr>
                <w:b/>
                <w:spacing w:val="-2"/>
              </w:rPr>
              <w:t>)</w:t>
            </w:r>
          </w:p>
        </w:tc>
        <w:tc>
          <w:tcPr>
            <w:tcW w:w="4248" w:type="dxa"/>
          </w:tcPr>
          <w:p w:rsidR="00CE41F8" w:rsidP="002A4E12" w14:paraId="628B6DFD" w14:textId="77777777">
            <w:pPr>
              <w:tabs>
                <w:tab w:val="center" w:pos="4680"/>
              </w:tabs>
              <w:suppressAutoHyphens/>
              <w:rPr>
                <w:spacing w:val="-2"/>
              </w:rPr>
            </w:pPr>
          </w:p>
          <w:p w:rsidR="00CE41F8" w:rsidP="002A4E12" w14:paraId="1A076598" w14:textId="77777777">
            <w:pPr>
              <w:pStyle w:val="TOAHeading"/>
              <w:tabs>
                <w:tab w:val="center" w:pos="4680"/>
                <w:tab w:val="clear" w:pos="9360"/>
              </w:tabs>
              <w:rPr>
                <w:spacing w:val="-2"/>
              </w:rPr>
            </w:pPr>
          </w:p>
          <w:p w:rsidR="00CE41F8" w:rsidP="002A4E12" w14:paraId="28D1342A" w14:textId="77777777">
            <w:pPr>
              <w:tabs>
                <w:tab w:val="center" w:pos="4680"/>
              </w:tabs>
              <w:suppressAutoHyphens/>
              <w:rPr>
                <w:spacing w:val="-2"/>
              </w:rPr>
            </w:pPr>
            <w:r>
              <w:rPr>
                <w:spacing w:val="-2"/>
              </w:rPr>
              <w:t>WC Docket No. 18-89</w:t>
            </w:r>
          </w:p>
        </w:tc>
      </w:tr>
    </w:tbl>
    <w:p w:rsidR="00CE41F8" w:rsidP="00CE41F8" w14:paraId="10350348" w14:textId="77777777"/>
    <w:p w:rsidR="00CE41F8" w:rsidP="00CE41F8" w14:paraId="5CCB8D23" w14:textId="77777777">
      <w:pPr>
        <w:pStyle w:val="StyleBoldCentered"/>
      </w:pPr>
      <w:r>
        <w:t>order</w:t>
      </w:r>
    </w:p>
    <w:p w:rsidR="00CE41F8" w:rsidP="00CE41F8" w14:paraId="07F26976" w14:textId="77777777">
      <w:pPr>
        <w:tabs>
          <w:tab w:val="left" w:pos="-720"/>
        </w:tabs>
        <w:suppressAutoHyphens/>
        <w:spacing w:line="227" w:lineRule="auto"/>
        <w:rPr>
          <w:spacing w:val="-2"/>
        </w:rPr>
      </w:pPr>
    </w:p>
    <w:p w:rsidR="00CE41F8" w:rsidP="00CE41F8" w14:paraId="28CEC10B" w14:textId="44882CA4">
      <w:pPr>
        <w:tabs>
          <w:tab w:val="left" w:pos="720"/>
          <w:tab w:val="right" w:pos="9360"/>
        </w:tabs>
        <w:suppressAutoHyphens/>
        <w:spacing w:line="227" w:lineRule="auto"/>
        <w:rPr>
          <w:spacing w:val="-2"/>
        </w:rPr>
      </w:pPr>
      <w:r>
        <w:rPr>
          <w:b/>
          <w:spacing w:val="-2"/>
        </w:rPr>
        <w:t xml:space="preserve">Adopted:  December </w:t>
      </w:r>
      <w:r>
        <w:rPr>
          <w:b/>
          <w:spacing w:val="-2"/>
        </w:rPr>
        <w:t>21</w:t>
      </w:r>
      <w:r>
        <w:rPr>
          <w:b/>
          <w:spacing w:val="-2"/>
        </w:rPr>
        <w:t>, 2023</w:t>
      </w:r>
      <w:r>
        <w:rPr>
          <w:b/>
          <w:spacing w:val="-2"/>
        </w:rPr>
        <w:tab/>
        <w:t xml:space="preserve">Released:  December </w:t>
      </w:r>
      <w:r>
        <w:rPr>
          <w:b/>
          <w:spacing w:val="-2"/>
        </w:rPr>
        <w:t>21</w:t>
      </w:r>
      <w:r>
        <w:rPr>
          <w:b/>
          <w:spacing w:val="-2"/>
        </w:rPr>
        <w:t>, 2023</w:t>
      </w:r>
    </w:p>
    <w:p w:rsidR="00CE41F8" w:rsidP="00CE41F8" w14:paraId="01FC5E7E" w14:textId="77777777"/>
    <w:p w:rsidR="00CE41F8" w:rsidP="00CE41F8" w14:paraId="49C1B40E" w14:textId="77777777">
      <w:pPr>
        <w:rPr>
          <w:spacing w:val="-2"/>
        </w:rPr>
      </w:pPr>
      <w:r>
        <w:t>By the</w:t>
      </w:r>
      <w:r>
        <w:rPr>
          <w:spacing w:val="-2"/>
        </w:rPr>
        <w:t xml:space="preserve"> Chief, Wireline Competition Bureau:</w:t>
      </w:r>
    </w:p>
    <w:p w:rsidR="00CE41F8" w:rsidRPr="0059573F" w:rsidP="00CE41F8" w14:paraId="27256457" w14:textId="77777777">
      <w:pPr>
        <w:rPr>
          <w:spacing w:val="-2"/>
        </w:rPr>
      </w:pPr>
    </w:p>
    <w:p w:rsidR="00CE41F8" w:rsidRPr="0059573F" w:rsidP="00CE41F8" w14:paraId="6087339F" w14:textId="77777777">
      <w:pPr>
        <w:pStyle w:val="ParaNum"/>
        <w:rPr>
          <w:szCs w:val="22"/>
        </w:rPr>
      </w:pPr>
      <w:r w:rsidRPr="00496A2E">
        <w:rPr>
          <w:szCs w:val="22"/>
        </w:rPr>
        <w:t xml:space="preserve">In this Order, the Wireline Competition Bureau (Bureau) addresses the Petition filed by </w:t>
      </w:r>
      <w:r>
        <w:rPr>
          <w:szCs w:val="22"/>
        </w:rPr>
        <w:t>GigSky</w:t>
      </w:r>
      <w:r>
        <w:rPr>
          <w:szCs w:val="22"/>
        </w:rPr>
        <w:t>, Inc.</w:t>
      </w:r>
      <w:r w:rsidRPr="00496A2E">
        <w:rPr>
          <w:szCs w:val="22"/>
        </w:rPr>
        <w:t xml:space="preserve"> (</w:t>
      </w:r>
      <w:r>
        <w:rPr>
          <w:szCs w:val="22"/>
        </w:rPr>
        <w:t>GigSky</w:t>
      </w:r>
      <w:r>
        <w:rPr>
          <w:szCs w:val="22"/>
        </w:rPr>
        <w:t xml:space="preserve"> or </w:t>
      </w:r>
      <w:r w:rsidRPr="00496A2E">
        <w:rPr>
          <w:szCs w:val="22"/>
        </w:rPr>
        <w:t xml:space="preserve">Petitioner) requesting an extension of </w:t>
      </w:r>
      <w:r>
        <w:rPr>
          <w:szCs w:val="22"/>
        </w:rPr>
        <w:t>its</w:t>
      </w:r>
      <w:r w:rsidRPr="00496A2E">
        <w:rPr>
          <w:szCs w:val="22"/>
        </w:rPr>
        <w:t xml:space="preserve"> removal, replacement, and disposal term under the Secure and Trusted Communications Networks Reimbursement Program (Reimbursement </w:t>
      </w:r>
      <w:r w:rsidRPr="00496A2E">
        <w:rPr>
          <w:szCs w:val="22"/>
          <w:shd w:val="clear" w:color="auto" w:fill="FFFFFF"/>
        </w:rPr>
        <w:t>Program).</w:t>
      </w:r>
      <w:r>
        <w:rPr>
          <w:rStyle w:val="FootnoteReference"/>
          <w:sz w:val="22"/>
          <w:szCs w:val="22"/>
          <w:shd w:val="clear" w:color="auto" w:fill="FFFFFF"/>
        </w:rPr>
        <w:footnoteReference w:id="3"/>
      </w:r>
      <w:r w:rsidRPr="00496A2E">
        <w:rPr>
          <w:szCs w:val="22"/>
          <w:shd w:val="clear" w:color="auto" w:fill="FFFFFF"/>
        </w:rPr>
        <w:t xml:space="preserve">  </w:t>
      </w:r>
      <w:r>
        <w:rPr>
          <w:szCs w:val="22"/>
          <w:shd w:val="clear" w:color="auto" w:fill="FFFFFF"/>
        </w:rPr>
        <w:t>T</w:t>
      </w:r>
      <w:r w:rsidRPr="00496A2E">
        <w:rPr>
          <w:szCs w:val="22"/>
        </w:rPr>
        <w:t xml:space="preserve">he Bureau grants </w:t>
      </w:r>
      <w:r>
        <w:rPr>
          <w:szCs w:val="22"/>
        </w:rPr>
        <w:t>the</w:t>
      </w:r>
      <w:r w:rsidRPr="00496A2E">
        <w:rPr>
          <w:szCs w:val="22"/>
        </w:rPr>
        <w:t xml:space="preserve"> extension pursuant to Commission rule 1.50004(h)(2)</w:t>
      </w:r>
      <w:r>
        <w:rPr>
          <w:rStyle w:val="FootnoteReference"/>
          <w:sz w:val="22"/>
          <w:szCs w:val="22"/>
        </w:rPr>
        <w:footnoteReference w:id="4"/>
      </w:r>
      <w:r>
        <w:rPr>
          <w:szCs w:val="22"/>
        </w:rPr>
        <w:t xml:space="preserve"> and</w:t>
      </w:r>
      <w:r w:rsidRPr="00496A2E">
        <w:rPr>
          <w:szCs w:val="22"/>
        </w:rPr>
        <w:t xml:space="preserve"> extends the term for </w:t>
      </w:r>
      <w:r>
        <w:rPr>
          <w:szCs w:val="22"/>
        </w:rPr>
        <w:t>GigSky</w:t>
      </w:r>
      <w:r>
        <w:rPr>
          <w:szCs w:val="22"/>
        </w:rPr>
        <w:t>, Inc.</w:t>
      </w:r>
      <w:r w:rsidRPr="00496A2E">
        <w:rPr>
          <w:szCs w:val="22"/>
        </w:rPr>
        <w:t xml:space="preserve"> from </w:t>
      </w:r>
      <w:r>
        <w:rPr>
          <w:szCs w:val="22"/>
        </w:rPr>
        <w:t>December 22, 2023</w:t>
      </w:r>
      <w:r w:rsidRPr="00496A2E">
        <w:rPr>
          <w:szCs w:val="22"/>
        </w:rPr>
        <w:t xml:space="preserve"> to </w:t>
      </w:r>
      <w:r>
        <w:rPr>
          <w:szCs w:val="22"/>
        </w:rPr>
        <w:t>June 22, 2024</w:t>
      </w:r>
      <w:r w:rsidRPr="00496A2E">
        <w:rPr>
          <w:szCs w:val="22"/>
        </w:rPr>
        <w:t>.</w:t>
      </w:r>
    </w:p>
    <w:p w:rsidR="00CE41F8" w:rsidRPr="00496A2E" w:rsidP="00CE41F8" w14:paraId="3DD448AF" w14:textId="77777777">
      <w:pPr>
        <w:pStyle w:val="ParaNum"/>
        <w:rPr>
          <w:szCs w:val="22"/>
        </w:rPr>
      </w:pPr>
      <w:r w:rsidRPr="00496A2E">
        <w:rPr>
          <w:szCs w:val="22"/>
        </w:rPr>
        <w:t>As directed by the Secure and Trusted Communications Networks Act of 2019, as amended (Secure Networks Act), the Commission established the Reimbursement Program to reimburse providers of advanced communications services with ten million or fewer customers for reasonable costs incurred in the removal, replacement, and disposal of covered communications equipment or services from their networks that pose a national security risk, i.e., communications equipment or services produced or provided by Huawei Technologies Company (Huawei) or ZTE Corporation (ZTE), that were obtained by providers on or before June 30, 2020.</w:t>
      </w:r>
      <w:r>
        <w:rPr>
          <w:rStyle w:val="FootnoteReference"/>
          <w:sz w:val="22"/>
          <w:szCs w:val="22"/>
        </w:rPr>
        <w:footnoteReference w:id="5"/>
      </w:r>
      <w:r w:rsidRPr="00496A2E">
        <w:rPr>
          <w:szCs w:val="22"/>
        </w:rPr>
        <w:t xml:space="preserve">  The Reimbursement Program was later funded by a </w:t>
      </w:r>
      <w:r w:rsidRPr="00496A2E">
        <w:rPr>
          <w:szCs w:val="22"/>
        </w:rPr>
        <w:t>$1.9 billion congressional appropriation,</w:t>
      </w:r>
      <w:r>
        <w:rPr>
          <w:rStyle w:val="FootnoteReference"/>
          <w:sz w:val="22"/>
          <w:szCs w:val="22"/>
        </w:rPr>
        <w:footnoteReference w:id="6"/>
      </w:r>
      <w:r w:rsidRPr="00496A2E">
        <w:rPr>
          <w:szCs w:val="22"/>
        </w:rPr>
        <w:t xml:space="preserve"> which is less than the $5.6 billion in collective funds requested by applicants.</w:t>
      </w:r>
      <w:r>
        <w:rPr>
          <w:rStyle w:val="FootnoteReference"/>
          <w:sz w:val="22"/>
          <w:szCs w:val="22"/>
        </w:rPr>
        <w:footnoteReference w:id="7"/>
      </w:r>
      <w:r w:rsidRPr="00496A2E">
        <w:rPr>
          <w:szCs w:val="22"/>
        </w:rPr>
        <w:t xml:space="preserve">  Because demand exceeded available funding, applicants received a pro-rated funding allocation of approximately 39.5% of their reasonable and supported estimated costs for removing, replacing, and disposing of covered communications equipment and services.</w:t>
      </w:r>
      <w:r>
        <w:rPr>
          <w:rStyle w:val="FootnoteReference"/>
          <w:sz w:val="22"/>
          <w:szCs w:val="22"/>
        </w:rPr>
        <w:footnoteReference w:id="8"/>
      </w:r>
      <w:r w:rsidRPr="00496A2E">
        <w:rPr>
          <w:szCs w:val="22"/>
        </w:rPr>
        <w:t xml:space="preserve">  </w:t>
      </w:r>
    </w:p>
    <w:p w:rsidR="00CE41F8" w:rsidRPr="00E900E8" w:rsidP="00CE41F8" w14:paraId="13F526F6" w14:textId="77777777">
      <w:pPr>
        <w:pStyle w:val="ParaNum"/>
        <w:rPr>
          <w:szCs w:val="22"/>
        </w:rPr>
      </w:pPr>
      <w:r w:rsidRPr="00496A2E">
        <w:rPr>
          <w:szCs w:val="22"/>
        </w:rPr>
        <w:t xml:space="preserve">Reimbursement Program recipients </w:t>
      </w:r>
      <w:r>
        <w:rPr>
          <w:szCs w:val="22"/>
        </w:rPr>
        <w:t xml:space="preserve">must </w:t>
      </w:r>
      <w:r w:rsidRPr="00496A2E">
        <w:rPr>
          <w:szCs w:val="22"/>
        </w:rPr>
        <w:t>complete the removal, replacement, and disposal of covered communications equipment and services within one year from the initial disbursement of funds to the recipient.</w:t>
      </w:r>
      <w:r>
        <w:rPr>
          <w:rStyle w:val="FootnoteReference"/>
          <w:sz w:val="22"/>
          <w:szCs w:val="22"/>
        </w:rPr>
        <w:footnoteReference w:id="9"/>
      </w:r>
      <w:r w:rsidRPr="00496A2E">
        <w:rPr>
          <w:szCs w:val="22"/>
        </w:rPr>
        <w:t xml:space="preserve">  </w:t>
      </w:r>
      <w:r>
        <w:rPr>
          <w:szCs w:val="22"/>
        </w:rPr>
        <w:t>T</w:t>
      </w:r>
      <w:r w:rsidRPr="00496A2E">
        <w:rPr>
          <w:szCs w:val="22"/>
        </w:rPr>
        <w:t xml:space="preserve">he Commission </w:t>
      </w:r>
      <w:r>
        <w:rPr>
          <w:szCs w:val="22"/>
        </w:rPr>
        <w:t>authorized</w:t>
      </w:r>
      <w:r w:rsidRPr="00496A2E">
        <w:rPr>
          <w:szCs w:val="22"/>
        </w:rPr>
        <w:t xml:space="preserve"> the Bureau to </w:t>
      </w:r>
      <w:r>
        <w:rPr>
          <w:szCs w:val="22"/>
        </w:rPr>
        <w:t>rule on</w:t>
      </w:r>
      <w:r w:rsidRPr="00496A2E">
        <w:rPr>
          <w:szCs w:val="22"/>
        </w:rPr>
        <w:t xml:space="preserve"> individual petitions for an extension</w:t>
      </w:r>
      <w:r>
        <w:rPr>
          <w:szCs w:val="22"/>
        </w:rPr>
        <w:t xml:space="preserve"> of this term</w:t>
      </w:r>
      <w:r w:rsidRPr="00496A2E">
        <w:rPr>
          <w:szCs w:val="22"/>
        </w:rPr>
        <w:t>.</w:t>
      </w:r>
      <w:r>
        <w:rPr>
          <w:rStyle w:val="FootnoteReference"/>
          <w:sz w:val="22"/>
          <w:szCs w:val="22"/>
        </w:rPr>
        <w:footnoteReference w:id="10"/>
      </w:r>
      <w:r w:rsidRPr="00496A2E">
        <w:rPr>
          <w:szCs w:val="22"/>
        </w:rPr>
        <w:t xml:space="preserve">  </w:t>
      </w:r>
      <w:r>
        <w:rPr>
          <w:szCs w:val="22"/>
        </w:rPr>
        <w:t>T</w:t>
      </w:r>
      <w:r w:rsidRPr="00496A2E">
        <w:rPr>
          <w:szCs w:val="22"/>
        </w:rPr>
        <w:t xml:space="preserve">he Bureau </w:t>
      </w:r>
      <w:r w:rsidRPr="00496A2E">
        <w:rPr>
          <w:szCs w:val="22"/>
          <w:shd w:val="clear" w:color="auto" w:fill="FFFFFF"/>
        </w:rPr>
        <w:t>“may grant an extension for up to six months after finding, that due to no fault of such recipient, such recipient is unable to complete the permanent removal, replacement, and disposal by the end of the term.”</w:t>
      </w:r>
      <w:r>
        <w:rPr>
          <w:rStyle w:val="FootnoteReference"/>
          <w:sz w:val="22"/>
          <w:szCs w:val="22"/>
        </w:rPr>
        <w:footnoteReference w:id="11"/>
      </w:r>
      <w:r w:rsidRPr="00496A2E">
        <w:rPr>
          <w:szCs w:val="22"/>
          <w:shd w:val="clear" w:color="auto" w:fill="FFFFFF"/>
        </w:rPr>
        <w:t xml:space="preserve"> </w:t>
      </w:r>
    </w:p>
    <w:p w:rsidR="00CE41F8" w:rsidRPr="00AD10EB" w:rsidP="00CE41F8" w14:paraId="3EE4667C" w14:textId="77777777">
      <w:pPr>
        <w:pStyle w:val="ParaNum"/>
        <w:rPr>
          <w:szCs w:val="22"/>
        </w:rPr>
      </w:pPr>
      <w:r>
        <w:rPr>
          <w:szCs w:val="22"/>
        </w:rPr>
        <w:t>GigSky</w:t>
      </w:r>
      <w:r w:rsidRPr="00496A2E">
        <w:rPr>
          <w:szCs w:val="22"/>
        </w:rPr>
        <w:t xml:space="preserve"> reques</w:t>
      </w:r>
      <w:r>
        <w:rPr>
          <w:szCs w:val="22"/>
        </w:rPr>
        <w:t>ts</w:t>
      </w:r>
      <w:r w:rsidRPr="00496A2E">
        <w:rPr>
          <w:szCs w:val="22"/>
        </w:rPr>
        <w:t xml:space="preserve"> an extension of its removal, replacement, and disposal term from </w:t>
      </w:r>
      <w:r>
        <w:rPr>
          <w:szCs w:val="22"/>
        </w:rPr>
        <w:t>December 22, 2023</w:t>
      </w:r>
      <w:r w:rsidRPr="00496A2E">
        <w:rPr>
          <w:szCs w:val="22"/>
        </w:rPr>
        <w:t xml:space="preserve"> to </w:t>
      </w:r>
      <w:r>
        <w:rPr>
          <w:szCs w:val="22"/>
        </w:rPr>
        <w:t>June 22, 2024</w:t>
      </w:r>
      <w:r w:rsidRPr="00496A2E">
        <w:rPr>
          <w:szCs w:val="22"/>
        </w:rPr>
        <w:t>.</w:t>
      </w:r>
      <w:r>
        <w:rPr>
          <w:rStyle w:val="FootnoteReference"/>
          <w:sz w:val="22"/>
          <w:szCs w:val="22"/>
        </w:rPr>
        <w:footnoteReference w:id="12"/>
      </w:r>
      <w:r w:rsidRPr="00496A2E">
        <w:rPr>
          <w:szCs w:val="22"/>
        </w:rPr>
        <w:t xml:space="preserve">  </w:t>
      </w:r>
      <w:bookmarkStart w:id="0" w:name="_Ref148974449"/>
      <w:r>
        <w:rPr>
          <w:szCs w:val="22"/>
        </w:rPr>
        <w:t>It</w:t>
      </w:r>
      <w:r w:rsidRPr="00AD10EB">
        <w:rPr>
          <w:szCs w:val="22"/>
        </w:rPr>
        <w:t xml:space="preserve"> claims that the completion of its removal, replacement, and disposal obligations </w:t>
      </w:r>
      <w:r>
        <w:rPr>
          <w:szCs w:val="22"/>
        </w:rPr>
        <w:t>has been</w:t>
      </w:r>
      <w:r w:rsidRPr="00AD10EB">
        <w:rPr>
          <w:szCs w:val="22"/>
        </w:rPr>
        <w:t xml:space="preserve"> delayed due to the partial funding of the Reimbursement Program.</w:t>
      </w:r>
      <w:r>
        <w:rPr>
          <w:rStyle w:val="FootnoteReference"/>
          <w:sz w:val="22"/>
          <w:szCs w:val="22"/>
        </w:rPr>
        <w:footnoteReference w:id="13"/>
      </w:r>
      <w:r w:rsidRPr="00AD10EB">
        <w:rPr>
          <w:szCs w:val="22"/>
        </w:rPr>
        <w:t xml:space="preserve">  </w:t>
      </w:r>
      <w:r>
        <w:rPr>
          <w:szCs w:val="22"/>
        </w:rPr>
        <w:t xml:space="preserve">Specifically, </w:t>
      </w:r>
      <w:r w:rsidRPr="00AD10EB">
        <w:rPr>
          <w:szCs w:val="22"/>
        </w:rPr>
        <w:t>GigSky</w:t>
      </w:r>
      <w:r w:rsidRPr="00AD10EB">
        <w:rPr>
          <w:szCs w:val="22"/>
        </w:rPr>
        <w:t xml:space="preserve"> </w:t>
      </w:r>
      <w:r>
        <w:rPr>
          <w:szCs w:val="22"/>
        </w:rPr>
        <w:t>states</w:t>
      </w:r>
      <w:r w:rsidRPr="00AD10EB">
        <w:rPr>
          <w:szCs w:val="22"/>
        </w:rPr>
        <w:t xml:space="preserve"> that as a small business it did not anticipate the full financial demands of the extensive project and tha</w:t>
      </w:r>
      <w:r>
        <w:rPr>
          <w:szCs w:val="22"/>
        </w:rPr>
        <w:t>t it</w:t>
      </w:r>
      <w:r w:rsidRPr="00AD10EB">
        <w:rPr>
          <w:szCs w:val="22"/>
        </w:rPr>
        <w:t xml:space="preserve"> needs additional time to complete the project effi</w:t>
      </w:r>
      <w:r>
        <w:rPr>
          <w:szCs w:val="22"/>
        </w:rPr>
        <w:t>cie</w:t>
      </w:r>
      <w:r w:rsidRPr="00AD10EB">
        <w:rPr>
          <w:szCs w:val="22"/>
        </w:rPr>
        <w:t>ntly and effectively and without compromising its financial stability or the integrity of the network changes.</w:t>
      </w:r>
      <w:r>
        <w:rPr>
          <w:rStyle w:val="FootnoteReference"/>
          <w:sz w:val="22"/>
          <w:szCs w:val="22"/>
        </w:rPr>
        <w:footnoteReference w:id="14"/>
      </w:r>
      <w:bookmarkEnd w:id="0"/>
      <w:r>
        <w:rPr>
          <w:szCs w:val="22"/>
        </w:rPr>
        <w:t xml:space="preserve">  </w:t>
      </w:r>
    </w:p>
    <w:p w:rsidR="00CE41F8" w:rsidRPr="006F2016" w:rsidP="00CE41F8" w14:paraId="5B3C88F3" w14:textId="77777777">
      <w:pPr>
        <w:pStyle w:val="ParaNum"/>
        <w:widowControl/>
        <w:rPr>
          <w:szCs w:val="22"/>
        </w:rPr>
      </w:pPr>
      <w:r>
        <w:rPr>
          <w:szCs w:val="22"/>
        </w:rPr>
        <w:t>Based on the facts</w:t>
      </w:r>
      <w:r w:rsidRPr="00496A2E">
        <w:rPr>
          <w:szCs w:val="22"/>
        </w:rPr>
        <w:t xml:space="preserve"> described </w:t>
      </w:r>
      <w:r>
        <w:rPr>
          <w:szCs w:val="22"/>
        </w:rPr>
        <w:t>above</w:t>
      </w:r>
      <w:r w:rsidRPr="00496A2E">
        <w:rPr>
          <w:szCs w:val="22"/>
        </w:rPr>
        <w:t xml:space="preserve">, and consistent with our prior </w:t>
      </w:r>
      <w:r>
        <w:rPr>
          <w:szCs w:val="22"/>
        </w:rPr>
        <w:t>analysis and grant of</w:t>
      </w:r>
      <w:r w:rsidRPr="00496A2E">
        <w:rPr>
          <w:szCs w:val="22"/>
        </w:rPr>
        <w:t xml:space="preserve"> extension requests</w:t>
      </w:r>
      <w:r>
        <w:rPr>
          <w:szCs w:val="22"/>
        </w:rPr>
        <w:t xml:space="preserve"> relying on similar arguments regarding the Reimbursement Program’s funding shortfall</w:t>
      </w:r>
      <w:r w:rsidRPr="00496A2E">
        <w:rPr>
          <w:szCs w:val="22"/>
        </w:rPr>
        <w:t>,</w:t>
      </w:r>
      <w:r>
        <w:rPr>
          <w:rStyle w:val="FootnoteReference"/>
          <w:sz w:val="22"/>
          <w:szCs w:val="22"/>
        </w:rPr>
        <w:footnoteReference w:id="15"/>
      </w:r>
      <w:r w:rsidRPr="00496A2E">
        <w:rPr>
          <w:szCs w:val="22"/>
        </w:rPr>
        <w:t xml:space="preserve"> we find that </w:t>
      </w:r>
      <w:r>
        <w:rPr>
          <w:szCs w:val="22"/>
        </w:rPr>
        <w:t>GigSky</w:t>
      </w:r>
      <w:r w:rsidRPr="00496A2E">
        <w:rPr>
          <w:szCs w:val="22"/>
        </w:rPr>
        <w:t xml:space="preserve"> has established that</w:t>
      </w:r>
      <w:r>
        <w:rPr>
          <w:szCs w:val="22"/>
        </w:rPr>
        <w:t xml:space="preserve"> the funding shortfall has</w:t>
      </w:r>
      <w:r w:rsidRPr="00496A2E">
        <w:rPr>
          <w:szCs w:val="22"/>
          <w:shd w:val="clear" w:color="auto" w:fill="FFFFFF"/>
        </w:rPr>
        <w:t xml:space="preserve"> impacted it so that, “due to no fault of such recipient, such recipient is unable to complete the permanent removal, replacement, and disposal by the end of the term,” as required by rule</w:t>
      </w:r>
      <w:r w:rsidRPr="00496A2E">
        <w:rPr>
          <w:szCs w:val="22"/>
        </w:rPr>
        <w:t xml:space="preserve"> 1.50004(h)(2).</w:t>
      </w:r>
      <w:r>
        <w:rPr>
          <w:rStyle w:val="FootnoteReference"/>
          <w:sz w:val="22"/>
          <w:szCs w:val="22"/>
          <w:shd w:val="clear" w:color="auto" w:fill="FFFFFF"/>
        </w:rPr>
        <w:footnoteReference w:id="16"/>
      </w:r>
      <w:r w:rsidRPr="00496A2E">
        <w:rPr>
          <w:szCs w:val="22"/>
          <w:shd w:val="clear" w:color="auto" w:fill="FFFFFF"/>
        </w:rPr>
        <w:t xml:space="preserve">  </w:t>
      </w:r>
      <w:r>
        <w:rPr>
          <w:szCs w:val="22"/>
        </w:rPr>
        <w:t>Gigsky’s</w:t>
      </w:r>
      <w:r>
        <w:rPr>
          <w:szCs w:val="22"/>
        </w:rPr>
        <w:t xml:space="preserve"> most recent </w:t>
      </w:r>
      <w:r w:rsidRPr="00496A2E">
        <w:rPr>
          <w:szCs w:val="22"/>
        </w:rPr>
        <w:t>quarterly status update provide</w:t>
      </w:r>
      <w:r>
        <w:rPr>
          <w:szCs w:val="22"/>
        </w:rPr>
        <w:t>s</w:t>
      </w:r>
      <w:r w:rsidRPr="00496A2E">
        <w:rPr>
          <w:szCs w:val="22"/>
        </w:rPr>
        <w:t xml:space="preserve"> additional context and further support for our finding that </w:t>
      </w:r>
      <w:r>
        <w:rPr>
          <w:szCs w:val="22"/>
        </w:rPr>
        <w:t xml:space="preserve">an </w:t>
      </w:r>
      <w:r w:rsidRPr="00496A2E">
        <w:rPr>
          <w:szCs w:val="22"/>
        </w:rPr>
        <w:t xml:space="preserve">extension of </w:t>
      </w:r>
      <w:r>
        <w:rPr>
          <w:szCs w:val="22"/>
        </w:rPr>
        <w:t>its</w:t>
      </w:r>
      <w:r w:rsidRPr="00496A2E">
        <w:rPr>
          <w:szCs w:val="22"/>
        </w:rPr>
        <w:t xml:space="preserve"> removal, replacement, and disposal term </w:t>
      </w:r>
      <w:r>
        <w:rPr>
          <w:szCs w:val="22"/>
        </w:rPr>
        <w:t>is</w:t>
      </w:r>
      <w:r w:rsidRPr="00496A2E">
        <w:rPr>
          <w:szCs w:val="22"/>
        </w:rPr>
        <w:t xml:space="preserve"> appropriate</w:t>
      </w:r>
      <w:r>
        <w:rPr>
          <w:szCs w:val="22"/>
        </w:rPr>
        <w:t>,</w:t>
      </w:r>
      <w:r w:rsidRPr="00496A2E">
        <w:rPr>
          <w:szCs w:val="22"/>
          <w:shd w:val="clear" w:color="auto" w:fill="FFFFFF"/>
        </w:rPr>
        <w:t xml:space="preserve"> </w:t>
      </w:r>
      <w:r>
        <w:rPr>
          <w:szCs w:val="22"/>
          <w:shd w:val="clear" w:color="auto" w:fill="FFFFFF"/>
        </w:rPr>
        <w:t>as it states that</w:t>
      </w:r>
      <w:r w:rsidRPr="00994125">
        <w:t xml:space="preserve"> “</w:t>
      </w:r>
      <w:r w:rsidRPr="00994125">
        <w:rPr>
          <w:rStyle w:val="eop"/>
        </w:rPr>
        <w:t xml:space="preserve">untrusted equipment within the network has been fully removed and disposed of” but the lack of full funding and </w:t>
      </w:r>
      <w:r w:rsidRPr="00994125">
        <w:rPr>
          <w:rStyle w:val="eop"/>
        </w:rPr>
        <w:t>GigSky’s</w:t>
      </w:r>
      <w:r w:rsidRPr="00994125">
        <w:rPr>
          <w:rStyle w:val="eop"/>
        </w:rPr>
        <w:t xml:space="preserve"> loss of capital is impacting its network replacement and operations. </w:t>
      </w:r>
      <w:r>
        <w:rPr>
          <w:rStyle w:val="eop"/>
          <w:rFonts w:ascii="Calibri" w:hAnsi="Calibri" w:cs="Calibri"/>
        </w:rPr>
        <w:t xml:space="preserve"> </w:t>
      </w:r>
      <w:r w:rsidRPr="00496A2E">
        <w:rPr>
          <w:szCs w:val="22"/>
          <w:shd w:val="clear" w:color="auto" w:fill="FFFFFF"/>
        </w:rPr>
        <w:t xml:space="preserve">We therefore grant </w:t>
      </w:r>
      <w:r>
        <w:rPr>
          <w:szCs w:val="22"/>
          <w:shd w:val="clear" w:color="auto" w:fill="FFFFFF"/>
        </w:rPr>
        <w:t xml:space="preserve">the </w:t>
      </w:r>
      <w:r w:rsidRPr="00496A2E">
        <w:rPr>
          <w:szCs w:val="22"/>
          <w:shd w:val="clear" w:color="auto" w:fill="FFFFFF"/>
        </w:rPr>
        <w:t>extension.</w:t>
      </w:r>
    </w:p>
    <w:p w:rsidR="00CE41F8" w:rsidRPr="00496A2E" w:rsidP="00CE41F8" w14:paraId="3C5EAD51" w14:textId="77777777">
      <w:pPr>
        <w:pStyle w:val="ParaNum"/>
        <w:rPr>
          <w:szCs w:val="22"/>
        </w:rPr>
      </w:pPr>
      <w:r w:rsidRPr="00496A2E">
        <w:rPr>
          <w:szCs w:val="22"/>
        </w:rPr>
        <w:t>Accordingly, IT IS ORDERED that, pursuant to section 4(</w:t>
      </w:r>
      <w:r w:rsidRPr="00496A2E">
        <w:rPr>
          <w:szCs w:val="22"/>
        </w:rPr>
        <w:t>i</w:t>
      </w:r>
      <w:r w:rsidRPr="00496A2E">
        <w:rPr>
          <w:szCs w:val="22"/>
        </w:rPr>
        <w:t>)-(j) of the Communications Act of 1934, as amended, 47 U.S.C. § 154(</w:t>
      </w:r>
      <w:r w:rsidRPr="00496A2E">
        <w:rPr>
          <w:szCs w:val="22"/>
        </w:rPr>
        <w:t>i</w:t>
      </w:r>
      <w:r w:rsidRPr="00496A2E">
        <w:rPr>
          <w:szCs w:val="22"/>
        </w:rPr>
        <w:t xml:space="preserve">)-(j), and sections 0.204, 0.291, and 1.50004(h)(2) of the Commission’s rules, 47 CFR §§ 0.204, 0.291, 1.50004(h)(2), the Petition for Extension of </w:t>
      </w:r>
      <w:r>
        <w:rPr>
          <w:szCs w:val="22"/>
        </w:rPr>
        <w:t>Time</w:t>
      </w:r>
      <w:r w:rsidRPr="00496A2E">
        <w:rPr>
          <w:szCs w:val="22"/>
        </w:rPr>
        <w:t xml:space="preserve"> filed by</w:t>
      </w:r>
      <w:r w:rsidRPr="00DB20E8">
        <w:rPr>
          <w:szCs w:val="22"/>
        </w:rPr>
        <w:t xml:space="preserve"> </w:t>
      </w:r>
      <w:r>
        <w:rPr>
          <w:szCs w:val="22"/>
        </w:rPr>
        <w:t>GigSky</w:t>
      </w:r>
      <w:r>
        <w:rPr>
          <w:szCs w:val="22"/>
        </w:rPr>
        <w:t xml:space="preserve"> is</w:t>
      </w:r>
      <w:r w:rsidRPr="00496A2E">
        <w:rPr>
          <w:szCs w:val="22"/>
        </w:rPr>
        <w:t xml:space="preserve"> GRANTED.</w:t>
      </w:r>
    </w:p>
    <w:p w:rsidR="00CE41F8" w:rsidRPr="00496A2E" w:rsidP="00CE41F8" w14:paraId="172BCA81" w14:textId="77777777">
      <w:pPr>
        <w:pStyle w:val="ParaNum"/>
        <w:rPr>
          <w:szCs w:val="22"/>
        </w:rPr>
      </w:pPr>
      <w:r w:rsidRPr="00496A2E">
        <w:rPr>
          <w:szCs w:val="22"/>
        </w:rPr>
        <w:t xml:space="preserve">IT IS FURTHER ORDERED that the removal, replacement, and disposal term for </w:t>
      </w:r>
      <w:r>
        <w:rPr>
          <w:szCs w:val="22"/>
        </w:rPr>
        <w:t>GigSky</w:t>
      </w:r>
      <w:r w:rsidRPr="00496A2E">
        <w:rPr>
          <w:szCs w:val="22"/>
        </w:rPr>
        <w:t xml:space="preserve"> under 47 CFR § 1.50004(h)(2) IS EXTENDED </w:t>
      </w:r>
      <w:r>
        <w:rPr>
          <w:szCs w:val="22"/>
        </w:rPr>
        <w:t>from December 22, 2023</w:t>
      </w:r>
      <w:r w:rsidRPr="00496A2E">
        <w:rPr>
          <w:szCs w:val="22"/>
        </w:rPr>
        <w:t xml:space="preserve"> to </w:t>
      </w:r>
      <w:r>
        <w:rPr>
          <w:szCs w:val="22"/>
        </w:rPr>
        <w:t>June 22, 2024</w:t>
      </w:r>
      <w:r w:rsidRPr="00496A2E">
        <w:rPr>
          <w:szCs w:val="22"/>
        </w:rPr>
        <w:t>.</w:t>
      </w:r>
    </w:p>
    <w:p w:rsidR="00CE41F8" w:rsidP="00CE41F8" w14:paraId="060474AF" w14:textId="77777777">
      <w:pPr>
        <w:keepNext/>
        <w:keepLines/>
        <w:widowControl/>
        <w:ind w:left="2160" w:firstLine="720"/>
        <w:rPr>
          <w:szCs w:val="22"/>
        </w:rPr>
      </w:pPr>
    </w:p>
    <w:p w:rsidR="00CE41F8" w:rsidRPr="00496A2E" w:rsidP="00CE41F8" w14:paraId="73FD0B6D" w14:textId="77777777">
      <w:pPr>
        <w:keepNext/>
        <w:keepLines/>
        <w:widowControl/>
        <w:ind w:left="3600" w:firstLine="720"/>
        <w:rPr>
          <w:szCs w:val="22"/>
        </w:rPr>
      </w:pPr>
      <w:r w:rsidRPr="00496A2E">
        <w:rPr>
          <w:szCs w:val="22"/>
        </w:rPr>
        <w:t>FEDERAL COMMUNICATIONS COMMISSION</w:t>
      </w:r>
    </w:p>
    <w:p w:rsidR="00CE41F8" w:rsidRPr="00496A2E" w:rsidP="00CE41F8" w14:paraId="4DAC5B18" w14:textId="77777777">
      <w:pPr>
        <w:keepNext/>
        <w:keepLines/>
        <w:widowControl/>
        <w:ind w:left="4320"/>
        <w:rPr>
          <w:szCs w:val="22"/>
        </w:rPr>
      </w:pPr>
    </w:p>
    <w:p w:rsidR="00CE41F8" w:rsidRPr="00496A2E" w:rsidP="00CE41F8" w14:paraId="682F835B" w14:textId="77777777">
      <w:pPr>
        <w:keepNext/>
        <w:keepLines/>
        <w:widowControl/>
        <w:rPr>
          <w:szCs w:val="22"/>
        </w:rPr>
      </w:pPr>
    </w:p>
    <w:p w:rsidR="00CE41F8" w:rsidRPr="00496A2E" w:rsidP="00CE41F8" w14:paraId="01CF1985" w14:textId="77777777">
      <w:pPr>
        <w:keepNext/>
        <w:keepLines/>
        <w:widowControl/>
        <w:ind w:left="3600" w:firstLine="720"/>
        <w:rPr>
          <w:szCs w:val="22"/>
        </w:rPr>
      </w:pPr>
      <w:r w:rsidRPr="00496A2E">
        <w:rPr>
          <w:szCs w:val="22"/>
        </w:rPr>
        <w:t>Trent B. Harkrader</w:t>
      </w:r>
    </w:p>
    <w:p w:rsidR="00CE41F8" w:rsidRPr="00496A2E" w:rsidP="00CE41F8" w14:paraId="0112C688" w14:textId="77777777">
      <w:pPr>
        <w:widowControl/>
        <w:rPr>
          <w:szCs w:val="22"/>
        </w:rPr>
      </w:pPr>
      <w:r w:rsidRPr="00496A2E">
        <w:rPr>
          <w:szCs w:val="22"/>
        </w:rPr>
        <w:tab/>
      </w:r>
      <w:r w:rsidRPr="00496A2E">
        <w:rPr>
          <w:szCs w:val="22"/>
        </w:rPr>
        <w:tab/>
      </w:r>
      <w:r w:rsidRPr="00496A2E">
        <w:rPr>
          <w:szCs w:val="22"/>
        </w:rPr>
        <w:tab/>
      </w:r>
      <w:r w:rsidRPr="00496A2E">
        <w:rPr>
          <w:szCs w:val="22"/>
        </w:rPr>
        <w:tab/>
      </w:r>
      <w:r w:rsidRPr="00496A2E">
        <w:rPr>
          <w:szCs w:val="22"/>
        </w:rPr>
        <w:tab/>
      </w:r>
      <w:r w:rsidRPr="00496A2E">
        <w:rPr>
          <w:szCs w:val="22"/>
        </w:rPr>
        <w:tab/>
        <w:t>Chief</w:t>
      </w:r>
    </w:p>
    <w:p w:rsidR="00CE41F8" w:rsidRPr="00F75D3D" w:rsidP="00CE41F8" w14:paraId="48570043" w14:textId="77777777">
      <w:pPr>
        <w:widowControl/>
        <w:rPr>
          <w:szCs w:val="22"/>
        </w:rPr>
      </w:pPr>
      <w:r w:rsidRPr="00496A2E">
        <w:rPr>
          <w:szCs w:val="22"/>
        </w:rPr>
        <w:tab/>
      </w:r>
      <w:r w:rsidRPr="00496A2E">
        <w:rPr>
          <w:szCs w:val="22"/>
        </w:rPr>
        <w:tab/>
      </w:r>
      <w:r w:rsidRPr="00496A2E">
        <w:rPr>
          <w:szCs w:val="22"/>
        </w:rPr>
        <w:tab/>
      </w:r>
      <w:r w:rsidRPr="00496A2E">
        <w:rPr>
          <w:szCs w:val="22"/>
        </w:rPr>
        <w:tab/>
      </w:r>
      <w:r w:rsidRPr="00496A2E">
        <w:rPr>
          <w:szCs w:val="22"/>
        </w:rPr>
        <w:tab/>
      </w:r>
      <w:r w:rsidRPr="00496A2E">
        <w:rPr>
          <w:szCs w:val="22"/>
        </w:rPr>
        <w:tab/>
        <w:t>Wireline Competition Bureau</w:t>
      </w:r>
    </w:p>
    <w:p w:rsidR="00412FC5" w:rsidRPr="00CE41F8" w:rsidP="00CE41F8" w14:paraId="5CB9A23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2250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766B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73876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C1B89E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20DD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1F8" w14:paraId="2B93C7CD" w14:textId="77777777">
      <w:r>
        <w:separator/>
      </w:r>
    </w:p>
  </w:footnote>
  <w:footnote w:type="continuationSeparator" w:id="1">
    <w:p w:rsidR="00CE41F8" w:rsidP="00C721AC" w14:paraId="37D6826A" w14:textId="77777777">
      <w:pPr>
        <w:spacing w:before="120"/>
        <w:rPr>
          <w:sz w:val="20"/>
        </w:rPr>
      </w:pPr>
      <w:r>
        <w:rPr>
          <w:sz w:val="20"/>
        </w:rPr>
        <w:t xml:space="preserve">(Continued from previous page)  </w:t>
      </w:r>
      <w:r>
        <w:rPr>
          <w:sz w:val="20"/>
        </w:rPr>
        <w:separator/>
      </w:r>
    </w:p>
  </w:footnote>
  <w:footnote w:type="continuationNotice" w:id="2">
    <w:p w:rsidR="00CE41F8" w:rsidP="00C721AC" w14:paraId="689CAB3F" w14:textId="77777777">
      <w:pPr>
        <w:jc w:val="right"/>
        <w:rPr>
          <w:sz w:val="20"/>
        </w:rPr>
      </w:pPr>
      <w:r>
        <w:rPr>
          <w:sz w:val="20"/>
        </w:rPr>
        <w:t>(continued….)</w:t>
      </w:r>
    </w:p>
  </w:footnote>
  <w:footnote w:id="3">
    <w:p w:rsidR="00CE41F8" w:rsidRPr="00496A2E" w:rsidP="00CE41F8" w14:paraId="4CB1E54C" w14:textId="77777777">
      <w:pPr>
        <w:shd w:val="clear" w:color="auto" w:fill="FFFFFF"/>
        <w:spacing w:after="120"/>
        <w:rPr>
          <w:color w:val="000000"/>
          <w:sz w:val="20"/>
        </w:rPr>
      </w:pPr>
      <w:r w:rsidRPr="00496A2E">
        <w:rPr>
          <w:rStyle w:val="FootnoteReference"/>
          <w:color w:val="000000"/>
        </w:rPr>
        <w:footnoteRef/>
      </w:r>
      <w:r w:rsidRPr="00496A2E">
        <w:rPr>
          <w:color w:val="000000"/>
          <w:sz w:val="20"/>
        </w:rPr>
        <w:t xml:space="preserve"> </w:t>
      </w:r>
      <w:r w:rsidRPr="008B5EEA">
        <w:rPr>
          <w:color w:val="000000"/>
          <w:sz w:val="20"/>
        </w:rPr>
        <w:t xml:space="preserve">Request of </w:t>
      </w:r>
      <w:r w:rsidRPr="008B5EEA">
        <w:rPr>
          <w:color w:val="000000"/>
          <w:sz w:val="20"/>
        </w:rPr>
        <w:t>GigSky</w:t>
      </w:r>
      <w:r w:rsidRPr="008B5EEA">
        <w:rPr>
          <w:color w:val="000000"/>
          <w:sz w:val="20"/>
        </w:rPr>
        <w:t xml:space="preserve"> for Extension of Time, WC Docket No. 18-89 (filed Dec. 18, 2023), </w:t>
      </w:r>
      <w:hyperlink r:id="rId1" w:history="1">
        <w:r w:rsidRPr="004E10E6">
          <w:rPr>
            <w:rStyle w:val="Hyperlink"/>
            <w:sz w:val="20"/>
          </w:rPr>
          <w:t>https://www.fcc.gov/ecfs/document/1218303079804/1</w:t>
        </w:r>
      </w:hyperlink>
      <w:r>
        <w:rPr>
          <w:color w:val="000000"/>
          <w:sz w:val="20"/>
        </w:rPr>
        <w:t xml:space="preserve"> </w:t>
      </w:r>
      <w:r w:rsidRPr="00460EC4">
        <w:rPr>
          <w:sz w:val="20"/>
        </w:rPr>
        <w:t>(Petition)</w:t>
      </w:r>
      <w:r w:rsidRPr="008B5EEA">
        <w:rPr>
          <w:color w:val="000000"/>
          <w:sz w:val="20"/>
        </w:rPr>
        <w:t>.</w:t>
      </w:r>
      <w:r w:rsidRPr="00496A2E">
        <w:rPr>
          <w:color w:val="000000"/>
          <w:sz w:val="20"/>
        </w:rPr>
        <w:t xml:space="preserve"> </w:t>
      </w:r>
    </w:p>
  </w:footnote>
  <w:footnote w:id="4">
    <w:p w:rsidR="00CE41F8" w:rsidRPr="00496A2E" w:rsidP="00CE41F8" w14:paraId="5FB66EF9" w14:textId="77777777">
      <w:pPr>
        <w:pStyle w:val="FootnoteText"/>
      </w:pPr>
      <w:r w:rsidRPr="00496A2E">
        <w:rPr>
          <w:rStyle w:val="FootnoteReference"/>
        </w:rPr>
        <w:footnoteRef/>
      </w:r>
      <w:r w:rsidRPr="00496A2E">
        <w:t xml:space="preserve"> 47 CFR § 1.50004(h)(2)</w:t>
      </w:r>
      <w:r>
        <w:t>.</w:t>
      </w:r>
    </w:p>
  </w:footnote>
  <w:footnote w:id="5">
    <w:p w:rsidR="00CE41F8" w:rsidRPr="00496A2E" w:rsidP="00CE41F8" w14:paraId="74CC228A" w14:textId="77777777">
      <w:pPr>
        <w:pStyle w:val="FootnoteText"/>
        <w:rPr>
          <w:color w:val="000000"/>
        </w:rPr>
      </w:pPr>
      <w:r w:rsidRPr="00496A2E">
        <w:rPr>
          <w:rStyle w:val="FootnoteReference"/>
          <w:color w:val="000000"/>
        </w:rPr>
        <w:footnoteRef/>
      </w:r>
      <w:r w:rsidRPr="00496A2E">
        <w:rPr>
          <w:color w:val="000000"/>
        </w:rPr>
        <w:t xml:space="preserve"> Secure and Trusted Communications Networks Act of 2019, Pub. L. No. 116-124, § 4(a)-(c), 134 Stat. 158 (2020) (codified as amended at 47 U.S.C. §§ 1601-1609)</w:t>
      </w:r>
      <w:r w:rsidRPr="00496A2E">
        <w:rPr>
          <w:color w:val="000000"/>
          <w:shd w:val="clear" w:color="auto" w:fill="FFFFFF"/>
        </w:rPr>
        <w:t>.</w:t>
      </w:r>
      <w:r w:rsidRPr="00496A2E">
        <w:rPr>
          <w:color w:val="000000"/>
        </w:rPr>
        <w:t xml:space="preserve">  The Commission adopted rules implementing the Secure Networks Act on December 10, 2020.  </w:t>
      </w:r>
      <w:r w:rsidRPr="00496A2E">
        <w:rPr>
          <w:i/>
          <w:iCs/>
        </w:rPr>
        <w:t>Protecting Against National Security Threats to the Communications</w:t>
      </w:r>
      <w:r w:rsidRPr="00496A2E">
        <w:rPr>
          <w:i/>
        </w:rPr>
        <w:t xml:space="preserve"> Supply Chain </w:t>
      </w:r>
      <w:r w:rsidRPr="00496A2E">
        <w:rPr>
          <w:i/>
          <w:iCs/>
        </w:rPr>
        <w:t>Through FCC Programs</w:t>
      </w:r>
      <w:r w:rsidRPr="00496A2E">
        <w:t xml:space="preserve">, WC Docket No. 18-89, Second Report and Order, 35 FCC </w:t>
      </w:r>
      <w:r w:rsidRPr="00496A2E">
        <w:t>Rcd</w:t>
      </w:r>
      <w:r w:rsidRPr="00496A2E">
        <w:t xml:space="preserve"> 14284 (2020) (</w:t>
      </w:r>
      <w:r w:rsidRPr="00496A2E">
        <w:rPr>
          <w:i/>
          <w:iCs/>
          <w:color w:val="000000"/>
        </w:rPr>
        <w:t>2020 Supply Chain Order</w:t>
      </w:r>
      <w:r w:rsidRPr="00496A2E">
        <w:rPr>
          <w:color w:val="000000"/>
        </w:rPr>
        <w:t xml:space="preserve">).  On July 13, 2021, the Commission amended its rules, consistent with amendments to the Secure Networks Act included in the Consolidated Appropriations Act, 2021.  </w:t>
      </w:r>
      <w:r w:rsidRPr="00496A2E">
        <w:rPr>
          <w:i/>
          <w:iCs/>
          <w:color w:val="000000"/>
        </w:rPr>
        <w:t>Protecting Against National Security Threats to the Communications Supply Chain Through FCC Programs</w:t>
      </w:r>
      <w:r w:rsidRPr="00496A2E">
        <w:rPr>
          <w:color w:val="000000"/>
        </w:rPr>
        <w:t xml:space="preserve">, WC Docket No. 18-89, Third Report and Order, 36 FCC </w:t>
      </w:r>
      <w:r w:rsidRPr="00496A2E">
        <w:rPr>
          <w:color w:val="000000"/>
        </w:rPr>
        <w:t>Rcd</w:t>
      </w:r>
      <w:r w:rsidRPr="00496A2E">
        <w:rPr>
          <w:color w:val="000000"/>
        </w:rPr>
        <w:t xml:space="preserve"> 11958, 11959, Appx. A (2021) (</w:t>
      </w:r>
      <w:r w:rsidRPr="00496A2E">
        <w:rPr>
          <w:i/>
          <w:iCs/>
          <w:color w:val="000000"/>
        </w:rPr>
        <w:t>2021 Supply Chain Order</w:t>
      </w:r>
      <w:r w:rsidRPr="00496A2E">
        <w:rPr>
          <w:color w:val="000000"/>
        </w:rPr>
        <w:t>).  The Commission later clarified that, for purposes of the Reimbursement Program, covered communications equipment or services is limited to the communications equipment or services produced or provided by Huawei or</w:t>
      </w:r>
      <w:r>
        <w:rPr>
          <w:color w:val="000000"/>
        </w:rPr>
        <w:t xml:space="preserve"> ZTE </w:t>
      </w:r>
      <w:r w:rsidRPr="00496A2E">
        <w:rPr>
          <w:color w:val="000000"/>
        </w:rPr>
        <w:t xml:space="preserve">that were obtained by providers on or before June 30, 2020.  </w:t>
      </w:r>
      <w:r w:rsidRPr="00496A2E">
        <w:rPr>
          <w:i/>
          <w:iCs/>
          <w:color w:val="000000"/>
        </w:rPr>
        <w:t>See</w:t>
      </w:r>
      <w:r w:rsidRPr="00496A2E">
        <w:rPr>
          <w:color w:val="000000"/>
        </w:rPr>
        <w:t xml:space="preserve"> </w:t>
      </w:r>
      <w:r w:rsidRPr="00496A2E">
        <w:rPr>
          <w:i/>
          <w:iCs/>
          <w:color w:val="000000"/>
        </w:rPr>
        <w:t>2021 Supply Chain Order</w:t>
      </w:r>
      <w:r w:rsidRPr="00496A2E">
        <w:rPr>
          <w:color w:val="000000"/>
        </w:rPr>
        <w:t xml:space="preserve">, 36 FCC </w:t>
      </w:r>
      <w:r w:rsidRPr="00496A2E">
        <w:rPr>
          <w:color w:val="000000"/>
        </w:rPr>
        <w:t>Rcd</w:t>
      </w:r>
      <w:r w:rsidRPr="00496A2E">
        <w:rPr>
          <w:color w:val="000000"/>
        </w:rPr>
        <w:t xml:space="preserve"> at 11965, Appx. A; </w:t>
      </w:r>
      <w:r w:rsidRPr="00496A2E">
        <w:rPr>
          <w:i/>
          <w:iCs/>
          <w:color w:val="000000"/>
        </w:rPr>
        <w:t>see also generally Protecting Against National Security Threats to the Communications Supply Chain Through FCC Programs – Huawei Designation</w:t>
      </w:r>
      <w:r w:rsidRPr="00496A2E">
        <w:rPr>
          <w:color w:val="000000"/>
        </w:rPr>
        <w:t xml:space="preserve">, PS Docket No. 19-351, Order, 35 FCC </w:t>
      </w:r>
      <w:r w:rsidRPr="00496A2E">
        <w:rPr>
          <w:color w:val="000000"/>
        </w:rPr>
        <w:t>Rcd</w:t>
      </w:r>
      <w:r w:rsidRPr="00496A2E">
        <w:rPr>
          <w:color w:val="000000"/>
        </w:rPr>
        <w:t xml:space="preserve"> 6604 (PSHSB 2020); </w:t>
      </w:r>
      <w:r w:rsidRPr="00496A2E">
        <w:rPr>
          <w:i/>
          <w:iCs/>
          <w:color w:val="000000"/>
        </w:rPr>
        <w:t>Protecting Against National Security Threats to the Communications Supply Chain Through FCC Programs – ZTE Designation</w:t>
      </w:r>
      <w:r w:rsidRPr="00496A2E">
        <w:rPr>
          <w:color w:val="000000"/>
        </w:rPr>
        <w:t xml:space="preserve">, PS Docket No. 19-352, Order, 35 FCC </w:t>
      </w:r>
      <w:r w:rsidRPr="00496A2E">
        <w:rPr>
          <w:color w:val="000000"/>
        </w:rPr>
        <w:t>Rcd</w:t>
      </w:r>
      <w:r w:rsidRPr="00496A2E">
        <w:rPr>
          <w:color w:val="000000"/>
        </w:rPr>
        <w:t xml:space="preserve"> 6633 (PSHSB 2020).</w:t>
      </w:r>
    </w:p>
  </w:footnote>
  <w:footnote w:id="6">
    <w:p w:rsidR="00CE41F8" w:rsidRPr="00496A2E" w:rsidP="00CE41F8" w14:paraId="56561167" w14:textId="77777777">
      <w:pPr>
        <w:pStyle w:val="FootnoteText"/>
        <w:rPr>
          <w:color w:val="000000"/>
        </w:rPr>
      </w:pPr>
      <w:r w:rsidRPr="00496A2E">
        <w:rPr>
          <w:rStyle w:val="FootnoteReference"/>
          <w:color w:val="000000"/>
        </w:rPr>
        <w:footnoteRef/>
      </w:r>
      <w:r w:rsidRPr="00496A2E">
        <w:rPr>
          <w:color w:val="000000"/>
        </w:rPr>
        <w:t xml:space="preserve"> 47 U.S.C. § 1603(k).</w:t>
      </w:r>
    </w:p>
  </w:footnote>
  <w:footnote w:id="7">
    <w:p w:rsidR="00CE41F8" w:rsidRPr="00496A2E" w:rsidP="00CE41F8" w14:paraId="3EE66D44" w14:textId="77777777">
      <w:pPr>
        <w:pStyle w:val="FootnoteText"/>
        <w:rPr>
          <w:color w:val="000000"/>
        </w:rPr>
      </w:pPr>
      <w:r w:rsidRPr="00496A2E">
        <w:rPr>
          <w:rStyle w:val="FootnoteReference"/>
          <w:color w:val="000000"/>
        </w:rPr>
        <w:footnoteRef/>
      </w:r>
      <w:r w:rsidRPr="00496A2E">
        <w:rPr>
          <w:color w:val="000000"/>
        </w:rPr>
        <w:t xml:space="preserve"> </w:t>
      </w:r>
      <w:r w:rsidRPr="00496A2E">
        <w:rPr>
          <w:i/>
          <w:iCs/>
          <w:color w:val="000000"/>
        </w:rPr>
        <w:t>See</w:t>
      </w:r>
      <w:r w:rsidRPr="00496A2E">
        <w:rPr>
          <w:color w:val="000000"/>
        </w:rPr>
        <w:t xml:space="preserve"> </w:t>
      </w:r>
      <w:r w:rsidRPr="00496A2E">
        <w:rPr>
          <w:i/>
          <w:iCs/>
          <w:color w:val="000000"/>
        </w:rPr>
        <w:t>Wireline Competition Bureau Announces the Grant of Applications for the Secure and Trusted Communications Networks Reimbursement Program</w:t>
      </w:r>
      <w:r w:rsidRPr="00496A2E">
        <w:rPr>
          <w:color w:val="000000"/>
        </w:rPr>
        <w:t>, WC Docket No. 18-89, Public Notice, DA 22-774, at 1-2 (WCB July 18, 2022) (</w:t>
      </w:r>
      <w:r w:rsidRPr="00496A2E">
        <w:rPr>
          <w:i/>
          <w:iCs/>
          <w:color w:val="000000"/>
        </w:rPr>
        <w:t>SCRP Granted Applications Public Notice</w:t>
      </w:r>
      <w:r w:rsidRPr="00496A2E">
        <w:rPr>
          <w:color w:val="000000"/>
        </w:rPr>
        <w:t>).</w:t>
      </w:r>
    </w:p>
  </w:footnote>
  <w:footnote w:id="8">
    <w:p w:rsidR="00CE41F8" w:rsidRPr="00496A2E" w:rsidP="00CE41F8" w14:paraId="28FAA32B" w14:textId="77777777">
      <w:pPr>
        <w:pStyle w:val="FootnoteText"/>
        <w:rPr>
          <w:color w:val="000000"/>
        </w:rPr>
      </w:pPr>
      <w:r w:rsidRPr="00496A2E">
        <w:rPr>
          <w:rStyle w:val="FootnoteReference"/>
          <w:color w:val="000000"/>
        </w:rPr>
        <w:footnoteRef/>
      </w:r>
      <w:r w:rsidRPr="00496A2E">
        <w:rPr>
          <w:color w:val="000000"/>
        </w:rPr>
        <w:t xml:space="preserve"> </w:t>
      </w:r>
      <w:r w:rsidRPr="00496A2E">
        <w:rPr>
          <w:i/>
          <w:iCs/>
          <w:color w:val="000000"/>
        </w:rPr>
        <w:t>See</w:t>
      </w:r>
      <w:r w:rsidRPr="00496A2E">
        <w:rPr>
          <w:i/>
          <w:color w:val="000000"/>
        </w:rPr>
        <w:t xml:space="preserve"> </w:t>
      </w:r>
      <w:r>
        <w:rPr>
          <w:iCs/>
          <w:color w:val="000000"/>
        </w:rPr>
        <w:t xml:space="preserve">47 U.S.C. § 1603(d)(5)(C); </w:t>
      </w:r>
      <w:r w:rsidRPr="00496A2E">
        <w:rPr>
          <w:color w:val="000000"/>
        </w:rPr>
        <w:t>47 CFR § 1.50004(f)(1)</w:t>
      </w:r>
      <w:r w:rsidRPr="00496A2E">
        <w:rPr>
          <w:color w:val="000000"/>
          <w:shd w:val="clear" w:color="auto" w:fill="FFFFFF"/>
        </w:rPr>
        <w:t xml:space="preserve">; </w:t>
      </w:r>
      <w:r w:rsidRPr="00496A2E">
        <w:rPr>
          <w:i/>
          <w:iCs/>
          <w:color w:val="000000"/>
        </w:rPr>
        <w:t>SCRP Granted Applications Public Notice</w:t>
      </w:r>
      <w:r w:rsidRPr="00496A2E">
        <w:rPr>
          <w:color w:val="000000"/>
        </w:rPr>
        <w:t xml:space="preserve"> at 2-3.</w:t>
      </w:r>
    </w:p>
  </w:footnote>
  <w:footnote w:id="9">
    <w:p w:rsidR="00CE41F8" w:rsidRPr="00496A2E" w:rsidP="00CE41F8" w14:paraId="32527DD1" w14:textId="77777777">
      <w:pPr>
        <w:pStyle w:val="FootnoteText"/>
        <w:rPr>
          <w:color w:val="000000"/>
        </w:rPr>
      </w:pPr>
      <w:r w:rsidRPr="00496A2E">
        <w:rPr>
          <w:rStyle w:val="FootnoteReference"/>
          <w:color w:val="000000"/>
        </w:rPr>
        <w:footnoteRef/>
      </w:r>
      <w:r w:rsidRPr="00496A2E">
        <w:rPr>
          <w:color w:val="000000"/>
        </w:rPr>
        <w:t xml:space="preserve"> </w:t>
      </w:r>
      <w:r>
        <w:rPr>
          <w:color w:val="000000"/>
        </w:rPr>
        <w:t>47 U.S.C. § 1603(d)(6)(A); 47 CFR § 1.50004(h).</w:t>
      </w:r>
    </w:p>
  </w:footnote>
  <w:footnote w:id="10">
    <w:p w:rsidR="00CE41F8" w:rsidRPr="00496A2E" w:rsidP="00CE41F8" w14:paraId="21B1828F" w14:textId="77777777">
      <w:pPr>
        <w:pStyle w:val="FootnoteText"/>
        <w:rPr>
          <w:color w:val="000000"/>
        </w:rPr>
      </w:pPr>
      <w:r w:rsidRPr="00496A2E">
        <w:rPr>
          <w:rStyle w:val="FootnoteReference"/>
          <w:color w:val="000000"/>
        </w:rPr>
        <w:footnoteRef/>
      </w:r>
      <w:r w:rsidRPr="00496A2E">
        <w:rPr>
          <w:color w:val="000000"/>
        </w:rPr>
        <w:t xml:space="preserve"> </w:t>
      </w:r>
      <w:r w:rsidRPr="00496A2E">
        <w:rPr>
          <w:i/>
          <w:iCs/>
          <w:color w:val="000000"/>
        </w:rPr>
        <w:t>See</w:t>
      </w:r>
      <w:r w:rsidRPr="00496A2E">
        <w:rPr>
          <w:color w:val="000000"/>
        </w:rPr>
        <w:t xml:space="preserve"> 47 </w:t>
      </w:r>
      <w:r>
        <w:rPr>
          <w:color w:val="000000"/>
        </w:rPr>
        <w:t>U.S.C.</w:t>
      </w:r>
      <w:r w:rsidRPr="00496A2E">
        <w:rPr>
          <w:color w:val="000000"/>
        </w:rPr>
        <w:t xml:space="preserve"> § 1603(d)(6)(C)</w:t>
      </w:r>
      <w:r>
        <w:rPr>
          <w:color w:val="000000"/>
        </w:rPr>
        <w:t xml:space="preserve">; </w:t>
      </w:r>
      <w:r w:rsidRPr="00496A2E">
        <w:rPr>
          <w:color w:val="000000"/>
        </w:rPr>
        <w:t>47 CFR § 1.50004(h)(2).</w:t>
      </w:r>
    </w:p>
  </w:footnote>
  <w:footnote w:id="11">
    <w:p w:rsidR="00CE41F8" w:rsidRPr="00496A2E" w:rsidP="00CE41F8" w14:paraId="31EA744D" w14:textId="77777777">
      <w:pPr>
        <w:pStyle w:val="FootnoteText"/>
        <w:rPr>
          <w:color w:val="000000"/>
        </w:rPr>
      </w:pPr>
      <w:r w:rsidRPr="00496A2E">
        <w:rPr>
          <w:rStyle w:val="FootnoteReference"/>
          <w:color w:val="000000"/>
        </w:rPr>
        <w:footnoteRef/>
      </w:r>
      <w:r w:rsidRPr="00496A2E">
        <w:rPr>
          <w:color w:val="000000"/>
        </w:rPr>
        <w:t xml:space="preserve"> 47 CFR § 1.50004(h)(2); </w:t>
      </w:r>
      <w:r w:rsidRPr="00496A2E">
        <w:rPr>
          <w:i/>
          <w:iCs/>
          <w:color w:val="000000"/>
        </w:rPr>
        <w:t>see also</w:t>
      </w:r>
      <w:r w:rsidRPr="00496A2E">
        <w:rPr>
          <w:color w:val="000000"/>
        </w:rPr>
        <w:t xml:space="preserve"> </w:t>
      </w:r>
      <w:r w:rsidRPr="00496A2E">
        <w:rPr>
          <w:i/>
          <w:iCs/>
          <w:color w:val="000000"/>
        </w:rPr>
        <w:t>2020 Supply Chain Order</w:t>
      </w:r>
      <w:r w:rsidRPr="00496A2E">
        <w:rPr>
          <w:color w:val="000000"/>
        </w:rPr>
        <w:t xml:space="preserve">, 35 FCC </w:t>
      </w:r>
      <w:r w:rsidRPr="00496A2E">
        <w:rPr>
          <w:color w:val="000000"/>
        </w:rPr>
        <w:t>Rcd</w:t>
      </w:r>
      <w:r w:rsidRPr="00496A2E">
        <w:rPr>
          <w:color w:val="000000"/>
        </w:rPr>
        <w:t xml:space="preserve"> at 14354-56, paras. 171, 173</w:t>
      </w:r>
      <w:r>
        <w:rPr>
          <w:color w:val="000000"/>
        </w:rPr>
        <w:t xml:space="preserve"> and n.501</w:t>
      </w:r>
      <w:r w:rsidRPr="00496A2E">
        <w:rPr>
          <w:color w:val="000000"/>
        </w:rPr>
        <w:t>.</w:t>
      </w:r>
    </w:p>
  </w:footnote>
  <w:footnote w:id="12">
    <w:p w:rsidR="00CE41F8" w:rsidRPr="00496A2E" w:rsidP="00CE41F8" w14:paraId="0A7C8B56" w14:textId="77777777">
      <w:pPr>
        <w:pStyle w:val="FootnoteText"/>
        <w:rPr>
          <w:color w:val="000000"/>
        </w:rPr>
      </w:pPr>
      <w:r w:rsidRPr="00496A2E">
        <w:rPr>
          <w:rStyle w:val="FootnoteReference"/>
          <w:color w:val="000000"/>
        </w:rPr>
        <w:footnoteRef/>
      </w:r>
      <w:r w:rsidRPr="00496A2E">
        <w:rPr>
          <w:color w:val="000000"/>
        </w:rPr>
        <w:t xml:space="preserve"> </w:t>
      </w:r>
      <w:r w:rsidRPr="00496A2E">
        <w:rPr>
          <w:i/>
          <w:iCs/>
          <w:color w:val="000000"/>
        </w:rPr>
        <w:t>See generally</w:t>
      </w:r>
      <w:r w:rsidRPr="00496A2E">
        <w:rPr>
          <w:color w:val="000000"/>
        </w:rPr>
        <w:t xml:space="preserve"> Petition.</w:t>
      </w:r>
    </w:p>
  </w:footnote>
  <w:footnote w:id="13">
    <w:p w:rsidR="00CE41F8" w:rsidRPr="00496A2E" w:rsidP="00CE41F8" w14:paraId="66FA2227" w14:textId="77777777">
      <w:pPr>
        <w:pStyle w:val="FootnoteText"/>
      </w:pPr>
      <w:r w:rsidRPr="00496A2E">
        <w:rPr>
          <w:rStyle w:val="FootnoteReference"/>
        </w:rPr>
        <w:footnoteRef/>
      </w:r>
      <w:r w:rsidRPr="00496A2E">
        <w:t xml:space="preserve"> </w:t>
      </w:r>
      <w:r w:rsidRPr="00A600E5">
        <w:rPr>
          <w:i/>
          <w:iCs/>
        </w:rPr>
        <w:t>Id.</w:t>
      </w:r>
      <w:r w:rsidRPr="00496A2E">
        <w:t xml:space="preserve"> at </w:t>
      </w:r>
      <w:r>
        <w:t>2</w:t>
      </w:r>
      <w:r w:rsidRPr="00496A2E">
        <w:t>.</w:t>
      </w:r>
    </w:p>
  </w:footnote>
  <w:footnote w:id="14">
    <w:p w:rsidR="00CE41F8" w:rsidRPr="00496A2E" w:rsidP="00CE41F8" w14:paraId="24FD300D" w14:textId="77777777">
      <w:pPr>
        <w:pStyle w:val="FootnoteText"/>
      </w:pPr>
      <w:r w:rsidRPr="00496A2E">
        <w:rPr>
          <w:rStyle w:val="FootnoteReference"/>
        </w:rPr>
        <w:footnoteRef/>
      </w:r>
      <w:r w:rsidRPr="00496A2E">
        <w:t xml:space="preserve"> </w:t>
      </w:r>
      <w:r w:rsidRPr="00D65F0C">
        <w:rPr>
          <w:i/>
          <w:iCs/>
        </w:rPr>
        <w:t>Id.</w:t>
      </w:r>
    </w:p>
  </w:footnote>
  <w:footnote w:id="15">
    <w:p w:rsidR="00CE41F8" w:rsidRPr="00CB6713" w:rsidP="00CE41F8" w14:paraId="20291C32" w14:textId="77777777">
      <w:pPr>
        <w:pStyle w:val="FootnoteText"/>
      </w:pPr>
      <w:r w:rsidRPr="00496A2E">
        <w:rPr>
          <w:rStyle w:val="FootnoteReference"/>
        </w:rPr>
        <w:footnoteRef/>
      </w:r>
      <w:r w:rsidRPr="00496A2E">
        <w:t xml:space="preserve"> </w:t>
      </w:r>
      <w:r w:rsidRPr="00CA5D49">
        <w:rPr>
          <w:i/>
          <w:iCs/>
        </w:rPr>
        <w:t>Protecting Against National Security Threats to the Communications Supply Chain Through FCC Programs</w:t>
      </w:r>
      <w:r w:rsidRPr="00CA5D49">
        <w:t>, WC Docket No. 18-89, Order, DA 23-1016</w:t>
      </w:r>
      <w:r>
        <w:t>, paras. 12-14</w:t>
      </w:r>
      <w:r w:rsidRPr="00CA5D49">
        <w:t xml:space="preserve"> (WCB Oct. 27, 2023)</w:t>
      </w:r>
      <w:r w:rsidRPr="00496A2E">
        <w:t xml:space="preserve">; </w:t>
      </w:r>
      <w:r w:rsidRPr="00496A2E">
        <w:rPr>
          <w:i/>
          <w:iCs/>
        </w:rPr>
        <w:t>Protecting Against National Security Threats to the Communications Supply Chain Through FCC Programs</w:t>
      </w:r>
      <w:r w:rsidRPr="00496A2E">
        <w:t>, WC Docket No. 18-89, Order, DA 23-938</w:t>
      </w:r>
      <w:r>
        <w:t>, paras. 12-15</w:t>
      </w:r>
      <w:r w:rsidRPr="00496A2E">
        <w:t xml:space="preserve"> (WCB Oct. 10, 2023)</w:t>
      </w:r>
      <w:r>
        <w:t>.</w:t>
      </w:r>
    </w:p>
  </w:footnote>
  <w:footnote w:id="16">
    <w:p w:rsidR="00CE41F8" w:rsidRPr="00496A2E" w:rsidP="00CE41F8" w14:paraId="642B69DA" w14:textId="77777777">
      <w:pPr>
        <w:pStyle w:val="FootnoteText"/>
        <w:rPr>
          <w:color w:val="000000"/>
        </w:rPr>
      </w:pPr>
      <w:r w:rsidRPr="00496A2E">
        <w:rPr>
          <w:rStyle w:val="FootnoteReference"/>
          <w:color w:val="000000"/>
        </w:rPr>
        <w:footnoteRef/>
      </w:r>
      <w:r w:rsidRPr="00496A2E">
        <w:rPr>
          <w:color w:val="000000"/>
        </w:rPr>
        <w:t xml:space="preserve"> 47 CFR § 1.50004(h)(2).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35790E" w14:textId="32394523">
    <w:pPr>
      <w:pStyle w:val="Header"/>
      <w:rPr>
        <w:b w:val="0"/>
      </w:rPr>
    </w:pPr>
    <w:r>
      <w:tab/>
      <w:t>Federal Communications Commission</w:t>
    </w:r>
    <w:r>
      <w:tab/>
    </w:r>
    <w:r w:rsidR="00471006">
      <w:t>DA 23-1196</w:t>
    </w:r>
  </w:p>
  <w:p w:rsidR="00D25FB5" w14:paraId="0D71E3F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542E7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DEF65B" w14:textId="6A2B223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71006">
      <w:rPr>
        <w:spacing w:val="-2"/>
      </w:rPr>
      <w:t>DA 23-1196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F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A4E12"/>
    <w:rsid w:val="002C00E8"/>
    <w:rsid w:val="00343749"/>
    <w:rsid w:val="003660ED"/>
    <w:rsid w:val="003B0550"/>
    <w:rsid w:val="003B694F"/>
    <w:rsid w:val="003F171C"/>
    <w:rsid w:val="00412FC5"/>
    <w:rsid w:val="00422276"/>
    <w:rsid w:val="004242F1"/>
    <w:rsid w:val="00445A00"/>
    <w:rsid w:val="00451B0F"/>
    <w:rsid w:val="00460EC4"/>
    <w:rsid w:val="00471006"/>
    <w:rsid w:val="00496A2E"/>
    <w:rsid w:val="004C2EE3"/>
    <w:rsid w:val="004E10E6"/>
    <w:rsid w:val="004E4A22"/>
    <w:rsid w:val="00511968"/>
    <w:rsid w:val="0055614C"/>
    <w:rsid w:val="00566D06"/>
    <w:rsid w:val="0059573F"/>
    <w:rsid w:val="005E14C2"/>
    <w:rsid w:val="00607BA5"/>
    <w:rsid w:val="0061180A"/>
    <w:rsid w:val="00626EB6"/>
    <w:rsid w:val="00655D03"/>
    <w:rsid w:val="00683388"/>
    <w:rsid w:val="00683F84"/>
    <w:rsid w:val="006A6A81"/>
    <w:rsid w:val="006F2016"/>
    <w:rsid w:val="006F7393"/>
    <w:rsid w:val="0070224F"/>
    <w:rsid w:val="007115F7"/>
    <w:rsid w:val="00785689"/>
    <w:rsid w:val="0079754B"/>
    <w:rsid w:val="007A1E6D"/>
    <w:rsid w:val="007B0EB2"/>
    <w:rsid w:val="00810B6F"/>
    <w:rsid w:val="00822CE0"/>
    <w:rsid w:val="00841AB1"/>
    <w:rsid w:val="008B5EEA"/>
    <w:rsid w:val="008C68F1"/>
    <w:rsid w:val="00921803"/>
    <w:rsid w:val="00926503"/>
    <w:rsid w:val="009726D8"/>
    <w:rsid w:val="00994125"/>
    <w:rsid w:val="009D7308"/>
    <w:rsid w:val="009F76DB"/>
    <w:rsid w:val="00A32C3B"/>
    <w:rsid w:val="00A45F4F"/>
    <w:rsid w:val="00A600A9"/>
    <w:rsid w:val="00A600E5"/>
    <w:rsid w:val="00AA55B7"/>
    <w:rsid w:val="00AA5B9E"/>
    <w:rsid w:val="00AB2407"/>
    <w:rsid w:val="00AB53DF"/>
    <w:rsid w:val="00AD10EB"/>
    <w:rsid w:val="00B07E5C"/>
    <w:rsid w:val="00B811F7"/>
    <w:rsid w:val="00BA5DC6"/>
    <w:rsid w:val="00BA6196"/>
    <w:rsid w:val="00BC6D8C"/>
    <w:rsid w:val="00C34006"/>
    <w:rsid w:val="00C36B4C"/>
    <w:rsid w:val="00C426B1"/>
    <w:rsid w:val="00C66160"/>
    <w:rsid w:val="00C721AC"/>
    <w:rsid w:val="00C90D6A"/>
    <w:rsid w:val="00CA247E"/>
    <w:rsid w:val="00CA5D49"/>
    <w:rsid w:val="00CA6D21"/>
    <w:rsid w:val="00CB6713"/>
    <w:rsid w:val="00CC72B6"/>
    <w:rsid w:val="00CE41F8"/>
    <w:rsid w:val="00D0218D"/>
    <w:rsid w:val="00D25FB5"/>
    <w:rsid w:val="00D44223"/>
    <w:rsid w:val="00D65F0C"/>
    <w:rsid w:val="00DA2529"/>
    <w:rsid w:val="00DB130A"/>
    <w:rsid w:val="00DB20E8"/>
    <w:rsid w:val="00DB2EBB"/>
    <w:rsid w:val="00DC10A1"/>
    <w:rsid w:val="00DC655F"/>
    <w:rsid w:val="00DD0B59"/>
    <w:rsid w:val="00DD7EBD"/>
    <w:rsid w:val="00DF62B6"/>
    <w:rsid w:val="00E07225"/>
    <w:rsid w:val="00E5409F"/>
    <w:rsid w:val="00E869BB"/>
    <w:rsid w:val="00E900E8"/>
    <w:rsid w:val="00EE6488"/>
    <w:rsid w:val="00F021FA"/>
    <w:rsid w:val="00F62E97"/>
    <w:rsid w:val="00F64209"/>
    <w:rsid w:val="00F75D3D"/>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6A322B"/>
  <w15:chartTrackingRefBased/>
  <w15:docId w15:val="{58AD984F-9398-4F5B-B3A7-91EF0D94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41F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uiPriority w:val="99"/>
    <w:rsid w:val="00CE41F8"/>
  </w:style>
  <w:style w:type="character" w:customStyle="1" w:styleId="eop">
    <w:name w:val="eop"/>
    <w:basedOn w:val="DefaultParagraphFont"/>
    <w:rsid w:val="00CE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18303079804/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