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36F7C" w:rsidP="00B824B8" w14:paraId="607FCA6E" w14:textId="62107049">
      <w:pPr>
        <w:jc w:val="right"/>
        <w:rPr>
          <w:b/>
          <w:sz w:val="24"/>
        </w:rPr>
      </w:pPr>
      <w:r>
        <w:rPr>
          <w:b/>
          <w:sz w:val="24"/>
        </w:rPr>
        <w:t>DA 23-</w:t>
      </w:r>
      <w:r w:rsidR="00711144">
        <w:rPr>
          <w:b/>
          <w:sz w:val="24"/>
        </w:rPr>
        <w:t>1191</w:t>
      </w:r>
    </w:p>
    <w:p w:rsidR="00136F7C" w:rsidP="00136F7C" w14:paraId="2185DB05" w14:textId="7878BE4B">
      <w:pPr>
        <w:spacing w:before="60"/>
        <w:jc w:val="right"/>
        <w:rPr>
          <w:b/>
          <w:sz w:val="24"/>
        </w:rPr>
      </w:pPr>
      <w:r>
        <w:rPr>
          <w:b/>
          <w:sz w:val="24"/>
        </w:rPr>
        <w:t xml:space="preserve">Released:  December </w:t>
      </w:r>
      <w:r w:rsidR="00711144">
        <w:rPr>
          <w:b/>
          <w:sz w:val="24"/>
        </w:rPr>
        <w:t>20</w:t>
      </w:r>
      <w:r>
        <w:rPr>
          <w:b/>
          <w:sz w:val="24"/>
        </w:rPr>
        <w:t>, 2023</w:t>
      </w:r>
    </w:p>
    <w:p w:rsidR="00136F7C" w:rsidP="00136F7C" w14:paraId="2730085D" w14:textId="77777777">
      <w:pPr>
        <w:jc w:val="right"/>
        <w:rPr>
          <w:sz w:val="24"/>
          <w:szCs w:val="24"/>
        </w:rPr>
      </w:pPr>
    </w:p>
    <w:p w:rsidR="00136F7C" w:rsidP="00136F7C" w14:paraId="78BD9E70" w14:textId="77777777">
      <w:pPr>
        <w:widowControl/>
        <w:spacing w:after="240"/>
        <w:jc w:val="center"/>
        <w:rPr>
          <w:rFonts w:ascii="Times New Roman Bold" w:hAnsi="Times New Roman Bold"/>
          <w:b/>
          <w:caps/>
          <w:sz w:val="24"/>
          <w:szCs w:val="24"/>
        </w:rPr>
      </w:pPr>
      <w:r>
        <w:rPr>
          <w:b/>
          <w:sz w:val="24"/>
          <w:szCs w:val="24"/>
        </w:rPr>
        <w:t xml:space="preserve">WIRELINE COMPETITION BUREAU SEEKS COMMENT ON JOINT PETITION OF UNITED TELEPHONE ASSOCIATION, INC. AND PANHANDLE TELEPHONE COOPERATIVE, INC. FOR WAIVER OF PART 36 AND SECTIONS 51.909(a), AND 51.917(b)(1) AND (b)(7) OF THE COMMISSION’S RULES </w:t>
      </w:r>
    </w:p>
    <w:p w:rsidR="00136F7C" w:rsidP="00136F7C" w14:paraId="1D7439E8" w14:textId="77777777">
      <w:pPr>
        <w:jc w:val="center"/>
        <w:rPr>
          <w:b/>
          <w:sz w:val="24"/>
        </w:rPr>
      </w:pPr>
      <w:r>
        <w:rPr>
          <w:b/>
          <w:sz w:val="24"/>
        </w:rPr>
        <w:t>WC Docket Nos. 23-255 and 10-90</w:t>
      </w:r>
    </w:p>
    <w:p w:rsidR="00136F7C" w:rsidP="00136F7C" w14:paraId="0EDE3FA4" w14:textId="77777777">
      <w:pPr>
        <w:jc w:val="center"/>
        <w:rPr>
          <w:b/>
          <w:sz w:val="24"/>
        </w:rPr>
      </w:pPr>
    </w:p>
    <w:p w:rsidR="00136F7C" w:rsidP="00136F7C" w14:paraId="7F3C3F8E" w14:textId="77777777">
      <w:pPr>
        <w:jc w:val="center"/>
        <w:rPr>
          <w:b/>
          <w:sz w:val="24"/>
        </w:rPr>
      </w:pPr>
      <w:r>
        <w:rPr>
          <w:b/>
          <w:sz w:val="24"/>
        </w:rPr>
        <w:t>CC Docket No. 96-45</w:t>
      </w:r>
    </w:p>
    <w:p w:rsidR="00136F7C" w:rsidP="00136F7C" w14:paraId="455F27A4" w14:textId="77777777">
      <w:pPr>
        <w:jc w:val="center"/>
        <w:rPr>
          <w:b/>
          <w:sz w:val="24"/>
        </w:rPr>
      </w:pPr>
    </w:p>
    <w:p w:rsidR="00136F7C" w:rsidP="00136F7C" w14:paraId="6E809E8F" w14:textId="5FD5DF6A">
      <w:pPr>
        <w:widowControl/>
        <w:rPr>
          <w:b/>
          <w:szCs w:val="22"/>
        </w:rPr>
      </w:pPr>
      <w:r>
        <w:rPr>
          <w:b/>
          <w:szCs w:val="22"/>
        </w:rPr>
        <w:t xml:space="preserve">Comments Due: </w:t>
      </w:r>
      <w:r w:rsidR="004B1D62">
        <w:rPr>
          <w:b/>
          <w:szCs w:val="22"/>
        </w:rPr>
        <w:t>January 3, 2024</w:t>
      </w:r>
    </w:p>
    <w:p w:rsidR="00136F7C" w:rsidP="00136F7C" w14:paraId="574FC7F0" w14:textId="795DFA51">
      <w:pPr>
        <w:widowControl/>
        <w:rPr>
          <w:b/>
          <w:szCs w:val="22"/>
        </w:rPr>
      </w:pPr>
      <w:r>
        <w:rPr>
          <w:b/>
          <w:szCs w:val="22"/>
        </w:rPr>
        <w:t xml:space="preserve">Reply Comments Due: </w:t>
      </w:r>
      <w:r w:rsidR="00711144">
        <w:rPr>
          <w:b/>
          <w:szCs w:val="22"/>
        </w:rPr>
        <w:t>January 10, 2024</w:t>
      </w:r>
    </w:p>
    <w:p w:rsidR="00136F7C" w:rsidP="00136F7C" w14:paraId="2AB622EC" w14:textId="77777777">
      <w:pPr>
        <w:widowControl/>
        <w:rPr>
          <w:b/>
          <w:szCs w:val="22"/>
        </w:rPr>
      </w:pPr>
    </w:p>
    <w:p w:rsidR="00136F7C" w:rsidP="00136F7C" w14:paraId="28667E52" w14:textId="77777777">
      <w:pPr>
        <w:widowControl/>
        <w:autoSpaceDE w:val="0"/>
        <w:autoSpaceDN w:val="0"/>
        <w:adjustRightInd w:val="0"/>
        <w:spacing w:after="120"/>
        <w:ind w:firstLine="720"/>
        <w:rPr>
          <w:szCs w:val="22"/>
        </w:rPr>
      </w:pPr>
      <w:r>
        <w:rPr>
          <w:szCs w:val="22"/>
        </w:rPr>
        <w:t>The Wireline Competition Bureau (Bureau) seeks comment on the joint petition of United Telephone Association, Inc. (United) and Panhandle Telephone Cooperative, Inc. (Panhandle) (together, Petitioners) for waiver of the definition of “study area” contained in the Appendix-Glossary of part 36 of the Commission’s rules.</w:t>
      </w:r>
      <w:r>
        <w:rPr>
          <w:rStyle w:val="FootnoteReference"/>
          <w:szCs w:val="22"/>
        </w:rPr>
        <w:footnoteReference w:id="3"/>
      </w:r>
      <w:r>
        <w:rPr>
          <w:szCs w:val="22"/>
        </w:rPr>
        <w:t xml:space="preserve">  The Petitioners state the purpose of the waiver is to permit the assignment of the South Englewood telephone exchange and associated customer base in Oklahoma from the United study area to Panhandle’s existing study area.</w:t>
      </w:r>
      <w:r>
        <w:rPr>
          <w:rStyle w:val="FootnoteReference"/>
          <w:szCs w:val="22"/>
        </w:rPr>
        <w:footnoteReference w:id="4"/>
      </w:r>
      <w:r>
        <w:rPr>
          <w:szCs w:val="22"/>
        </w:rPr>
        <w:t xml:space="preserve">  The Petitioners further request a waiver of sections 51.909(a), </w:t>
      </w:r>
      <w:bookmarkStart w:id="0" w:name="_Hlk153213360"/>
      <w:r>
        <w:rPr>
          <w:szCs w:val="22"/>
        </w:rPr>
        <w:t>51.917(b)(</w:t>
      </w:r>
      <w:bookmarkEnd w:id="0"/>
      <w:r>
        <w:rPr>
          <w:szCs w:val="22"/>
        </w:rPr>
        <w:t>1), and 51.917(b)(7) of the Commission’s rules to allow them to adjust their Access Recovery Charges, Connect America Fund Intercarrier Compensation support, and reciprocal compensation and switched access rate caps.</w:t>
      </w:r>
      <w:r>
        <w:rPr>
          <w:rStyle w:val="FootnoteReference"/>
          <w:szCs w:val="22"/>
        </w:rPr>
        <w:footnoteReference w:id="5"/>
      </w:r>
      <w:r>
        <w:rPr>
          <w:szCs w:val="22"/>
        </w:rPr>
        <w:t xml:space="preserve">  </w:t>
      </w:r>
    </w:p>
    <w:p w:rsidR="00136F7C" w:rsidP="00136F7C" w14:paraId="7F08C74F" w14:textId="77777777">
      <w:pPr>
        <w:widowControl/>
        <w:spacing w:after="120"/>
        <w:ind w:firstLine="720"/>
        <w:rPr>
          <w:szCs w:val="22"/>
        </w:rPr>
      </w:pPr>
      <w:r>
        <w:rPr>
          <w:szCs w:val="22"/>
        </w:rPr>
        <w:t xml:space="preserve">In the </w:t>
      </w:r>
      <w:r>
        <w:rPr>
          <w:i/>
          <w:szCs w:val="22"/>
        </w:rPr>
        <w:t>USF/ICC Transformation Order</w:t>
      </w:r>
      <w:r>
        <w:rPr>
          <w:szCs w:val="22"/>
        </w:rPr>
        <w:t xml:space="preserve">, the Commission streamlined its rules governing part 36 study area waiver requests, creating a method similar to the Bureau’s processing of routine section 214 </w:t>
      </w:r>
      <w:r>
        <w:rPr>
          <w:szCs w:val="22"/>
        </w:rPr>
        <w:t>transfer of control applications.</w:t>
      </w:r>
      <w:r>
        <w:rPr>
          <w:rStyle w:val="FootnoteReference"/>
          <w:szCs w:val="22"/>
        </w:rPr>
        <w:footnoteReference w:id="6"/>
      </w:r>
      <w:r>
        <w:rPr>
          <w:szCs w:val="22"/>
        </w:rPr>
        <w:t xml:space="preserve">  In the past, the procedures for addressing petitions for study area waivers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7"/>
      </w:r>
      <w:r>
        <w:rPr>
          <w:szCs w:val="22"/>
        </w:rPr>
        <w:t xml:space="preserve">  Based on an initial review, however, the Bureau finds that because of the policy issues raised by the Petition, it is inappropriate for streamlined treatment and should be subject to further analysis and review.  Accordingly, the Bureau will issue an order either granting or denying the Petition after considering the record, including any comments filed in response to this Public Notice. </w:t>
      </w:r>
    </w:p>
    <w:p w:rsidR="00136F7C" w:rsidP="00136F7C" w14:paraId="0ED31265" w14:textId="77777777">
      <w:pPr>
        <w:widowControl/>
        <w:spacing w:after="120"/>
        <w:ind w:firstLine="720"/>
        <w:rPr>
          <w:szCs w:val="22"/>
        </w:rPr>
      </w:pPr>
      <w:r>
        <w:rPr>
          <w:i/>
          <w:iCs/>
          <w:szCs w:val="22"/>
        </w:rPr>
        <w:t xml:space="preserve">Filing Requirements.  </w:t>
      </w:r>
      <w:r>
        <w:rPr>
          <w:szCs w:val="22"/>
        </w:rPr>
        <w:t>Interested parties may file comments on or before the date indicated on the first page of this document.</w:t>
      </w:r>
      <w:r>
        <w:rPr>
          <w:szCs w:val="22"/>
          <w:vertAlign w:val="superscript"/>
        </w:rPr>
        <w:footnoteReference w:id="8"/>
      </w:r>
      <w:r>
        <w:rPr>
          <w:szCs w:val="22"/>
        </w:rPr>
        <w:t xml:space="preserve">  All filings must refer to </w:t>
      </w:r>
      <w:r>
        <w:rPr>
          <w:b/>
          <w:bCs/>
          <w:szCs w:val="22"/>
        </w:rPr>
        <w:t>WC Docket Nos. 23-255 and 10-90 and CC Docket No. 96-45</w:t>
      </w:r>
      <w:r>
        <w:rPr>
          <w:szCs w:val="22"/>
        </w:rPr>
        <w:t>.</w:t>
      </w:r>
      <w:r>
        <w:rPr>
          <w:szCs w:val="22"/>
          <w:vertAlign w:val="superscript"/>
        </w:rPr>
        <w:footnoteReference w:id="9"/>
      </w:r>
      <w:r>
        <w:rPr>
          <w:szCs w:val="22"/>
        </w:rPr>
        <w:t xml:space="preserve">  </w:t>
      </w:r>
    </w:p>
    <w:p w:rsidR="00136F7C" w:rsidP="00136F7C" w14:paraId="5275675C" w14:textId="77777777">
      <w:pPr>
        <w:widowControl/>
        <w:numPr>
          <w:ilvl w:val="0"/>
          <w:numId w:val="8"/>
        </w:numPr>
        <w:spacing w:after="120"/>
        <w:rPr>
          <w:szCs w:val="22"/>
        </w:rPr>
      </w:pPr>
      <w:r>
        <w:rPr>
          <w:szCs w:val="22"/>
        </w:rPr>
        <w:t xml:space="preserve">Electronic Filers:  Comments may be filed electronically using the Commission’s online Electronic Comment Filing System (ECFS):  </w:t>
      </w:r>
      <w:r>
        <w:rPr>
          <w:szCs w:val="22"/>
          <w:u w:val="single"/>
        </w:rPr>
        <w:t>https://www.fcc.gov/ecfs/</w:t>
      </w:r>
      <w:r>
        <w:rPr>
          <w:szCs w:val="22"/>
        </w:rPr>
        <w:t>.</w:t>
      </w:r>
      <w:r>
        <w:rPr>
          <w:szCs w:val="22"/>
          <w:vertAlign w:val="superscript"/>
        </w:rPr>
        <w:footnoteReference w:id="10"/>
      </w:r>
      <w:r>
        <w:rPr>
          <w:szCs w:val="22"/>
        </w:rPr>
        <w:t>   </w:t>
      </w:r>
    </w:p>
    <w:p w:rsidR="00136F7C" w:rsidP="00136F7C" w14:paraId="7D0B16E0" w14:textId="77777777">
      <w:pPr>
        <w:widowControl/>
        <w:numPr>
          <w:ilvl w:val="0"/>
          <w:numId w:val="8"/>
        </w:numPr>
        <w:spacing w:after="120"/>
        <w:rPr>
          <w:szCs w:val="22"/>
        </w:rPr>
      </w:pPr>
      <w:r>
        <w:rPr>
          <w:szCs w:val="22"/>
        </w:rPr>
        <w:t>Paper Filers:  Parties who choose to file by paper must file an original and one copy of each filing. </w:t>
      </w:r>
    </w:p>
    <w:p w:rsidR="00136F7C" w:rsidP="00136F7C" w14:paraId="2D798324" w14:textId="77777777">
      <w:pPr>
        <w:widowControl/>
        <w:numPr>
          <w:ilvl w:val="0"/>
          <w:numId w:val="9"/>
        </w:numPr>
        <w:tabs>
          <w:tab w:val="num" w:pos="720"/>
        </w:tabs>
        <w:spacing w:after="120"/>
        <w:rPr>
          <w:szCs w:val="22"/>
        </w:rPr>
      </w:pPr>
      <w:r>
        <w:rPr>
          <w:szCs w:val="22"/>
        </w:rPr>
        <w:t>Filings can be sent by commercial overnight courier, or by first-class or overnight U.S. Postal Service mail.  All filings must be addressed to the Commission’s Secretary, Office of the Secretary, Federal Communications Commission. </w:t>
      </w:r>
    </w:p>
    <w:p w:rsidR="00136F7C" w:rsidP="00136F7C" w14:paraId="29A8C7FB" w14:textId="77777777">
      <w:pPr>
        <w:widowControl/>
        <w:numPr>
          <w:ilvl w:val="0"/>
          <w:numId w:val="9"/>
        </w:numPr>
        <w:tabs>
          <w:tab w:val="num" w:pos="720"/>
        </w:tabs>
        <w:spacing w:after="120"/>
        <w:rPr>
          <w:szCs w:val="22"/>
        </w:rPr>
      </w:pPr>
      <w:r>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136F7C" w:rsidP="00136F7C" w14:paraId="4B0CC219" w14:textId="77777777">
      <w:pPr>
        <w:widowControl/>
        <w:numPr>
          <w:ilvl w:val="0"/>
          <w:numId w:val="9"/>
        </w:numPr>
        <w:tabs>
          <w:tab w:val="num" w:pos="720"/>
        </w:tabs>
        <w:spacing w:after="120"/>
        <w:rPr>
          <w:szCs w:val="22"/>
        </w:rPr>
      </w:pPr>
      <w:r>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szCs w:val="22"/>
          <w:vertAlign w:val="superscript"/>
        </w:rPr>
        <w:footnoteReference w:id="11"/>
      </w:r>
    </w:p>
    <w:p w:rsidR="00136F7C" w:rsidP="00136F7C" w14:paraId="437F11B9" w14:textId="77777777">
      <w:pPr>
        <w:widowControl/>
        <w:spacing w:after="120"/>
        <w:ind w:firstLine="720"/>
        <w:rPr>
          <w:szCs w:val="22"/>
        </w:rPr>
      </w:pPr>
      <w:r>
        <w:rPr>
          <w:i/>
          <w:iCs/>
          <w:szCs w:val="22"/>
        </w:rPr>
        <w:t>People with Disabilities</w:t>
      </w:r>
      <w:r>
        <w:rPr>
          <w:szCs w:val="22"/>
        </w:rPr>
        <w:t>.  To request materials in accessible formats for people with disabilities (braille, large print, electronic files, audio format), send an e-mail to fcc504@fcc.gov or call the Consumer &amp; Governmental Affairs Bureau at 202-418-0530 (voice), 202-418-0432 (</w:t>
      </w:r>
      <w:r>
        <w:rPr>
          <w:szCs w:val="22"/>
        </w:rPr>
        <w:t>tty</w:t>
      </w:r>
      <w:r>
        <w:rPr>
          <w:szCs w:val="22"/>
        </w:rPr>
        <w:t xml:space="preserve">). </w:t>
      </w:r>
    </w:p>
    <w:p w:rsidR="00136F7C" w:rsidP="00136F7C" w14:paraId="7CD7BB79" w14:textId="77777777">
      <w:pPr>
        <w:widowControl/>
        <w:spacing w:after="120"/>
        <w:ind w:firstLine="720"/>
        <w:rPr>
          <w:szCs w:val="22"/>
        </w:rPr>
      </w:pPr>
      <w:r>
        <w:rPr>
          <w:i/>
          <w:iCs/>
          <w:szCs w:val="22"/>
        </w:rPr>
        <w:t>Availability of Documents</w:t>
      </w:r>
      <w:r>
        <w:rPr>
          <w:szCs w:val="22"/>
        </w:rPr>
        <w:t xml:space="preserve">.  Comments, reply comments, and </w:t>
      </w:r>
      <w:r>
        <w:rPr>
          <w:i/>
          <w:szCs w:val="22"/>
        </w:rPr>
        <w:t xml:space="preserve">ex </w:t>
      </w:r>
      <w:r>
        <w:rPr>
          <w:i/>
          <w:szCs w:val="22"/>
        </w:rPr>
        <w:t>parte</w:t>
      </w:r>
      <w:r>
        <w:rPr>
          <w:szCs w:val="22"/>
        </w:rPr>
        <w:t xml:space="preserve"> submissions will be publicly available online via ECFS.</w:t>
      </w:r>
      <w:r>
        <w:rPr>
          <w:rStyle w:val="FootnoteReference"/>
          <w:szCs w:val="22"/>
        </w:rPr>
        <w:footnoteReference w:id="12"/>
      </w:r>
      <w:r>
        <w:rPr>
          <w:szCs w:val="22"/>
        </w:rPr>
        <w:t xml:space="preserve">  </w:t>
      </w:r>
    </w:p>
    <w:p w:rsidR="00136F7C" w:rsidP="00136F7C" w14:paraId="7B4005EB" w14:textId="77777777">
      <w:pPr>
        <w:spacing w:after="120"/>
        <w:ind w:firstLine="720"/>
        <w:rPr>
          <w:szCs w:val="22"/>
        </w:rPr>
      </w:pPr>
      <w:r>
        <w:rPr>
          <w:i/>
          <w:iCs/>
          <w:szCs w:val="22"/>
        </w:rPr>
        <w:t xml:space="preserve">Permit but Disclose Ex </w:t>
      </w:r>
      <w:r>
        <w:rPr>
          <w:i/>
          <w:iCs/>
          <w:szCs w:val="22"/>
        </w:rPr>
        <w:t>Parte</w:t>
      </w:r>
      <w:r>
        <w:rPr>
          <w:i/>
          <w:iCs/>
          <w:szCs w:val="22"/>
        </w:rPr>
        <w:t xml:space="preserve"> Communications.</w:t>
      </w:r>
      <w:r>
        <w:rPr>
          <w:szCs w:val="22"/>
        </w:rPr>
        <w:t xml:space="preserve">  For the purposes of the Commission’s </w:t>
      </w:r>
      <w:r>
        <w:rPr>
          <w:i/>
          <w:szCs w:val="22"/>
        </w:rPr>
        <w:t xml:space="preserve">ex </w:t>
      </w:r>
      <w:r>
        <w:rPr>
          <w:i/>
          <w:szCs w:val="22"/>
        </w:rPr>
        <w:t>parte</w:t>
      </w:r>
      <w:r>
        <w:rPr>
          <w:szCs w:val="22"/>
        </w:rPr>
        <w:t xml:space="preserve"> rules, each petition addressed within this Public Notice will be treated as initiating a permit-but-disclose proceeding under the Commission’s rules.</w:t>
      </w:r>
      <w:r>
        <w:rPr>
          <w:szCs w:val="22"/>
          <w:vertAlign w:val="superscript"/>
        </w:rPr>
        <w:footnoteReference w:id="13"/>
      </w:r>
      <w:r>
        <w:rPr>
          <w:szCs w:val="22"/>
        </w:rPr>
        <w:t xml:space="preserve">  Persons making </w:t>
      </w:r>
      <w:r>
        <w:rPr>
          <w:i/>
          <w:szCs w:val="22"/>
        </w:rPr>
        <w:t xml:space="preserve">ex </w:t>
      </w:r>
      <w:r>
        <w:rPr>
          <w:i/>
          <w:szCs w:val="22"/>
        </w:rPr>
        <w:t>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14"/>
      </w:r>
      <w:r>
        <w:rPr>
          <w:szCs w:val="22"/>
        </w:rPr>
        <w:t xml:space="preserve">  Persons making oral </w:t>
      </w:r>
      <w:r>
        <w:rPr>
          <w:i/>
          <w:szCs w:val="22"/>
        </w:rPr>
        <w:t xml:space="preserve">ex </w:t>
      </w:r>
      <w:r>
        <w:rPr>
          <w:i/>
          <w:szCs w:val="22"/>
        </w:rPr>
        <w:t>parte</w:t>
      </w:r>
      <w:r>
        <w:rPr>
          <w:szCs w:val="22"/>
        </w:rPr>
        <w:t xml:space="preserve"> presentations are reminded that memoranda summarizing the presentation must (1) list all persons attending or otherwise participating in the meeting at which the </w:t>
      </w:r>
      <w:r>
        <w:rPr>
          <w:i/>
          <w:szCs w:val="22"/>
        </w:rPr>
        <w:t xml:space="preserve">ex </w:t>
      </w:r>
      <w:r>
        <w:rPr>
          <w:i/>
          <w:szCs w:val="22"/>
        </w:rPr>
        <w:t>parte</w:t>
      </w:r>
      <w:r>
        <w:rPr>
          <w:szCs w:val="22"/>
        </w:rPr>
        <w:t xml:space="preserve"> presentation was made, and (2) summarize all data presented and arguments made during the presentation.</w:t>
      </w:r>
      <w:r>
        <w:rPr>
          <w:szCs w:val="22"/>
          <w:vertAlign w:val="superscript"/>
        </w:rPr>
        <w:footnoteReference w:id="15"/>
      </w:r>
      <w:r>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16"/>
      </w:r>
      <w:r>
        <w:rPr>
          <w:szCs w:val="22"/>
        </w:rPr>
        <w:t xml:space="preserve">  Documents shown or given to Commission staff during </w:t>
      </w:r>
      <w:r>
        <w:rPr>
          <w:i/>
          <w:szCs w:val="22"/>
        </w:rPr>
        <w:t xml:space="preserve">ex </w:t>
      </w:r>
      <w:r>
        <w:rPr>
          <w:i/>
          <w:szCs w:val="22"/>
        </w:rPr>
        <w:t>parte</w:t>
      </w:r>
      <w:r>
        <w:rPr>
          <w:szCs w:val="22"/>
        </w:rPr>
        <w:t xml:space="preserve"> meetings are deemed to be written </w:t>
      </w:r>
      <w:r>
        <w:rPr>
          <w:i/>
          <w:szCs w:val="22"/>
        </w:rPr>
        <w:t xml:space="preserve">ex </w:t>
      </w:r>
      <w:r>
        <w:rPr>
          <w:i/>
          <w:szCs w:val="22"/>
        </w:rPr>
        <w:t>parte</w:t>
      </w:r>
      <w:r>
        <w:rPr>
          <w:szCs w:val="22"/>
        </w:rPr>
        <w:t xml:space="preserve"> presentations and must be filed consistent with rule 1.1206(b).</w:t>
      </w:r>
      <w:r>
        <w:rPr>
          <w:szCs w:val="22"/>
          <w:vertAlign w:val="superscript"/>
        </w:rPr>
        <w:footnoteReference w:id="17"/>
      </w:r>
      <w:r>
        <w:rPr>
          <w:szCs w:val="22"/>
        </w:rPr>
        <w:t xml:space="preserve">  In proceedings governed by rule 1.49(f) or for which the Commission has made available a method of electronic filing, written </w:t>
      </w:r>
      <w:r>
        <w:rPr>
          <w:i/>
          <w:szCs w:val="22"/>
        </w:rPr>
        <w:t xml:space="preserve">ex </w:t>
      </w:r>
      <w:r>
        <w:rPr>
          <w:i/>
          <w:szCs w:val="22"/>
        </w:rPr>
        <w:t>parte</w:t>
      </w:r>
      <w:r>
        <w:rPr>
          <w:szCs w:val="22"/>
        </w:rPr>
        <w:t xml:space="preserve"> presentations and memoranda summarizing oral </w:t>
      </w:r>
      <w:r>
        <w:rPr>
          <w:i/>
          <w:szCs w:val="22"/>
        </w:rPr>
        <w:t xml:space="preserve">ex </w:t>
      </w:r>
      <w:r>
        <w:rPr>
          <w:i/>
          <w:szCs w:val="22"/>
        </w:rPr>
        <w:t>parte</w:t>
      </w:r>
      <w:r>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8"/>
      </w:r>
      <w:r>
        <w:rPr>
          <w:szCs w:val="22"/>
        </w:rPr>
        <w:t xml:space="preserve">  Participants in this proceeding should familiarize themselves with the Commission’s </w:t>
      </w:r>
      <w:r>
        <w:rPr>
          <w:i/>
          <w:szCs w:val="22"/>
        </w:rPr>
        <w:t xml:space="preserve">ex </w:t>
      </w:r>
      <w:r>
        <w:rPr>
          <w:i/>
          <w:szCs w:val="22"/>
        </w:rPr>
        <w:t>parte</w:t>
      </w:r>
      <w:r>
        <w:rPr>
          <w:szCs w:val="22"/>
        </w:rPr>
        <w:t xml:space="preserve"> rules.</w:t>
      </w:r>
    </w:p>
    <w:p w:rsidR="00136F7C" w:rsidP="00136F7C" w14:paraId="622FF70A" w14:textId="77777777">
      <w:pPr>
        <w:widowControl/>
        <w:spacing w:after="120"/>
        <w:ind w:firstLine="720"/>
        <w:rPr>
          <w:szCs w:val="22"/>
        </w:rPr>
      </w:pPr>
      <w:r>
        <w:rPr>
          <w:szCs w:val="22"/>
        </w:rPr>
        <w:t xml:space="preserve">For further information, please contact William Layton, Telecommunications Access Policy Division, Wireline Competition Bureau at </w:t>
      </w:r>
      <w:hyperlink r:id="rId5" w:history="1">
        <w:r>
          <w:rPr>
            <w:rStyle w:val="Hyperlink"/>
            <w:szCs w:val="22"/>
          </w:rPr>
          <w:t>william.layton@fcc.gov</w:t>
        </w:r>
      </w:hyperlink>
      <w:r>
        <w:rPr>
          <w:szCs w:val="22"/>
        </w:rPr>
        <w:t xml:space="preserve"> or Lynne Engledow, Pricing Policy Division, Wireline Competition Bureau at </w:t>
      </w:r>
      <w:hyperlink r:id="rId6" w:history="1">
        <w:r>
          <w:rPr>
            <w:rStyle w:val="Hyperlink"/>
            <w:szCs w:val="22"/>
          </w:rPr>
          <w:t>lynne.engledow@fcc.gov</w:t>
        </w:r>
      </w:hyperlink>
      <w:r>
        <w:rPr>
          <w:szCs w:val="22"/>
        </w:rPr>
        <w:t xml:space="preserve">. </w:t>
      </w:r>
    </w:p>
    <w:p w:rsidR="00136F7C" w:rsidP="00136F7C" w14:paraId="65251F69" w14:textId="77777777">
      <w:pPr>
        <w:widowControl/>
        <w:spacing w:after="120"/>
        <w:ind w:firstLine="720"/>
        <w:rPr>
          <w:szCs w:val="22"/>
        </w:rPr>
      </w:pPr>
    </w:p>
    <w:p w:rsidR="00136F7C" w:rsidP="00136F7C" w14:paraId="5C32E4BF" w14:textId="77777777">
      <w:pPr>
        <w:widowControl/>
        <w:spacing w:after="120"/>
        <w:jc w:val="center"/>
        <w:rPr>
          <w:b/>
          <w:szCs w:val="22"/>
        </w:rPr>
      </w:pPr>
      <w:r>
        <w:rPr>
          <w:b/>
          <w:szCs w:val="22"/>
        </w:rPr>
        <w:t>- FCC -</w:t>
      </w:r>
    </w:p>
    <w:p w:rsidR="00136F7C" w:rsidP="00136F7C" w14:paraId="277E58EB" w14:textId="77777777">
      <w:pPr>
        <w:widowControl/>
        <w:spacing w:after="120"/>
        <w:rPr>
          <w:szCs w:val="22"/>
        </w:rPr>
      </w:pPr>
    </w:p>
    <w:p w:rsidR="00136F7C" w:rsidP="00136F7C" w14:paraId="3525E791" w14:textId="77777777">
      <w:pPr>
        <w:spacing w:after="120"/>
        <w:jc w:val="center"/>
        <w:rPr>
          <w:b/>
          <w:szCs w:val="22"/>
        </w:rPr>
      </w:pPr>
    </w:p>
    <w:p w:rsidR="00136F7C" w:rsidP="00136F7C" w14:paraId="0A31885C" w14:textId="77777777">
      <w:pPr>
        <w:spacing w:after="120"/>
        <w:rPr>
          <w:szCs w:val="22"/>
        </w:rPr>
      </w:pPr>
    </w:p>
    <w:p w:rsidR="00136F7C" w:rsidP="00136F7C" w14:paraId="2948ED5E" w14:textId="77777777">
      <w:pPr>
        <w:spacing w:after="120"/>
        <w:rPr>
          <w:szCs w:val="22"/>
        </w:rPr>
      </w:pPr>
    </w:p>
    <w:p w:rsidR="00136F7C" w:rsidP="00136F7C" w14:paraId="6DC6EE9C" w14:textId="77777777">
      <w:pPr>
        <w:spacing w:after="120"/>
        <w:rPr>
          <w:szCs w:val="22"/>
        </w:rPr>
      </w:pPr>
    </w:p>
    <w:p w:rsidR="00136F7C" w:rsidP="00136F7C" w14:paraId="03BCD11C" w14:textId="77777777">
      <w:pPr>
        <w:pStyle w:val="ParaNum"/>
        <w:numPr>
          <w:ilvl w:val="0"/>
          <w:numId w:val="0"/>
        </w:numPr>
        <w:tabs>
          <w:tab w:val="left" w:pos="720"/>
        </w:tabs>
      </w:pPr>
    </w:p>
    <w:p w:rsidR="00136F7C" w:rsidP="00136F7C" w14:paraId="7DAECB27" w14:textId="77777777">
      <w:pPr>
        <w:spacing w:after="120"/>
        <w:rPr>
          <w:sz w:val="24"/>
        </w:rPr>
      </w:pPr>
      <w:bookmarkStart w:id="1" w:name="TOChere"/>
    </w:p>
    <w:bookmarkEnd w:id="1"/>
    <w:p w:rsidR="00136F7C" w:rsidP="00136F7C" w14:paraId="35B488E9" w14:textId="77777777">
      <w:pPr>
        <w:spacing w:after="120"/>
        <w:rPr>
          <w:sz w:val="24"/>
        </w:rPr>
      </w:pPr>
    </w:p>
    <w:p w:rsidR="00136F7C" w:rsidP="00136F7C" w14:paraId="69F5224B" w14:textId="77777777">
      <w:pPr>
        <w:spacing w:after="120"/>
        <w:rPr>
          <w:sz w:val="24"/>
        </w:rPr>
      </w:pPr>
    </w:p>
    <w:p w:rsidR="00930ECF" w:rsidRPr="00930ECF" w:rsidP="00F96F63" w14:paraId="2D85535D"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7EA5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5B210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052ED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B463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666" w14:paraId="2F477343" w14:textId="77777777">
      <w:r>
        <w:separator/>
      </w:r>
    </w:p>
  </w:footnote>
  <w:footnote w:type="continuationSeparator" w:id="1">
    <w:p w:rsidR="00BF3666" w14:paraId="0484B227" w14:textId="77777777">
      <w:pPr>
        <w:rPr>
          <w:sz w:val="20"/>
        </w:rPr>
      </w:pPr>
      <w:r>
        <w:rPr>
          <w:sz w:val="20"/>
        </w:rPr>
        <w:t xml:space="preserve">(Continued from previous page)  </w:t>
      </w:r>
      <w:r>
        <w:rPr>
          <w:sz w:val="20"/>
        </w:rPr>
        <w:separator/>
      </w:r>
    </w:p>
  </w:footnote>
  <w:footnote w:type="continuationNotice" w:id="2">
    <w:p w:rsidR="00BF3666" w:rsidP="00910F12" w14:paraId="04DB5892" w14:textId="77777777">
      <w:pPr>
        <w:jc w:val="right"/>
        <w:rPr>
          <w:sz w:val="20"/>
        </w:rPr>
      </w:pPr>
      <w:r>
        <w:rPr>
          <w:sz w:val="20"/>
        </w:rPr>
        <w:t>(continued….)</w:t>
      </w:r>
    </w:p>
  </w:footnote>
  <w:footnote w:id="3">
    <w:p w:rsidR="00136F7C" w:rsidP="00136F7C" w14:paraId="7C31744E" w14:textId="77777777">
      <w:pPr>
        <w:pStyle w:val="FootnoteText"/>
      </w:pPr>
      <w:r>
        <w:rPr>
          <w:rStyle w:val="FootnoteReference"/>
        </w:rPr>
        <w:footnoteRef/>
      </w:r>
      <w:r>
        <w:t xml:space="preserve"> Joint Petition of United and Panhandle for Waiver of the Definition of “Study Area” and Waiver of Sections 51.909 and 51.917 with Respect to the Transfer of the South Englewood, Oklahoma Exchange, CC Docket No. 96-45 and WC Docket No. 10-90 (filed July 25, 2023) (Petition); Supplement to Joint Petition for Waiver, CC Docket No. 96-45 and WC Docket No. 10-90 (filed Dec. 1, 2023) (Petition Supplement).  Effective November 15, 1984, the Commission froze all study area boundaries to prevent incumbent local exchange carriers from establishing separate study areas made up only of high-cost exchanges in order to maximize their receipt of high-cost universal service support.  </w:t>
      </w:r>
      <w:r>
        <w:rPr>
          <w:i/>
        </w:rPr>
        <w:t>See MTS and WATS Market Structure</w:t>
      </w:r>
      <w:r>
        <w:rPr>
          <w:iCs/>
        </w:rPr>
        <w:t>;</w:t>
      </w:r>
      <w:r>
        <w:rPr>
          <w:i/>
        </w:rPr>
        <w:t xml:space="preserve"> Amendment of Part 67 of the Commission’s Rules and Establishment of a Joint Board</w:t>
      </w:r>
      <w:r>
        <w:t>, CC Docket Nos. 78-72, 80-286, Decision and Order, FCC 84-637, 50 Fed. Reg. 939 (1985).  A carrier must therefore apply to the Commission for a waiver of the study area boundary freeze if it wishes to transfer or acquire additional exchanges.</w:t>
      </w:r>
    </w:p>
  </w:footnote>
  <w:footnote w:id="4">
    <w:p w:rsidR="00136F7C" w:rsidP="00136F7C" w14:paraId="1047C51B" w14:textId="77777777">
      <w:pPr>
        <w:pStyle w:val="FootnoteText"/>
      </w:pPr>
      <w:r>
        <w:rPr>
          <w:rStyle w:val="FootnoteReference"/>
        </w:rPr>
        <w:footnoteRef/>
      </w:r>
      <w:r>
        <w:t xml:space="preserve"> </w:t>
      </w:r>
      <w:r>
        <w:rPr>
          <w:i/>
          <w:iCs/>
        </w:rPr>
        <w:t xml:space="preserve">See </w:t>
      </w:r>
      <w:r>
        <w:t xml:space="preserve">Petition at 1; Petition Supplement at 2.  Petitioners have separately filed a section 214 application for the proposed assignment of the South Englewood telephone exchange from United to Panhandle.  </w:t>
      </w:r>
      <w:r>
        <w:rPr>
          <w:i/>
          <w:iCs/>
        </w:rPr>
        <w:t>See</w:t>
      </w:r>
      <w:r>
        <w:t xml:space="preserve"> Application for Assignment of Assets of United Telephone Assoc., Inc. to Panhandle Telephone Cooperative, Inc., WC Docket No. 23-255 (filed July 25, 2023).</w:t>
      </w:r>
    </w:p>
  </w:footnote>
  <w:footnote w:id="5">
    <w:p w:rsidR="00136F7C" w:rsidP="00136F7C" w14:paraId="2C615E86" w14:textId="77777777">
      <w:pPr>
        <w:pStyle w:val="FootnoteText"/>
      </w:pPr>
      <w:r>
        <w:rPr>
          <w:rStyle w:val="FootnoteReference"/>
        </w:rPr>
        <w:footnoteRef/>
      </w:r>
      <w:r>
        <w:t xml:space="preserve"> </w:t>
      </w:r>
      <w:r>
        <w:rPr>
          <w:i/>
          <w:iCs/>
        </w:rPr>
        <w:t xml:space="preserve">See </w:t>
      </w:r>
      <w:r>
        <w:t>Petition at 6; Petition Supplement at 2.</w:t>
      </w:r>
    </w:p>
  </w:footnote>
  <w:footnote w:id="6">
    <w:p w:rsidR="00136F7C" w:rsidP="00136F7C" w14:paraId="2E73F99F" w14:textId="77777777">
      <w:pPr>
        <w:pStyle w:val="FootnoteText"/>
      </w:pPr>
      <w:r>
        <w:rPr>
          <w:rStyle w:val="FootnoteReference"/>
        </w:rPr>
        <w:footnoteRef/>
      </w:r>
      <w:r>
        <w:t xml:space="preserve"> </w:t>
      </w:r>
      <w:r>
        <w:rPr>
          <w:i/>
        </w:rPr>
        <w:t xml:space="preserve">See Connect America Fund et al., </w:t>
      </w:r>
      <w:r>
        <w:rPr>
          <w:iCs/>
        </w:rPr>
        <w:t xml:space="preserve">WC Docket No. 10-90 et al., Report and Order and Further Notice of Proposed Rulemaking, 26 FCC </w:t>
      </w:r>
      <w:r>
        <w:rPr>
          <w:iCs/>
        </w:rPr>
        <w:t>Rcd</w:t>
      </w:r>
      <w:r>
        <w:rPr>
          <w:iCs/>
        </w:rPr>
        <w:t xml:space="preserve"> 17663, 17763, paras. 266-67 (2011).</w:t>
      </w:r>
    </w:p>
  </w:footnote>
  <w:footnote w:id="7">
    <w:p w:rsidR="00136F7C" w:rsidP="00136F7C" w14:paraId="323C126B" w14:textId="77777777">
      <w:pPr>
        <w:pStyle w:val="FootnoteText"/>
      </w:pPr>
      <w:r>
        <w:rPr>
          <w:rStyle w:val="FootnoteReference"/>
        </w:rPr>
        <w:footnoteRef/>
      </w:r>
      <w:r>
        <w:t xml:space="preserve"> </w:t>
      </w:r>
      <w:r>
        <w:rPr>
          <w:i/>
        </w:rPr>
        <w:t>See id</w:t>
      </w:r>
      <w:r>
        <w:t>.; 47 CFR § 36.4.</w:t>
      </w:r>
    </w:p>
  </w:footnote>
  <w:footnote w:id="8">
    <w:p w:rsidR="00136F7C" w:rsidP="00136F7C" w14:paraId="459B5B8D" w14:textId="77777777">
      <w:pPr>
        <w:pStyle w:val="FootnoteText"/>
      </w:pPr>
      <w:r>
        <w:rPr>
          <w:rStyle w:val="FootnoteReference"/>
        </w:rPr>
        <w:footnoteRef/>
      </w:r>
      <w:r>
        <w:t xml:space="preserve"> </w:t>
      </w:r>
      <w:r>
        <w:rPr>
          <w:i/>
          <w:iCs/>
        </w:rPr>
        <w:t xml:space="preserve">See </w:t>
      </w:r>
      <w:r>
        <w:t>47 CFR §§ 1.2, 1.405, and 1.419.</w:t>
      </w:r>
    </w:p>
  </w:footnote>
  <w:footnote w:id="9">
    <w:p w:rsidR="00136F7C" w:rsidP="00136F7C" w14:paraId="74141167" w14:textId="77777777">
      <w:pPr>
        <w:pStyle w:val="FootnoteText"/>
      </w:pPr>
      <w:r>
        <w:rPr>
          <w:rStyle w:val="FootnoteReference"/>
        </w:rPr>
        <w:footnoteRef/>
      </w:r>
      <w:r>
        <w:t xml:space="preserve"> All filings relating to this Public Notice should refer </w:t>
      </w:r>
      <w:r>
        <w:rPr>
          <w:i/>
          <w:iCs/>
        </w:rPr>
        <w:t>only</w:t>
      </w:r>
      <w:r>
        <w:t xml:space="preserve"> to the dockets listed above.</w:t>
      </w:r>
    </w:p>
  </w:footnote>
  <w:footnote w:id="10">
    <w:p w:rsidR="00136F7C" w:rsidP="00136F7C" w14:paraId="40EC8CD0" w14:textId="77777777">
      <w:pPr>
        <w:pStyle w:val="FootnoteText"/>
      </w:pPr>
      <w:r>
        <w:rPr>
          <w:rStyle w:val="FootnoteReference"/>
        </w:rPr>
        <w:footnoteRef/>
      </w:r>
      <w:r>
        <w:t xml:space="preserve"> </w:t>
      </w:r>
      <w:r>
        <w:rPr>
          <w:i/>
        </w:rPr>
        <w:t>See Electronic Filing of Documents in Rulemaking Proceedings</w:t>
      </w:r>
      <w:r>
        <w:t>, 63 FR 24121 (1998).</w:t>
      </w:r>
    </w:p>
  </w:footnote>
  <w:footnote w:id="11">
    <w:p w:rsidR="00136F7C" w:rsidP="00136F7C" w14:paraId="4DE2CCB9" w14:textId="77777777">
      <w:pPr>
        <w:pStyle w:val="FootnoteText"/>
      </w:pPr>
      <w:r>
        <w:rPr>
          <w:rStyle w:val="FootnoteReference"/>
        </w:rPr>
        <w:footnoteRef/>
      </w:r>
      <w:r>
        <w:t xml:space="preserve"> </w:t>
      </w:r>
      <w:r>
        <w:rPr>
          <w:i/>
          <w:iCs/>
        </w:rPr>
        <w:t xml:space="preserve">See FCC Announces Closure of FCC Headquarters Open Window and Change in Hand-Delivery Policy, </w:t>
      </w:r>
      <w:r>
        <w:t xml:space="preserve">Public Notice, 35 FCC </w:t>
      </w:r>
      <w:r>
        <w:t>Rcd</w:t>
      </w:r>
      <w:r>
        <w:t xml:space="preserve"> 2788 (OMD 2020), https://www.fcc.gov/document/fcc-closes-headquarters-open-window-and-changes-hand-delivery-policy.</w:t>
      </w:r>
    </w:p>
  </w:footnote>
  <w:footnote w:id="12">
    <w:p w:rsidR="00136F7C" w:rsidP="00136F7C" w14:paraId="10D4A1C9" w14:textId="77777777">
      <w:pPr>
        <w:pStyle w:val="FootnoteText"/>
      </w:pPr>
      <w:r>
        <w:rPr>
          <w:rStyle w:val="FootnoteReference"/>
        </w:rPr>
        <w:footnoteRef/>
      </w:r>
      <w:r>
        <w:t xml:space="preserve"> Documents will generally be available electronically in ASCII, Microsoft Word, and/or Adobe Acrobat.</w:t>
      </w:r>
    </w:p>
  </w:footnote>
  <w:footnote w:id="13">
    <w:p w:rsidR="00136F7C" w:rsidP="00136F7C" w14:paraId="484F67EC" w14:textId="77777777">
      <w:pPr>
        <w:pStyle w:val="FootnoteText"/>
      </w:pPr>
      <w:r>
        <w:rPr>
          <w:rStyle w:val="FootnoteReference"/>
        </w:rPr>
        <w:footnoteRef/>
      </w:r>
      <w:r>
        <w:t xml:space="preserve"> </w:t>
      </w:r>
      <w:r>
        <w:rPr>
          <w:i/>
        </w:rPr>
        <w:t>See</w:t>
      </w:r>
      <w:r>
        <w:t xml:space="preserve"> 47 CFR § 1.1206.</w:t>
      </w:r>
    </w:p>
  </w:footnote>
  <w:footnote w:id="14">
    <w:p w:rsidR="00136F7C" w:rsidP="00136F7C" w14:paraId="2952A2A6" w14:textId="77777777">
      <w:pPr>
        <w:pStyle w:val="FootnoteText"/>
      </w:pPr>
      <w:r>
        <w:rPr>
          <w:rStyle w:val="FootnoteReference"/>
        </w:rPr>
        <w:footnoteRef/>
      </w:r>
      <w:r>
        <w:t xml:space="preserve"> </w:t>
      </w:r>
      <w:r>
        <w:rPr>
          <w:i/>
        </w:rPr>
        <w:t>Id</w:t>
      </w:r>
      <w:r>
        <w:t>. § 1.2016(b)(2)(iii).</w:t>
      </w:r>
    </w:p>
  </w:footnote>
  <w:footnote w:id="15">
    <w:p w:rsidR="00136F7C" w:rsidP="00136F7C" w14:paraId="623692F1" w14:textId="77777777">
      <w:pPr>
        <w:pStyle w:val="FootnoteText"/>
      </w:pPr>
      <w:r>
        <w:rPr>
          <w:rStyle w:val="FootnoteReference"/>
        </w:rPr>
        <w:footnoteRef/>
      </w:r>
      <w:r>
        <w:t xml:space="preserve"> </w:t>
      </w:r>
      <w:r>
        <w:rPr>
          <w:i/>
        </w:rPr>
        <w:t>Id</w:t>
      </w:r>
      <w:r>
        <w:t>. § 1.206(b)(1).</w:t>
      </w:r>
    </w:p>
  </w:footnote>
  <w:footnote w:id="16">
    <w:p w:rsidR="00136F7C" w:rsidP="00136F7C" w14:paraId="62B0232E" w14:textId="77777777">
      <w:pPr>
        <w:pStyle w:val="FootnoteText"/>
      </w:pPr>
      <w:r>
        <w:rPr>
          <w:rStyle w:val="FootnoteReference"/>
        </w:rPr>
        <w:footnoteRef/>
      </w:r>
      <w:r>
        <w:t xml:space="preserve"> </w:t>
      </w:r>
      <w:r>
        <w:rPr>
          <w:i/>
        </w:rPr>
        <w:t>Id</w:t>
      </w:r>
      <w:r>
        <w:t>.</w:t>
      </w:r>
    </w:p>
  </w:footnote>
  <w:footnote w:id="17">
    <w:p w:rsidR="00136F7C" w:rsidP="00136F7C" w14:paraId="1A4290AD" w14:textId="77777777">
      <w:pPr>
        <w:pStyle w:val="FootnoteText"/>
      </w:pPr>
      <w:r>
        <w:rPr>
          <w:rStyle w:val="FootnoteReference"/>
        </w:rPr>
        <w:footnoteRef/>
      </w:r>
      <w:r>
        <w:t xml:space="preserve"> </w:t>
      </w:r>
      <w:r>
        <w:rPr>
          <w:i/>
        </w:rPr>
        <w:t>Id</w:t>
      </w:r>
      <w:r>
        <w:t>. § 1.1206(b)(2).</w:t>
      </w:r>
    </w:p>
  </w:footnote>
  <w:footnote w:id="18">
    <w:p w:rsidR="00136F7C" w:rsidP="00136F7C" w14:paraId="06B50515" w14:textId="77777777">
      <w:pPr>
        <w:pStyle w:val="FootnoteText"/>
      </w:pPr>
      <w:r>
        <w:rPr>
          <w:rStyle w:val="FootnoteReference"/>
        </w:rPr>
        <w:footnoteRef/>
      </w:r>
      <w:r>
        <w:t xml:space="preserve"> </w:t>
      </w:r>
      <w:r>
        <w:rPr>
          <w:i/>
        </w:rPr>
        <w:t>Id</w:t>
      </w:r>
      <w:r>
        <w:t>. § 1.1206(b)(2)(</w:t>
      </w:r>
      <w:r>
        <w:t>i</w:t>
      </w:r>
      <w:r>
        <w:t xml:space="preserve">); </w:t>
      </w:r>
      <w:r>
        <w:rPr>
          <w:i/>
        </w:rPr>
        <w:t>see also</w:t>
      </w:r>
      <w:r>
        <w:t xml:space="preserve"> </w:t>
      </w:r>
      <w:r>
        <w:rPr>
          <w:i/>
        </w:rPr>
        <w:t xml:space="preserve">id. </w:t>
      </w:r>
      <w:r>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FA02360" w14:textId="751F9893">
    <w:pPr>
      <w:tabs>
        <w:tab w:val="center" w:pos="4680"/>
        <w:tab w:val="right" w:pos="9360"/>
      </w:tabs>
    </w:pPr>
    <w:r w:rsidRPr="009838BC">
      <w:rPr>
        <w:b/>
      </w:rPr>
      <w:tab/>
      <w:t>Federal Communications Commission</w:t>
    </w:r>
    <w:r w:rsidRPr="009838BC">
      <w:rPr>
        <w:b/>
      </w:rPr>
      <w:tab/>
    </w:r>
    <w:r w:rsidR="000B610F">
      <w:rPr>
        <w:b/>
      </w:rPr>
      <w:t>DA 23-1191</w:t>
    </w:r>
  </w:p>
  <w:p w:rsidR="009838BC" w:rsidRPr="009838BC" w:rsidP="009838BC" w14:paraId="1D79F3A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A84A54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42641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62705B17" w14:textId="77777777">
                <w:pPr>
                  <w:rPr>
                    <w:rFonts w:ascii="Arial" w:hAnsi="Arial"/>
                    <w:b/>
                  </w:rPr>
                </w:pPr>
                <w:r>
                  <w:rPr>
                    <w:rFonts w:ascii="Arial" w:hAnsi="Arial"/>
                    <w:b/>
                  </w:rPr>
                  <w:t>Federal Communications Commission</w:t>
                </w:r>
              </w:p>
              <w:p w:rsidR="00DE0AB8" w:rsidP="00DE0AB8" w14:paraId="0B6367C9" w14:textId="77777777">
                <w:pPr>
                  <w:rPr>
                    <w:rFonts w:ascii="Arial" w:hAnsi="Arial"/>
                    <w:b/>
                  </w:rPr>
                </w:pPr>
                <w:r>
                  <w:rPr>
                    <w:rFonts w:ascii="Arial" w:hAnsi="Arial"/>
                    <w:b/>
                  </w:rPr>
                  <w:t>45 L Street NE</w:t>
                </w:r>
              </w:p>
              <w:p w:rsidR="009838BC" w:rsidP="00DE0AB8" w14:paraId="7F91491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106737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AA7B5B7" w14:textId="77777777">
                <w:pPr>
                  <w:spacing w:before="40"/>
                  <w:jc w:val="right"/>
                  <w:rPr>
                    <w:rFonts w:ascii="Arial" w:hAnsi="Arial"/>
                    <w:b/>
                    <w:sz w:val="16"/>
                  </w:rPr>
                </w:pPr>
                <w:r>
                  <w:rPr>
                    <w:rFonts w:ascii="Arial" w:hAnsi="Arial"/>
                    <w:b/>
                    <w:sz w:val="16"/>
                  </w:rPr>
                  <w:t>News Media Information 202 / 418-0500</w:t>
                </w:r>
              </w:p>
              <w:p w:rsidR="009838BC" w:rsidP="009838BC" w14:paraId="6EF3166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EAE6C77" w14:textId="77777777">
                <w:pPr>
                  <w:jc w:val="right"/>
                </w:pPr>
                <w:r>
                  <w:rPr>
                    <w:rFonts w:ascii="Arial" w:hAnsi="Arial"/>
                    <w:b/>
                    <w:sz w:val="16"/>
                  </w:rPr>
                  <w:t>TTY: 1-888-835-5322</w:t>
                </w:r>
              </w:p>
            </w:txbxContent>
          </v:textbox>
        </v:shape>
      </w:pict>
    </w:r>
  </w:p>
  <w:p w:rsidR="006F7393" w:rsidRPr="009838BC" w:rsidP="009838BC" w14:paraId="0F885D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F0153A"/>
    <w:multiLevelType w:val="multilevel"/>
    <w:tmpl w:val="2FC28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1F33F19"/>
    <w:multiLevelType w:val="multilevel"/>
    <w:tmpl w:val="CBD2D87E"/>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C"/>
    <w:rsid w:val="000072CE"/>
    <w:rsid w:val="00013A8B"/>
    <w:rsid w:val="00021445"/>
    <w:rsid w:val="00036039"/>
    <w:rsid w:val="00037F90"/>
    <w:rsid w:val="000875BF"/>
    <w:rsid w:val="00096D8C"/>
    <w:rsid w:val="000B610F"/>
    <w:rsid w:val="000C0B65"/>
    <w:rsid w:val="000E3D42"/>
    <w:rsid w:val="000E5884"/>
    <w:rsid w:val="00122BD5"/>
    <w:rsid w:val="00136F7C"/>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B1D62"/>
    <w:rsid w:val="004C12D0"/>
    <w:rsid w:val="004C2EE3"/>
    <w:rsid w:val="004E4A22"/>
    <w:rsid w:val="00511968"/>
    <w:rsid w:val="0055614C"/>
    <w:rsid w:val="005C4E83"/>
    <w:rsid w:val="00607BA5"/>
    <w:rsid w:val="00626EB6"/>
    <w:rsid w:val="006353A3"/>
    <w:rsid w:val="00655D03"/>
    <w:rsid w:val="00683F84"/>
    <w:rsid w:val="006A6A81"/>
    <w:rsid w:val="006E26AF"/>
    <w:rsid w:val="006F7393"/>
    <w:rsid w:val="0070224F"/>
    <w:rsid w:val="00711144"/>
    <w:rsid w:val="007115F7"/>
    <w:rsid w:val="00785689"/>
    <w:rsid w:val="0079754B"/>
    <w:rsid w:val="007A1E6D"/>
    <w:rsid w:val="00822CE0"/>
    <w:rsid w:val="00837C62"/>
    <w:rsid w:val="00841AB1"/>
    <w:rsid w:val="008C22FD"/>
    <w:rsid w:val="00910F12"/>
    <w:rsid w:val="00926503"/>
    <w:rsid w:val="00930ECF"/>
    <w:rsid w:val="00971BBB"/>
    <w:rsid w:val="009838BC"/>
    <w:rsid w:val="00A45F4F"/>
    <w:rsid w:val="00A600A9"/>
    <w:rsid w:val="00A866AC"/>
    <w:rsid w:val="00AA55B7"/>
    <w:rsid w:val="00AA5B9E"/>
    <w:rsid w:val="00AB2407"/>
    <w:rsid w:val="00AB53DF"/>
    <w:rsid w:val="00B07E5C"/>
    <w:rsid w:val="00B326E3"/>
    <w:rsid w:val="00B811F7"/>
    <w:rsid w:val="00B824B8"/>
    <w:rsid w:val="00BA5DC6"/>
    <w:rsid w:val="00BA6196"/>
    <w:rsid w:val="00BC6D8C"/>
    <w:rsid w:val="00BF3666"/>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533635"/>
  <w15:chartTrackingRefBased/>
  <w15:docId w15:val="{08EF33BE-E440-459A-8CB2-EDEE968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F7C"/>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semiHidden/>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basedOn w:val="DefaultParagraphFont"/>
    <w:link w:val="FootnoteText"/>
    <w:semiHidden/>
    <w:locked/>
    <w:rsid w:val="0013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layton@fcc.gov" TargetMode="External" /><Relationship Id="rId6" Type="http://schemas.openxmlformats.org/officeDocument/2006/relationships/hyperlink" Target="mailto:lynne.engledow@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