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56C9D" w:rsidP="00E56C9D" w14:paraId="008FAAB9" w14:textId="77777777">
      <w:pPr>
        <w:jc w:val="center"/>
        <w:rPr>
          <w:b/>
        </w:rPr>
      </w:pPr>
      <w:r w:rsidRPr="0070224F">
        <w:rPr>
          <w:rFonts w:ascii="Times New Roman Bold" w:hAnsi="Times New Roman Bold"/>
          <w:b/>
          <w:kern w:val="0"/>
          <w:szCs w:val="22"/>
        </w:rPr>
        <w:t>Before</w:t>
      </w:r>
      <w:r>
        <w:rPr>
          <w:b/>
        </w:rPr>
        <w:t xml:space="preserve"> the</w:t>
      </w:r>
    </w:p>
    <w:p w:rsidR="00E56C9D" w:rsidP="00E56C9D" w14:paraId="22952731" w14:textId="77777777">
      <w:pPr>
        <w:pStyle w:val="StyleBoldCentered"/>
      </w:pPr>
      <w:r>
        <w:t>F</w:t>
      </w:r>
      <w:r>
        <w:rPr>
          <w:caps w:val="0"/>
        </w:rPr>
        <w:t>ederal Communications Commission</w:t>
      </w:r>
    </w:p>
    <w:p w:rsidR="00E56C9D" w:rsidP="00E56C9D" w14:paraId="4F0D4E2E" w14:textId="77777777">
      <w:pPr>
        <w:pStyle w:val="StyleBoldCentered"/>
      </w:pPr>
      <w:r>
        <w:rPr>
          <w:caps w:val="0"/>
        </w:rPr>
        <w:t>Washington, D.C. 20554</w:t>
      </w:r>
    </w:p>
    <w:p w:rsidR="00E56C9D" w:rsidP="00E56C9D" w14:paraId="4C7D15B6" w14:textId="77777777"/>
    <w:p w:rsidR="00E56C9D" w:rsidP="00E56C9D" w14:paraId="75B6C4ED" w14:textId="77777777"/>
    <w:tbl>
      <w:tblPr>
        <w:tblW w:w="0" w:type="auto"/>
        <w:tblLayout w:type="fixed"/>
        <w:tblLook w:val="0000"/>
      </w:tblPr>
      <w:tblGrid>
        <w:gridCol w:w="4698"/>
        <w:gridCol w:w="630"/>
        <w:gridCol w:w="4248"/>
      </w:tblGrid>
      <w:tr w14:paraId="4CBA35C5" w14:textId="77777777" w:rsidTr="006F3313">
        <w:tblPrEx>
          <w:tblW w:w="0" w:type="auto"/>
          <w:tblLayout w:type="fixed"/>
          <w:tblLook w:val="0000"/>
        </w:tblPrEx>
        <w:tc>
          <w:tcPr>
            <w:tcW w:w="4698" w:type="dxa"/>
          </w:tcPr>
          <w:p w:rsidR="00E56C9D" w:rsidP="006F3313" w14:paraId="7FADA1D1" w14:textId="77777777">
            <w:pPr>
              <w:tabs>
                <w:tab w:val="center" w:pos="4680"/>
              </w:tabs>
              <w:suppressAutoHyphens/>
              <w:rPr>
                <w:spacing w:val="-2"/>
              </w:rPr>
            </w:pPr>
            <w:r>
              <w:rPr>
                <w:spacing w:val="-2"/>
              </w:rPr>
              <w:t>In the Matter of</w:t>
            </w:r>
          </w:p>
          <w:p w:rsidR="00E56C9D" w:rsidRPr="00A56308" w:rsidP="006F3313" w14:paraId="4325DA84" w14:textId="77777777">
            <w:pPr>
              <w:tabs>
                <w:tab w:val="center" w:pos="4680"/>
              </w:tabs>
              <w:suppressAutoHyphens/>
              <w:rPr>
                <w:spacing w:val="-2"/>
              </w:rPr>
            </w:pPr>
          </w:p>
          <w:p w:rsidR="00E56C9D" w:rsidRPr="00A56308" w:rsidP="006F3313" w14:paraId="1E3CE314" w14:textId="77777777">
            <w:pPr>
              <w:tabs>
                <w:tab w:val="center" w:pos="4680"/>
              </w:tabs>
              <w:suppressAutoHyphens/>
              <w:rPr>
                <w:spacing w:val="-2"/>
              </w:rPr>
            </w:pPr>
            <w:r w:rsidRPr="00A56308">
              <w:rPr>
                <w:spacing w:val="-2"/>
              </w:rPr>
              <w:t>Telecommunications Carriers Eligible for Universal Service Support</w:t>
            </w:r>
          </w:p>
          <w:p w:rsidR="00E56C9D" w:rsidRPr="00A56308" w:rsidP="006F3313" w14:paraId="20E04A0A" w14:textId="77777777">
            <w:pPr>
              <w:tabs>
                <w:tab w:val="center" w:pos="4680"/>
              </w:tabs>
              <w:suppressAutoHyphens/>
              <w:rPr>
                <w:spacing w:val="-2"/>
              </w:rPr>
            </w:pPr>
          </w:p>
          <w:p w:rsidR="00E56C9D" w:rsidRPr="00A56308" w:rsidP="006F3313" w14:paraId="578517F4" w14:textId="77777777">
            <w:pPr>
              <w:tabs>
                <w:tab w:val="center" w:pos="4680"/>
              </w:tabs>
              <w:suppressAutoHyphens/>
              <w:rPr>
                <w:spacing w:val="-2"/>
              </w:rPr>
            </w:pPr>
            <w:r w:rsidRPr="00A56308">
              <w:rPr>
                <w:spacing w:val="-2"/>
              </w:rPr>
              <w:t>Federal-State Joint Board on Universal Service</w:t>
            </w:r>
          </w:p>
          <w:p w:rsidR="00E56C9D" w:rsidRPr="00A56308" w:rsidP="006F3313" w14:paraId="27F4DFEE" w14:textId="77777777">
            <w:pPr>
              <w:tabs>
                <w:tab w:val="center" w:pos="4680"/>
              </w:tabs>
              <w:suppressAutoHyphens/>
              <w:rPr>
                <w:spacing w:val="-2"/>
              </w:rPr>
            </w:pPr>
          </w:p>
          <w:p w:rsidR="00E56C9D" w:rsidRPr="007115F7" w:rsidP="006F3313" w14:paraId="783F83B3" w14:textId="77777777">
            <w:pPr>
              <w:tabs>
                <w:tab w:val="center" w:pos="4680"/>
              </w:tabs>
              <w:suppressAutoHyphens/>
              <w:rPr>
                <w:spacing w:val="-2"/>
              </w:rPr>
            </w:pPr>
            <w:r w:rsidRPr="00A56308">
              <w:rPr>
                <w:spacing w:val="-2"/>
              </w:rPr>
              <w:t>Connect America Fund</w:t>
            </w:r>
          </w:p>
        </w:tc>
        <w:tc>
          <w:tcPr>
            <w:tcW w:w="630" w:type="dxa"/>
          </w:tcPr>
          <w:p w:rsidR="00E56C9D" w:rsidP="006F3313" w14:paraId="37AC6CDA" w14:textId="77777777">
            <w:pPr>
              <w:tabs>
                <w:tab w:val="center" w:pos="4680"/>
              </w:tabs>
              <w:suppressAutoHyphens/>
              <w:rPr>
                <w:b/>
                <w:spacing w:val="-2"/>
              </w:rPr>
            </w:pPr>
            <w:r>
              <w:rPr>
                <w:b/>
                <w:spacing w:val="-2"/>
              </w:rPr>
              <w:t>)</w:t>
            </w:r>
          </w:p>
          <w:p w:rsidR="00E56C9D" w:rsidP="006F3313" w14:paraId="6CD8C6BA" w14:textId="77777777">
            <w:pPr>
              <w:tabs>
                <w:tab w:val="center" w:pos="4680"/>
              </w:tabs>
              <w:suppressAutoHyphens/>
              <w:rPr>
                <w:b/>
                <w:spacing w:val="-2"/>
              </w:rPr>
            </w:pPr>
            <w:r>
              <w:rPr>
                <w:b/>
                <w:spacing w:val="-2"/>
              </w:rPr>
              <w:t>)</w:t>
            </w:r>
          </w:p>
          <w:p w:rsidR="00E56C9D" w:rsidP="006F3313" w14:paraId="534CBE1D" w14:textId="77777777">
            <w:pPr>
              <w:tabs>
                <w:tab w:val="center" w:pos="4680"/>
              </w:tabs>
              <w:suppressAutoHyphens/>
              <w:rPr>
                <w:b/>
                <w:spacing w:val="-2"/>
              </w:rPr>
            </w:pPr>
            <w:r>
              <w:rPr>
                <w:b/>
                <w:spacing w:val="-2"/>
              </w:rPr>
              <w:t>)</w:t>
            </w:r>
          </w:p>
          <w:p w:rsidR="00E56C9D" w:rsidP="006F3313" w14:paraId="422631C8" w14:textId="77777777">
            <w:pPr>
              <w:tabs>
                <w:tab w:val="center" w:pos="4680"/>
              </w:tabs>
              <w:suppressAutoHyphens/>
              <w:rPr>
                <w:b/>
                <w:spacing w:val="-2"/>
              </w:rPr>
            </w:pPr>
            <w:r>
              <w:rPr>
                <w:b/>
                <w:spacing w:val="-2"/>
              </w:rPr>
              <w:t>)</w:t>
            </w:r>
          </w:p>
          <w:p w:rsidR="00E56C9D" w:rsidP="006F3313" w14:paraId="4E5097ED" w14:textId="77777777">
            <w:pPr>
              <w:tabs>
                <w:tab w:val="center" w:pos="4680"/>
              </w:tabs>
              <w:suppressAutoHyphens/>
              <w:rPr>
                <w:b/>
                <w:spacing w:val="-2"/>
              </w:rPr>
            </w:pPr>
            <w:r>
              <w:rPr>
                <w:b/>
                <w:spacing w:val="-2"/>
              </w:rPr>
              <w:t>)</w:t>
            </w:r>
          </w:p>
          <w:p w:rsidR="00E56C9D" w:rsidP="006F3313" w14:paraId="04E149E0" w14:textId="77777777">
            <w:pPr>
              <w:tabs>
                <w:tab w:val="center" w:pos="4680"/>
              </w:tabs>
              <w:suppressAutoHyphens/>
              <w:rPr>
                <w:b/>
                <w:spacing w:val="-2"/>
              </w:rPr>
            </w:pPr>
            <w:r>
              <w:rPr>
                <w:b/>
                <w:spacing w:val="-2"/>
              </w:rPr>
              <w:t>)</w:t>
            </w:r>
          </w:p>
          <w:p w:rsidR="00E56C9D" w:rsidP="006F3313" w14:paraId="51DBC3A2" w14:textId="77777777">
            <w:pPr>
              <w:tabs>
                <w:tab w:val="center" w:pos="4680"/>
              </w:tabs>
              <w:suppressAutoHyphens/>
              <w:rPr>
                <w:b/>
                <w:spacing w:val="-2"/>
              </w:rPr>
            </w:pPr>
            <w:r>
              <w:rPr>
                <w:b/>
                <w:spacing w:val="-2"/>
              </w:rPr>
              <w:t>)</w:t>
            </w:r>
          </w:p>
          <w:p w:rsidR="00E56C9D" w:rsidP="006F3313" w14:paraId="76ECEC99" w14:textId="77777777">
            <w:pPr>
              <w:tabs>
                <w:tab w:val="center" w:pos="4680"/>
              </w:tabs>
              <w:suppressAutoHyphens/>
              <w:rPr>
                <w:b/>
                <w:spacing w:val="-2"/>
              </w:rPr>
            </w:pPr>
            <w:r>
              <w:rPr>
                <w:b/>
                <w:spacing w:val="-2"/>
              </w:rPr>
              <w:t>)</w:t>
            </w:r>
          </w:p>
          <w:p w:rsidR="00E56C9D" w:rsidP="006F3313" w14:paraId="7A3DA61C" w14:textId="77777777">
            <w:pPr>
              <w:tabs>
                <w:tab w:val="center" w:pos="4680"/>
              </w:tabs>
              <w:suppressAutoHyphens/>
              <w:rPr>
                <w:spacing w:val="-2"/>
              </w:rPr>
            </w:pPr>
          </w:p>
        </w:tc>
        <w:tc>
          <w:tcPr>
            <w:tcW w:w="4248" w:type="dxa"/>
          </w:tcPr>
          <w:p w:rsidR="00E56C9D" w:rsidP="006F3313" w14:paraId="2A1A7C2E" w14:textId="77777777">
            <w:pPr>
              <w:tabs>
                <w:tab w:val="center" w:pos="4680"/>
              </w:tabs>
              <w:suppressAutoHyphens/>
              <w:rPr>
                <w:spacing w:val="-2"/>
              </w:rPr>
            </w:pPr>
          </w:p>
          <w:p w:rsidR="00E56C9D" w:rsidP="006F3313" w14:paraId="551ABBDD" w14:textId="77777777">
            <w:pPr>
              <w:pStyle w:val="TOAHeading"/>
              <w:tabs>
                <w:tab w:val="center" w:pos="4680"/>
                <w:tab w:val="clear" w:pos="9360"/>
              </w:tabs>
              <w:rPr>
                <w:spacing w:val="-2"/>
              </w:rPr>
            </w:pPr>
          </w:p>
          <w:p w:rsidR="00E56C9D" w:rsidP="006F3313" w14:paraId="7DA5EE3D" w14:textId="77777777">
            <w:pPr>
              <w:tabs>
                <w:tab w:val="center" w:pos="4680"/>
              </w:tabs>
              <w:suppressAutoHyphens/>
              <w:rPr>
                <w:spacing w:val="-2"/>
              </w:rPr>
            </w:pPr>
            <w:r>
              <w:rPr>
                <w:spacing w:val="-2"/>
              </w:rPr>
              <w:t>WC Docket No. 09-197</w:t>
            </w:r>
          </w:p>
          <w:p w:rsidR="00E56C9D" w:rsidP="006F3313" w14:paraId="61B19C02" w14:textId="77777777">
            <w:pPr>
              <w:tabs>
                <w:tab w:val="center" w:pos="4680"/>
              </w:tabs>
              <w:suppressAutoHyphens/>
              <w:rPr>
                <w:spacing w:val="-2"/>
              </w:rPr>
            </w:pPr>
          </w:p>
          <w:p w:rsidR="00E56C9D" w:rsidP="006F3313" w14:paraId="75BAF0AF" w14:textId="77777777">
            <w:pPr>
              <w:tabs>
                <w:tab w:val="center" w:pos="4680"/>
              </w:tabs>
              <w:suppressAutoHyphens/>
              <w:rPr>
                <w:spacing w:val="-2"/>
              </w:rPr>
            </w:pPr>
          </w:p>
          <w:p w:rsidR="00E56C9D" w:rsidP="006F3313" w14:paraId="1FB0625C" w14:textId="77777777">
            <w:pPr>
              <w:tabs>
                <w:tab w:val="center" w:pos="4680"/>
              </w:tabs>
              <w:suppressAutoHyphens/>
              <w:rPr>
                <w:spacing w:val="-2"/>
              </w:rPr>
            </w:pPr>
            <w:r>
              <w:rPr>
                <w:spacing w:val="-2"/>
              </w:rPr>
              <w:t>WC Docket No. 10-90</w:t>
            </w:r>
          </w:p>
        </w:tc>
      </w:tr>
    </w:tbl>
    <w:p w:rsidR="00E56C9D" w:rsidP="00E56C9D" w14:paraId="1EAD91F2" w14:textId="77777777"/>
    <w:p w:rsidR="00E56C9D" w:rsidP="00E56C9D" w14:paraId="03C4C06B" w14:textId="77777777">
      <w:pPr>
        <w:pStyle w:val="StyleBoldCentered"/>
      </w:pPr>
      <w:r>
        <w:t>Order</w:t>
      </w:r>
    </w:p>
    <w:p w:rsidR="00E56C9D" w:rsidP="00E56C9D" w14:paraId="2E1671A2" w14:textId="77777777">
      <w:pPr>
        <w:tabs>
          <w:tab w:val="left" w:pos="-720"/>
        </w:tabs>
        <w:suppressAutoHyphens/>
        <w:spacing w:line="227" w:lineRule="auto"/>
        <w:rPr>
          <w:spacing w:val="-2"/>
        </w:rPr>
      </w:pPr>
    </w:p>
    <w:p w:rsidR="00E56C9D" w:rsidP="00E56C9D" w14:paraId="2E122680" w14:textId="77000F40">
      <w:pPr>
        <w:tabs>
          <w:tab w:val="left" w:pos="720"/>
          <w:tab w:val="right" w:pos="9360"/>
        </w:tabs>
        <w:suppressAutoHyphens/>
        <w:spacing w:line="227" w:lineRule="auto"/>
        <w:rPr>
          <w:spacing w:val="-2"/>
        </w:rPr>
      </w:pPr>
      <w:r>
        <w:rPr>
          <w:b/>
          <w:spacing w:val="-2"/>
        </w:rPr>
        <w:t xml:space="preserve">Adopted:  </w:t>
      </w:r>
      <w:r>
        <w:rPr>
          <w:b/>
          <w:spacing w:val="-2"/>
        </w:rPr>
        <w:t>December 20, 2023</w:t>
      </w:r>
      <w:r>
        <w:rPr>
          <w:b/>
          <w:spacing w:val="-2"/>
        </w:rPr>
        <w:tab/>
        <w:t xml:space="preserve">Released:  </w:t>
      </w:r>
      <w:r>
        <w:rPr>
          <w:b/>
          <w:spacing w:val="-2"/>
        </w:rPr>
        <w:t>December 20, 2023</w:t>
      </w:r>
    </w:p>
    <w:p w:rsidR="00E56C9D" w:rsidP="00E56C9D" w14:paraId="095BBD64" w14:textId="77777777"/>
    <w:p w:rsidR="00E56C9D" w:rsidP="00E56C9D" w14:paraId="1F7D6458" w14:textId="77777777">
      <w:pPr>
        <w:rPr>
          <w:spacing w:val="-2"/>
        </w:rPr>
      </w:pPr>
      <w:r>
        <w:t xml:space="preserve">By the </w:t>
      </w:r>
      <w:r w:rsidRPr="00A56308">
        <w:rPr>
          <w:spacing w:val="-2"/>
        </w:rPr>
        <w:t>Chief, Telecommunications Access Policy Division, Wireline Competition Bureau</w:t>
      </w:r>
      <w:r>
        <w:rPr>
          <w:spacing w:val="-2"/>
        </w:rPr>
        <w:t>:</w:t>
      </w:r>
    </w:p>
    <w:p w:rsidR="00E56C9D" w:rsidP="00E56C9D" w14:paraId="287F5498" w14:textId="77777777">
      <w:pPr>
        <w:rPr>
          <w:spacing w:val="-2"/>
        </w:rPr>
      </w:pPr>
    </w:p>
    <w:p w:rsidR="00E56C9D" w:rsidP="00E56C9D" w14:paraId="37DD0FC7" w14:textId="77777777">
      <w:pPr>
        <w:tabs>
          <w:tab w:val="left" w:pos="5760"/>
        </w:tabs>
      </w:pPr>
    </w:p>
    <w:p w:rsidR="00E56C9D" w:rsidRPr="00B24BAC" w:rsidP="00E56C9D" w14:paraId="36B326DA" w14:textId="77777777">
      <w:pPr>
        <w:pStyle w:val="ParaNum"/>
        <w:tabs>
          <w:tab w:val="num" w:pos="1080"/>
          <w:tab w:val="left" w:pos="1440"/>
        </w:tabs>
        <w:rPr>
          <w:szCs w:val="22"/>
        </w:rPr>
      </w:pPr>
      <w:r w:rsidRPr="00B24BAC">
        <w:rPr>
          <w:szCs w:val="22"/>
        </w:rPr>
        <w:t xml:space="preserve">In this Order, we approve the request of </w:t>
      </w:r>
      <w:r w:rsidRPr="00B24BAC">
        <w:rPr>
          <w:szCs w:val="22"/>
        </w:rPr>
        <w:t>Broad</w:t>
      </w:r>
      <w:r>
        <w:rPr>
          <w:szCs w:val="22"/>
        </w:rPr>
        <w:t>Life</w:t>
      </w:r>
      <w:r w:rsidRPr="00B24BAC">
        <w:rPr>
          <w:szCs w:val="22"/>
        </w:rPr>
        <w:t xml:space="preserve"> Communications, Inc. (</w:t>
      </w:r>
      <w:r w:rsidRPr="00B24BAC">
        <w:rPr>
          <w:szCs w:val="22"/>
        </w:rPr>
        <w:t>BroadLife</w:t>
      </w:r>
      <w:r w:rsidRPr="00B24BAC">
        <w:rPr>
          <w:szCs w:val="22"/>
        </w:rPr>
        <w:t>) to relinquish its eligible telecommunications carrier (ETC) designation in Alabama</w:t>
      </w:r>
      <w:bookmarkStart w:id="0" w:name="_Hlk113881907"/>
      <w:r w:rsidRPr="00B24BAC">
        <w:rPr>
          <w:szCs w:val="22"/>
        </w:rPr>
        <w:t>.</w:t>
      </w:r>
      <w:r>
        <w:rPr>
          <w:rStyle w:val="FootnoteReference"/>
          <w:sz w:val="22"/>
          <w:szCs w:val="22"/>
        </w:rPr>
        <w:footnoteReference w:id="3"/>
      </w:r>
      <w:r w:rsidRPr="00B24BAC">
        <w:rPr>
          <w:szCs w:val="22"/>
        </w:rPr>
        <w:t xml:space="preserve">  </w:t>
      </w:r>
      <w:r w:rsidRPr="00B24BAC">
        <w:rPr>
          <w:szCs w:val="22"/>
        </w:rPr>
        <w:t>BroadLife</w:t>
      </w:r>
      <w:r w:rsidRPr="00B24BAC">
        <w:rPr>
          <w:szCs w:val="22"/>
        </w:rPr>
        <w:t xml:space="preserve"> seeks this relinquishment in connection with the approval and consummation of a transaction transferring all of its Rural Digital Opportunity </w:t>
      </w:r>
      <w:r>
        <w:rPr>
          <w:szCs w:val="22"/>
        </w:rPr>
        <w:t xml:space="preserve">Fund </w:t>
      </w:r>
      <w:r w:rsidRPr="00B24BAC">
        <w:rPr>
          <w:szCs w:val="22"/>
        </w:rPr>
        <w:t>(RDOF) support and associated obligations to Yellowhammer Networks, LLC</w:t>
      </w:r>
      <w:bookmarkEnd w:id="0"/>
      <w:r w:rsidRPr="00B24BAC">
        <w:rPr>
          <w:szCs w:val="22"/>
        </w:rPr>
        <w:t xml:space="preserve"> (Yellowhammer).</w:t>
      </w:r>
      <w:r>
        <w:rPr>
          <w:rStyle w:val="FootnoteReference"/>
          <w:sz w:val="22"/>
          <w:szCs w:val="22"/>
        </w:rPr>
        <w:footnoteReference w:id="4"/>
      </w:r>
      <w:r w:rsidRPr="00B24BAC">
        <w:rPr>
          <w:rStyle w:val="eop"/>
          <w:szCs w:val="22"/>
        </w:rPr>
        <w:t xml:space="preserve">  </w:t>
      </w:r>
    </w:p>
    <w:p w:rsidR="00E56C9D" w:rsidRPr="00B24BAC" w:rsidP="00E56C9D" w14:paraId="11E63FB5" w14:textId="77777777">
      <w:pPr>
        <w:pStyle w:val="ParaNum"/>
        <w:tabs>
          <w:tab w:val="num" w:pos="1080"/>
          <w:tab w:val="left" w:pos="1440"/>
        </w:tabs>
      </w:pPr>
      <w:r w:rsidRPr="079DA2EF">
        <w:t>To obtain universal service funds, a carrier must be designated as an ETC under section 214(e)(1) of the Communications Act, as amended (Act).</w:t>
      </w:r>
      <w:r>
        <w:rPr>
          <w:rStyle w:val="FootnoteReference"/>
          <w:sz w:val="22"/>
          <w:szCs w:val="22"/>
        </w:rPr>
        <w:footnoteReference w:id="5"/>
      </w:r>
      <w:r w:rsidRPr="079DA2EF">
        <w:t xml:space="preserve">  Although section 214(e)(2) grants states the primary role in designating ETCs, section 214(e)(6) provides that the Federal Communications Commission should designate ETCs in limited circumstances, i.e., where the carrier is not subject to the jurisdiction of a state.</w:t>
      </w:r>
      <w:r>
        <w:rPr>
          <w:rStyle w:val="FootnoteReference"/>
          <w:sz w:val="22"/>
          <w:szCs w:val="22"/>
        </w:rPr>
        <w:footnoteReference w:id="6"/>
      </w:r>
      <w:r w:rsidRPr="079DA2EF">
        <w:t xml:space="preserve">  Section 214(e)(4) of the Act provides that in the case of a carrier designated as an ETC by the Commission pursuant to section 214(e)(6), the Commission shall permit an ETC to relinquish its designation “in any area served by more than one [ETC]” so long as “the remaining [ETCs] ensure that </w:t>
      </w:r>
      <w:r w:rsidRPr="079DA2EF">
        <w:t>all customers served by the relinquishing carrier will continue to be served.”</w:t>
      </w:r>
      <w:r>
        <w:rPr>
          <w:rStyle w:val="FootnoteReference"/>
          <w:sz w:val="22"/>
          <w:szCs w:val="22"/>
        </w:rPr>
        <w:footnoteReference w:id="7"/>
      </w:r>
      <w:r w:rsidRPr="079DA2EF">
        <w:t xml:space="preserve">  Consistent with this statutory provision, once the requesting ETC makes the required showing under section 214(e)(4), the Commission must grant the request for relinquishment.  </w:t>
      </w:r>
    </w:p>
    <w:p w:rsidR="00E56C9D" w:rsidP="00E56C9D" w14:paraId="4926B34F" w14:textId="77777777">
      <w:pPr>
        <w:pStyle w:val="ParaNum"/>
        <w:widowControl/>
        <w:tabs>
          <w:tab w:val="num" w:pos="1080"/>
          <w:tab w:val="left" w:pos="1440"/>
        </w:tabs>
        <w:rPr>
          <w:szCs w:val="22"/>
        </w:rPr>
      </w:pPr>
      <w:r w:rsidRPr="00B24BAC">
        <w:rPr>
          <w:szCs w:val="22"/>
        </w:rPr>
        <w:t xml:space="preserve">On June 1, 2023, the Wireline Competition Bureau (Bureau) approved an application to transfer a domestic section 214 authorization from </w:t>
      </w:r>
      <w:r w:rsidRPr="00B24BAC">
        <w:rPr>
          <w:szCs w:val="22"/>
        </w:rPr>
        <w:t>BroadLife</w:t>
      </w:r>
      <w:r w:rsidRPr="00B24BAC">
        <w:rPr>
          <w:szCs w:val="22"/>
        </w:rPr>
        <w:t xml:space="preserve"> to Yellowhammer (together, Parties).</w:t>
      </w:r>
      <w:r>
        <w:rPr>
          <w:rStyle w:val="FootnoteReference"/>
          <w:sz w:val="22"/>
          <w:szCs w:val="22"/>
        </w:rPr>
        <w:footnoteReference w:id="8"/>
      </w:r>
      <w:r w:rsidRPr="00B24BAC">
        <w:rPr>
          <w:szCs w:val="22"/>
        </w:rPr>
        <w:t xml:space="preserve">  As a result of this approval, Parties received consent for the transfer of certain assets from </w:t>
      </w:r>
      <w:r w:rsidRPr="00B24BAC">
        <w:rPr>
          <w:szCs w:val="22"/>
        </w:rPr>
        <w:t>BroadLife</w:t>
      </w:r>
      <w:r w:rsidRPr="00B24BAC">
        <w:rPr>
          <w:szCs w:val="22"/>
        </w:rPr>
        <w:t xml:space="preserve"> to Yellowhammer, including RDOF support, subject to, and conditioned upon, Yellowhammer’s authorization to receive this support.</w:t>
      </w:r>
      <w:r>
        <w:rPr>
          <w:rStyle w:val="FootnoteReference"/>
          <w:sz w:val="22"/>
          <w:szCs w:val="22"/>
        </w:rPr>
        <w:footnoteReference w:id="9"/>
      </w:r>
      <w:r w:rsidRPr="00B24BAC">
        <w:rPr>
          <w:szCs w:val="22"/>
        </w:rPr>
        <w:t xml:space="preserve">  On June 13, 2023, the Bureau designated Yellowhammer as an ETC in certain areas in Alabama eligible for the transferred RDOF support, conditioned upon, and limited by, its authorization to receive this support, and effective only upon such authorization.</w:t>
      </w:r>
      <w:r>
        <w:rPr>
          <w:rStyle w:val="FootnoteReference"/>
          <w:sz w:val="22"/>
          <w:szCs w:val="22"/>
        </w:rPr>
        <w:footnoteReference w:id="10"/>
      </w:r>
      <w:r w:rsidRPr="00B24BAC">
        <w:rPr>
          <w:szCs w:val="22"/>
        </w:rPr>
        <w:t xml:space="preserve">  The transaction was consummated on September 15, 2023,</w:t>
      </w:r>
      <w:r>
        <w:rPr>
          <w:rStyle w:val="FootnoteReference"/>
          <w:sz w:val="22"/>
          <w:szCs w:val="22"/>
        </w:rPr>
        <w:footnoteReference w:id="11"/>
      </w:r>
      <w:r w:rsidRPr="00B24BAC">
        <w:rPr>
          <w:szCs w:val="22"/>
        </w:rPr>
        <w:t xml:space="preserve"> and on October 3, 2023, the Bureau authorized Yellowhammer to receive the transferred support.</w:t>
      </w:r>
      <w:r>
        <w:rPr>
          <w:rStyle w:val="FootnoteReference"/>
          <w:sz w:val="22"/>
          <w:szCs w:val="22"/>
        </w:rPr>
        <w:footnoteReference w:id="12"/>
      </w:r>
      <w:r w:rsidRPr="00B24BAC">
        <w:rPr>
          <w:szCs w:val="22"/>
        </w:rPr>
        <w:t xml:space="preserve">  At this time, USAC discontinued the eligibility of the study area code (SAC) as assigned to </w:t>
      </w:r>
      <w:r w:rsidRPr="00B24BAC">
        <w:rPr>
          <w:szCs w:val="22"/>
        </w:rPr>
        <w:t>BroadLife</w:t>
      </w:r>
      <w:r w:rsidRPr="00B24BAC">
        <w:rPr>
          <w:szCs w:val="22"/>
        </w:rPr>
        <w:t>, SAC 259060, and assigned to Yellowhammer a new SAC 259063 for the ETC designated area.</w:t>
      </w:r>
      <w:r>
        <w:rPr>
          <w:rStyle w:val="FootnoteReference"/>
          <w:sz w:val="22"/>
          <w:szCs w:val="22"/>
        </w:rPr>
        <w:footnoteReference w:id="13"/>
      </w:r>
    </w:p>
    <w:p w:rsidR="00E56C9D" w:rsidRPr="009C1E18" w:rsidP="00E56C9D" w14:paraId="6CB9AC26" w14:textId="77777777">
      <w:pPr>
        <w:pStyle w:val="ParaNum"/>
        <w:widowControl/>
        <w:tabs>
          <w:tab w:val="num" w:pos="1080"/>
          <w:tab w:val="left" w:pos="1440"/>
        </w:tabs>
        <w:rPr>
          <w:szCs w:val="22"/>
        </w:rPr>
      </w:pPr>
      <w:r w:rsidRPr="00B24BAC">
        <w:t xml:space="preserve">On September 15, 2023, </w:t>
      </w:r>
      <w:r w:rsidRPr="00B24BAC">
        <w:t>BroadLife</w:t>
      </w:r>
      <w:r w:rsidRPr="00B24BAC">
        <w:t xml:space="preserve"> filed a petition to relinquish its ETC designation in the ETC designated area.</w:t>
      </w:r>
      <w:r>
        <w:rPr>
          <w:rStyle w:val="FootnoteReference"/>
          <w:szCs w:val="22"/>
        </w:rPr>
        <w:footnoteReference w:id="14"/>
      </w:r>
      <w:r w:rsidRPr="00B24BAC">
        <w:t xml:space="preserve">  In this petition, </w:t>
      </w:r>
      <w:r w:rsidRPr="00B24BAC">
        <w:t>BroadLife</w:t>
      </w:r>
      <w:r w:rsidRPr="00B24BAC">
        <w:t xml:space="preserve"> states that it had not expended RDOF support or undertaken any deployment activities in the areas covered by the ETC designation,</w:t>
      </w:r>
      <w:r>
        <w:rPr>
          <w:rStyle w:val="FootnoteReference"/>
          <w:szCs w:val="22"/>
        </w:rPr>
        <w:footnoteReference w:id="15"/>
      </w:r>
      <w:r w:rsidRPr="00B24BAC">
        <w:t xml:space="preserve"> </w:t>
      </w:r>
      <w:r>
        <w:t>“</w:t>
      </w:r>
      <w:r w:rsidRPr="00362DB9">
        <w:rPr>
          <w:szCs w:val="22"/>
        </w:rPr>
        <w:t>has not provided and does not</w:t>
      </w:r>
      <w:r>
        <w:rPr>
          <w:szCs w:val="22"/>
        </w:rPr>
        <w:t xml:space="preserve"> </w:t>
      </w:r>
      <w:r w:rsidRPr="00362DB9">
        <w:rPr>
          <w:szCs w:val="22"/>
        </w:rPr>
        <w:t>provide any services,</w:t>
      </w:r>
      <w:r>
        <w:rPr>
          <w:szCs w:val="22"/>
        </w:rPr>
        <w:t xml:space="preserve">” </w:t>
      </w:r>
      <w:r w:rsidRPr="00362DB9">
        <w:rPr>
          <w:szCs w:val="22"/>
        </w:rPr>
        <w:t>and</w:t>
      </w:r>
      <w:r>
        <w:rPr>
          <w:szCs w:val="22"/>
        </w:rPr>
        <w:t xml:space="preserve"> “has no </w:t>
      </w:r>
      <w:r w:rsidRPr="00362DB9">
        <w:rPr>
          <w:szCs w:val="22"/>
        </w:rPr>
        <w:t>subscribers in Alabama</w:t>
      </w:r>
      <w:r>
        <w:rPr>
          <w:szCs w:val="22"/>
        </w:rPr>
        <w:t xml:space="preserve"> or elsewhere.</w:t>
      </w:r>
      <w:r>
        <w:t>”</w:t>
      </w:r>
      <w:r>
        <w:rPr>
          <w:rStyle w:val="FootnoteReference"/>
          <w:szCs w:val="22"/>
        </w:rPr>
        <w:footnoteReference w:id="16"/>
      </w:r>
      <w:r w:rsidRPr="00B24BAC">
        <w:t xml:space="preserve">  Further, </w:t>
      </w:r>
      <w:r w:rsidRPr="00B24BAC">
        <w:t>BroadLife</w:t>
      </w:r>
      <w:r w:rsidRPr="00B24BAC">
        <w:t xml:space="preserve"> states that Pinebelt (in part) and Mediacom and Comcast (in full) operate as competitive </w:t>
      </w:r>
      <w:r w:rsidRPr="00B24BAC">
        <w:t>carriers in the ETC designated area.</w:t>
      </w:r>
      <w:r>
        <w:rPr>
          <w:rStyle w:val="FootnoteReference"/>
          <w:szCs w:val="22"/>
        </w:rPr>
        <w:footnoteReference w:id="17"/>
      </w:r>
      <w:r w:rsidRPr="00B24BAC">
        <w:t xml:space="preserve">  Finally, </w:t>
      </w:r>
      <w:r w:rsidRPr="00B24BAC">
        <w:t>Broad</w:t>
      </w:r>
      <w:r>
        <w:t>Life</w:t>
      </w:r>
      <w:r w:rsidRPr="00B24BAC">
        <w:t xml:space="preserve"> states that pursuant to the transaction, Yellowhammer would assume responsibility to provide service, </w:t>
      </w:r>
      <w:r>
        <w:t xml:space="preserve">including voice service, </w:t>
      </w:r>
      <w:r w:rsidRPr="00B24BAC">
        <w:t>consistent with RDOF obligations, throughout the ETC designated area.</w:t>
      </w:r>
      <w:r>
        <w:rPr>
          <w:rStyle w:val="FootnoteReference"/>
          <w:szCs w:val="22"/>
        </w:rPr>
        <w:footnoteReference w:id="18"/>
      </w:r>
      <w:r w:rsidRPr="00B24BAC">
        <w:t xml:space="preserve">  Based on these circumstances, we conclude that it is appropriate to grant </w:t>
      </w:r>
      <w:r w:rsidRPr="00B24BAC">
        <w:t>BroadLife’s</w:t>
      </w:r>
      <w:r w:rsidRPr="00B24BAC">
        <w:t xml:space="preserve"> petition to relinquish its ETC designation in the designated service area.</w:t>
      </w:r>
    </w:p>
    <w:p w:rsidR="00E56C9D" w:rsidP="00E56C9D" w14:paraId="2A0E0E77" w14:textId="77777777">
      <w:pPr>
        <w:pStyle w:val="ParaNum"/>
        <w:widowControl/>
        <w:tabs>
          <w:tab w:val="num" w:pos="1080"/>
          <w:tab w:val="left" w:pos="1440"/>
        </w:tabs>
        <w:rPr>
          <w:szCs w:val="22"/>
        </w:rPr>
      </w:pPr>
      <w:r w:rsidRPr="00B24BAC">
        <w:rPr>
          <w:szCs w:val="22"/>
        </w:rPr>
        <w:t>Accordingly, IT IS ORDERED that</w:t>
      </w:r>
      <w:bookmarkStart w:id="1" w:name="_Hlk508616106"/>
      <w:r w:rsidRPr="00B24BAC">
        <w:rPr>
          <w:szCs w:val="22"/>
        </w:rPr>
        <w:t xml:space="preserve">, pursuant to the authority contained in section 214(e)(4) of the Communications Act of 1934, as amended, 47 U.S.C. § 214(e)(4), and the authority delegated in sections 0.91 and 0.291 of the Commission’s Rules, 47 CFR §§ 0.91, 0.291, </w:t>
      </w:r>
      <w:bookmarkEnd w:id="1"/>
      <w:r w:rsidRPr="00B24BAC">
        <w:rPr>
          <w:szCs w:val="22"/>
        </w:rPr>
        <w:t xml:space="preserve">the Petition of </w:t>
      </w:r>
      <w:r w:rsidRPr="00B24BAC">
        <w:rPr>
          <w:szCs w:val="22"/>
        </w:rPr>
        <w:t>BroadLife</w:t>
      </w:r>
      <w:r w:rsidRPr="00B24BAC">
        <w:rPr>
          <w:szCs w:val="22"/>
        </w:rPr>
        <w:t xml:space="preserve"> Communications, Inc. for Relinquishment of its Eligible Telecommunications Carrier Designation in Alabam</w:t>
      </w:r>
      <w:r>
        <w:rPr>
          <w:szCs w:val="22"/>
        </w:rPr>
        <w:t>a</w:t>
      </w:r>
      <w:r w:rsidRPr="00B24BAC">
        <w:rPr>
          <w:szCs w:val="22"/>
        </w:rPr>
        <w:t xml:space="preserve"> is GRANTED and RELINQUISHED.</w:t>
      </w:r>
    </w:p>
    <w:p w:rsidR="00E56C9D" w:rsidP="00E56C9D" w14:paraId="784DAAFE" w14:textId="77777777">
      <w:pPr>
        <w:pStyle w:val="ParaNum"/>
        <w:widowControl/>
        <w:tabs>
          <w:tab w:val="num" w:pos="1080"/>
          <w:tab w:val="left" w:pos="1440"/>
        </w:tabs>
        <w:rPr>
          <w:szCs w:val="22"/>
        </w:rPr>
      </w:pPr>
      <w:r w:rsidRPr="00B24BAC">
        <w:t>IT IS FURTHER ORDERED that BROADLIFE COMMUNICATIONS, INC. SHALL TRANSMIT a copy of this order to the Universal Service Admin</w:t>
      </w:r>
      <w:r>
        <w:t>i</w:t>
      </w:r>
      <w:r w:rsidRPr="00B24BAC">
        <w:t>s</w:t>
      </w:r>
      <w:r>
        <w:t>trative</w:t>
      </w:r>
      <w:r w:rsidRPr="00B24BAC">
        <w:t xml:space="preserve"> Compa</w:t>
      </w:r>
      <w:r>
        <w:t>n</w:t>
      </w:r>
      <w:r w:rsidRPr="00B24BAC">
        <w:t>y (USAC).</w:t>
      </w:r>
    </w:p>
    <w:p w:rsidR="00E56C9D" w:rsidP="00E56C9D" w14:paraId="56A5C237" w14:textId="77777777">
      <w:pPr>
        <w:pStyle w:val="ParaNum"/>
        <w:widowControl/>
        <w:tabs>
          <w:tab w:val="num" w:pos="1080"/>
          <w:tab w:val="left" w:pos="1440"/>
        </w:tabs>
        <w:rPr>
          <w:szCs w:val="22"/>
        </w:rPr>
      </w:pPr>
      <w:r w:rsidRPr="00B24BAC">
        <w:rPr>
          <w:szCs w:val="22"/>
        </w:rPr>
        <w:t>IT IS FURTHER ORDERED that, pursuant to section 1.102(b)(1) of the Commission’s rules, 47 CFR § 1.102(b)(1), this order SHALL BE EFFECTIVE upon release.</w:t>
      </w:r>
    </w:p>
    <w:p w:rsidR="00E56C9D" w:rsidRPr="00D5687F" w:rsidP="00E56C9D" w14:paraId="3018A035" w14:textId="77777777">
      <w:pPr>
        <w:pStyle w:val="ParaNum"/>
        <w:keepNext/>
        <w:widowControl/>
        <w:numPr>
          <w:ilvl w:val="0"/>
          <w:numId w:val="0"/>
        </w:numPr>
        <w:ind w:left="720"/>
        <w:rPr>
          <w:szCs w:val="22"/>
        </w:rPr>
      </w:pPr>
    </w:p>
    <w:p w:rsidR="00E56C9D" w:rsidP="00E56C9D" w14:paraId="3BC6DE22" w14:textId="77777777">
      <w:pPr>
        <w:keepNext/>
      </w:pPr>
    </w:p>
    <w:p w:rsidR="00E56C9D" w:rsidP="00E56C9D" w14:paraId="57447FC3" w14:textId="77777777">
      <w:pPr>
        <w:pStyle w:val="ParaNum"/>
        <w:widowControl/>
        <w:numPr>
          <w:ilvl w:val="0"/>
          <w:numId w:val="0"/>
        </w:numPr>
        <w:spacing w:after="0"/>
        <w:ind w:left="720"/>
      </w:pPr>
    </w:p>
    <w:p w:rsidR="00E56C9D" w:rsidRPr="00FC7851" w:rsidP="00E56C9D" w14:paraId="79E64BA1" w14:textId="77777777">
      <w:pPr>
        <w:ind w:left="2880" w:firstLine="720"/>
      </w:pPr>
      <w:r w:rsidRPr="00FC7851">
        <w:rPr>
          <w:szCs w:val="22"/>
        </w:rPr>
        <w:t>FEDERAL</w:t>
      </w:r>
      <w:r w:rsidRPr="00FC7851">
        <w:t xml:space="preserve"> COMMUNICATIONS COMMISSION</w:t>
      </w:r>
    </w:p>
    <w:p w:rsidR="00E56C9D" w:rsidRPr="00FC7851" w:rsidP="00E56C9D" w14:paraId="12F05FFE" w14:textId="77777777">
      <w:pPr>
        <w:pStyle w:val="ParaNum"/>
        <w:widowControl/>
        <w:numPr>
          <w:ilvl w:val="0"/>
          <w:numId w:val="0"/>
        </w:numPr>
        <w:spacing w:after="0"/>
        <w:ind w:left="720"/>
      </w:pPr>
    </w:p>
    <w:p w:rsidR="00E56C9D" w:rsidRPr="00FC7851" w:rsidP="00E56C9D" w14:paraId="2A9F5A88" w14:textId="77777777">
      <w:pPr>
        <w:pStyle w:val="ParaNum"/>
        <w:widowControl/>
        <w:numPr>
          <w:ilvl w:val="0"/>
          <w:numId w:val="0"/>
        </w:numPr>
        <w:spacing w:after="0"/>
      </w:pPr>
    </w:p>
    <w:p w:rsidR="00E56C9D" w:rsidP="00E56C9D" w14:paraId="3E60E348" w14:textId="77777777">
      <w:pPr>
        <w:pStyle w:val="ParaNum"/>
        <w:widowControl/>
        <w:numPr>
          <w:ilvl w:val="0"/>
          <w:numId w:val="0"/>
        </w:numPr>
        <w:spacing w:after="0"/>
        <w:ind w:left="720"/>
      </w:pPr>
    </w:p>
    <w:p w:rsidR="00E56C9D" w:rsidRPr="00FC7851" w:rsidP="00E56C9D" w14:paraId="25FC0CC3" w14:textId="77777777">
      <w:pPr>
        <w:pStyle w:val="ParaNum"/>
        <w:widowControl/>
        <w:numPr>
          <w:ilvl w:val="0"/>
          <w:numId w:val="0"/>
        </w:numPr>
        <w:spacing w:after="0"/>
        <w:ind w:left="720"/>
      </w:pPr>
    </w:p>
    <w:p w:rsidR="00E56C9D" w:rsidRPr="00FC7851" w:rsidP="00E56C9D" w14:paraId="518252E1" w14:textId="77777777">
      <w:pPr>
        <w:ind w:left="2880" w:firstLine="720"/>
      </w:pPr>
      <w:r>
        <w:rPr>
          <w:szCs w:val="22"/>
        </w:rPr>
        <w:t>Jodie C. Griffin</w:t>
      </w:r>
    </w:p>
    <w:p w:rsidR="00E56C9D" w:rsidP="00E56C9D" w14:paraId="0FB26ADE" w14:textId="77777777">
      <w:pPr>
        <w:ind w:left="2880" w:firstLine="720"/>
        <w:rPr>
          <w:szCs w:val="22"/>
        </w:rPr>
      </w:pPr>
      <w:r w:rsidRPr="00FC7851">
        <w:rPr>
          <w:szCs w:val="22"/>
        </w:rPr>
        <w:t>Chief</w:t>
      </w:r>
    </w:p>
    <w:p w:rsidR="00E56C9D" w:rsidRPr="00FC7851" w:rsidP="00E56C9D" w14:paraId="4ABA740E" w14:textId="77777777">
      <w:pPr>
        <w:ind w:left="2880" w:firstLine="720"/>
        <w:rPr>
          <w:szCs w:val="22"/>
        </w:rPr>
      </w:pPr>
      <w:r>
        <w:rPr>
          <w:szCs w:val="22"/>
        </w:rPr>
        <w:t>Telecommunications Access Policy Division</w:t>
      </w:r>
    </w:p>
    <w:p w:rsidR="00E56C9D" w:rsidRPr="00FC7851" w:rsidP="00E56C9D" w14:paraId="6E0319C5" w14:textId="77777777">
      <w:pPr>
        <w:ind w:left="2880" w:firstLine="720"/>
        <w:rPr>
          <w:szCs w:val="22"/>
        </w:rPr>
      </w:pPr>
      <w:r w:rsidRPr="00FC7851">
        <w:rPr>
          <w:szCs w:val="22"/>
        </w:rPr>
        <w:t>Wireline Competition Bureau</w:t>
      </w:r>
    </w:p>
    <w:p w:rsidR="00E56C9D" w:rsidRPr="00B35DE5" w:rsidP="00E56C9D" w14:paraId="08008EDC" w14:textId="77777777">
      <w:pPr>
        <w:pStyle w:val="ParaNum"/>
        <w:numPr>
          <w:ilvl w:val="0"/>
          <w:numId w:val="0"/>
        </w:numPr>
        <w:ind w:firstLine="720"/>
      </w:pPr>
    </w:p>
    <w:p w:rsidR="00412FC5" w:rsidP="00E56C9D" w14:paraId="18753DCE"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DDF2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A9EA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9E61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6FFCA6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04EA9C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11A6" w14:paraId="4692DF10" w14:textId="77777777">
      <w:r>
        <w:separator/>
      </w:r>
    </w:p>
  </w:footnote>
  <w:footnote w:type="continuationSeparator" w:id="1">
    <w:p w:rsidR="00ED11A6" w:rsidP="00C721AC" w14:paraId="6CF22758" w14:textId="77777777">
      <w:pPr>
        <w:spacing w:before="120"/>
        <w:rPr>
          <w:sz w:val="20"/>
        </w:rPr>
      </w:pPr>
      <w:r>
        <w:rPr>
          <w:sz w:val="20"/>
        </w:rPr>
        <w:t xml:space="preserve">(Continued from previous page)  </w:t>
      </w:r>
      <w:r>
        <w:rPr>
          <w:sz w:val="20"/>
        </w:rPr>
        <w:separator/>
      </w:r>
    </w:p>
  </w:footnote>
  <w:footnote w:type="continuationNotice" w:id="2">
    <w:p w:rsidR="00ED11A6" w:rsidP="00C721AC" w14:paraId="3FD0A23F" w14:textId="77777777">
      <w:pPr>
        <w:jc w:val="right"/>
        <w:rPr>
          <w:sz w:val="20"/>
        </w:rPr>
      </w:pPr>
      <w:r>
        <w:rPr>
          <w:sz w:val="20"/>
        </w:rPr>
        <w:t>(continued….)</w:t>
      </w:r>
    </w:p>
  </w:footnote>
  <w:footnote w:id="3">
    <w:p w:rsidR="00E56C9D" w:rsidP="00E56C9D" w14:paraId="3455CDA5" w14:textId="77777777">
      <w:pPr>
        <w:pStyle w:val="FootnoteText"/>
      </w:pPr>
      <w:r>
        <w:rPr>
          <w:rStyle w:val="FootnoteReference"/>
        </w:rPr>
        <w:footnoteRef/>
      </w:r>
      <w:r w:rsidRPr="00A10786">
        <w:rPr>
          <w:i/>
          <w:iCs/>
        </w:rPr>
        <w:t>See</w:t>
      </w:r>
      <w:r>
        <w:t xml:space="preserve"> Petition of </w:t>
      </w:r>
      <w:r>
        <w:t>BroadLife</w:t>
      </w:r>
      <w:r>
        <w:t xml:space="preserve"> Communications, Inc. for Relinquishment of Eligible Telecommunications Carrier Designation, </w:t>
      </w:r>
      <w:r w:rsidRPr="00A641C2">
        <w:t xml:space="preserve">WC Docket No. 09-197 (filed </w:t>
      </w:r>
      <w:r>
        <w:t>Sept. 15</w:t>
      </w:r>
      <w:r w:rsidRPr="00A641C2">
        <w:t>, 202</w:t>
      </w:r>
      <w:r>
        <w:t>3</w:t>
      </w:r>
      <w:r w:rsidRPr="00A641C2">
        <w:t>)</w:t>
      </w:r>
      <w:r>
        <w:t xml:space="preserve"> (</w:t>
      </w:r>
      <w:r w:rsidRPr="006478C0">
        <w:rPr>
          <w:i/>
          <w:iCs/>
        </w:rPr>
        <w:t>Relinquishment Petition</w:t>
      </w:r>
      <w:r>
        <w:t xml:space="preserve">); </w:t>
      </w:r>
      <w:r w:rsidRPr="00283142">
        <w:rPr>
          <w:i/>
          <w:iCs/>
        </w:rPr>
        <w:t>Telecommunications Carriers Eligible for Universal Service Support; Connect America Fund</w:t>
      </w:r>
      <w:r>
        <w:t xml:space="preserve">, </w:t>
      </w:r>
      <w:r w:rsidRPr="00283142">
        <w:t xml:space="preserve">WC Docket Nos. 09-197; 10-90, Order, 36 FCC </w:t>
      </w:r>
      <w:r w:rsidRPr="00283142">
        <w:t>Rcd</w:t>
      </w:r>
      <w:r w:rsidRPr="00283142">
        <w:t xml:space="preserve"> 9384</w:t>
      </w:r>
      <w:r>
        <w:t xml:space="preserve"> </w:t>
      </w:r>
      <w:r w:rsidRPr="00283142">
        <w:t>(WCB 2021)</w:t>
      </w:r>
      <w:r>
        <w:t xml:space="preserve"> (designating </w:t>
      </w:r>
      <w:r>
        <w:t>BroadLife</w:t>
      </w:r>
      <w:r>
        <w:t xml:space="preserve"> as an ETC in areas where </w:t>
      </w:r>
      <w:r>
        <w:t>BroadLife</w:t>
      </w:r>
      <w:r>
        <w:t xml:space="preserve"> was eligible to receive RDOF support, </w:t>
      </w:r>
      <w:r w:rsidRPr="00B24BAC">
        <w:t xml:space="preserve">conditioned upon, limited to, and effective upon </w:t>
      </w:r>
      <w:r>
        <w:t>its</w:t>
      </w:r>
      <w:r w:rsidRPr="00B24BAC">
        <w:t xml:space="preserve"> authorization to receive </w:t>
      </w:r>
      <w:r>
        <w:t>this support) (</w:t>
      </w:r>
      <w:r w:rsidRPr="00242FCF">
        <w:rPr>
          <w:i/>
          <w:iCs/>
        </w:rPr>
        <w:t>BroadLife</w:t>
      </w:r>
      <w:r w:rsidRPr="00242FCF">
        <w:rPr>
          <w:i/>
          <w:iCs/>
        </w:rPr>
        <w:t xml:space="preserve"> ETC Designation Order</w:t>
      </w:r>
      <w:r>
        <w:t xml:space="preserve">); </w:t>
      </w:r>
      <w:r w:rsidRPr="00E15075">
        <w:rPr>
          <w:i/>
          <w:iCs/>
        </w:rPr>
        <w:t>Rural Digital Opportunity Fund Support Authorized for 1,345 Winning Bids</w:t>
      </w:r>
      <w:r>
        <w:t xml:space="preserve">, AU Docket No. 20-34 and WC Docket Nos. 19-126 &amp; 10-90, Public Notice, </w:t>
      </w:r>
      <w:r w:rsidRPr="00E15075">
        <w:t xml:space="preserve">37 FCC </w:t>
      </w:r>
      <w:r w:rsidRPr="00E15075">
        <w:t>Rcd</w:t>
      </w:r>
      <w:r w:rsidRPr="00E15075">
        <w:t xml:space="preserve"> 4897</w:t>
      </w:r>
      <w:r>
        <w:t xml:space="preserve">, Attach. A (WCB/OEA 2022) (authorizing </w:t>
      </w:r>
      <w:r>
        <w:t>BroadLife</w:t>
      </w:r>
      <w:r>
        <w:t xml:space="preserve"> to receive $26,461,542 in RDOF support over ten years for deployment to 7,483 locations in 953 census blocks in Alabama) (</w:t>
      </w:r>
      <w:r w:rsidRPr="00C140A4">
        <w:rPr>
          <w:i/>
          <w:iCs/>
        </w:rPr>
        <w:t>Broad</w:t>
      </w:r>
      <w:r>
        <w:rPr>
          <w:i/>
          <w:iCs/>
        </w:rPr>
        <w:t>Life</w:t>
      </w:r>
      <w:r w:rsidRPr="00C140A4">
        <w:rPr>
          <w:i/>
          <w:iCs/>
        </w:rPr>
        <w:t xml:space="preserve"> RDOF Authorization Order</w:t>
      </w:r>
      <w:r>
        <w:t xml:space="preserve">). </w:t>
      </w:r>
    </w:p>
  </w:footnote>
  <w:footnote w:id="4">
    <w:p w:rsidR="00E56C9D" w:rsidRPr="00907E32" w:rsidP="00E56C9D" w14:paraId="5ABF0DE7" w14:textId="77777777">
      <w:pPr>
        <w:pStyle w:val="FootnoteText"/>
        <w:rPr>
          <w:i/>
          <w:iCs/>
        </w:rPr>
      </w:pPr>
      <w:r>
        <w:rPr>
          <w:rStyle w:val="FootnoteReference"/>
        </w:rPr>
        <w:footnoteRef/>
      </w:r>
      <w:r>
        <w:t xml:space="preserve"> </w:t>
      </w:r>
      <w:r w:rsidRPr="00946962">
        <w:rPr>
          <w:i/>
          <w:iCs/>
        </w:rPr>
        <w:t xml:space="preserve">Domestic Section 214 Application Granted for the Acquisition of Certain Assets of </w:t>
      </w:r>
      <w:r w:rsidRPr="00946962">
        <w:rPr>
          <w:i/>
          <w:iCs/>
        </w:rPr>
        <w:t>BroadLife</w:t>
      </w:r>
      <w:r w:rsidRPr="00946962">
        <w:rPr>
          <w:i/>
          <w:iCs/>
        </w:rPr>
        <w:t xml:space="preserve"> Communications,</w:t>
      </w:r>
      <w:r>
        <w:rPr>
          <w:i/>
          <w:iCs/>
        </w:rPr>
        <w:t xml:space="preserve"> </w:t>
      </w:r>
      <w:r w:rsidRPr="00946962">
        <w:rPr>
          <w:i/>
          <w:iCs/>
        </w:rPr>
        <w:t>Inc. by Yellowhammer Networks, LLC</w:t>
      </w:r>
      <w:r w:rsidRPr="00946962">
        <w:t xml:space="preserve">, WC Docket 23-23, Public Notice, DA 23-473 at 1, 5 (WCB June 1, 2023) </w:t>
      </w:r>
      <w:r>
        <w:t>(</w:t>
      </w:r>
      <w:r w:rsidRPr="00903A47">
        <w:rPr>
          <w:i/>
          <w:iCs/>
        </w:rPr>
        <w:t>Transfer Order</w:t>
      </w:r>
      <w:r>
        <w:t xml:space="preserve">) </w:t>
      </w:r>
      <w:r w:rsidRPr="00946962">
        <w:t>(</w:t>
      </w:r>
      <w:r>
        <w:t xml:space="preserve">approving the transfer of the </w:t>
      </w:r>
      <w:r w:rsidRPr="00306250">
        <w:t xml:space="preserve">domestic section 214 authorization </w:t>
      </w:r>
      <w:r>
        <w:t xml:space="preserve">from </w:t>
      </w:r>
      <w:r w:rsidRPr="640D4B02">
        <w:t>BroadLife</w:t>
      </w:r>
      <w:r w:rsidRPr="640D4B02">
        <w:t xml:space="preserve"> </w:t>
      </w:r>
      <w:r>
        <w:t xml:space="preserve">to Yellowhammer, </w:t>
      </w:r>
      <w:r w:rsidRPr="640D4B02">
        <w:t xml:space="preserve">including </w:t>
      </w:r>
      <w:r>
        <w:t xml:space="preserve">the transfer of RDOF </w:t>
      </w:r>
      <w:r w:rsidRPr="640D4B02">
        <w:t>support</w:t>
      </w:r>
      <w:r>
        <w:t xml:space="preserve">, subject to, and conditioned upon, Yellowhammer’s authorization to receive this support).  </w:t>
      </w:r>
    </w:p>
  </w:footnote>
  <w:footnote w:id="5">
    <w:p w:rsidR="00E56C9D" w:rsidP="00E56C9D" w14:paraId="6E854463" w14:textId="77777777">
      <w:pPr>
        <w:pStyle w:val="FootnoteText"/>
      </w:pPr>
      <w:r>
        <w:rPr>
          <w:rStyle w:val="FootnoteReference"/>
        </w:rPr>
        <w:footnoteRef/>
      </w:r>
      <w:r>
        <w:t xml:space="preserve"> 47 U.S.C. § 214(e)(1).</w:t>
      </w:r>
    </w:p>
  </w:footnote>
  <w:footnote w:id="6">
    <w:p w:rsidR="00E56C9D" w:rsidRPr="00B35D2E" w:rsidP="00E56C9D" w14:paraId="099D7245" w14:textId="77777777">
      <w:pPr>
        <w:pStyle w:val="FootnoteText"/>
      </w:pPr>
      <w:r w:rsidRPr="00B35D2E">
        <w:rPr>
          <w:rStyle w:val="FootnoteReference"/>
        </w:rPr>
        <w:footnoteRef/>
      </w:r>
      <w:r w:rsidRPr="00B35D2E">
        <w:t xml:space="preserve"> </w:t>
      </w:r>
      <w:r w:rsidRPr="00357B52">
        <w:rPr>
          <w:i/>
          <w:iCs/>
        </w:rPr>
        <w:t>Id</w:t>
      </w:r>
      <w:r>
        <w:t>.</w:t>
      </w:r>
      <w:r w:rsidRPr="00B35D2E">
        <w:t xml:space="preserve"> § 214(e)</w:t>
      </w:r>
      <w:r>
        <w:t>(6).</w:t>
      </w:r>
    </w:p>
  </w:footnote>
  <w:footnote w:id="7">
    <w:p w:rsidR="00E56C9D" w:rsidRPr="00B35D2E" w:rsidP="00E56C9D" w14:paraId="78356E8B" w14:textId="77777777">
      <w:pPr>
        <w:pStyle w:val="FootnoteText"/>
      </w:pPr>
      <w:r w:rsidRPr="00B35D2E">
        <w:rPr>
          <w:rStyle w:val="FootnoteReference"/>
        </w:rPr>
        <w:footnoteRef/>
      </w:r>
      <w:r w:rsidRPr="00B35D2E">
        <w:t xml:space="preserve"> </w:t>
      </w:r>
      <w:r w:rsidRPr="00951E86">
        <w:rPr>
          <w:i/>
          <w:iCs/>
        </w:rPr>
        <w:t>Id</w:t>
      </w:r>
      <w:r>
        <w:t>.</w:t>
      </w:r>
      <w:r w:rsidRPr="00B35D2E">
        <w:t xml:space="preserve"> § 214(e)(4)</w:t>
      </w:r>
      <w:r w:rsidRPr="00357B52">
        <w:t xml:space="preserve">. </w:t>
      </w:r>
    </w:p>
  </w:footnote>
  <w:footnote w:id="8">
    <w:p w:rsidR="00E56C9D" w:rsidRPr="00FA66CC" w:rsidP="00E56C9D" w14:paraId="34DED484" w14:textId="77777777">
      <w:pPr>
        <w:pStyle w:val="FootnoteText"/>
      </w:pPr>
      <w:r>
        <w:rPr>
          <w:rStyle w:val="FootnoteReference"/>
        </w:rPr>
        <w:footnoteRef/>
      </w:r>
      <w:r>
        <w:t xml:space="preserve"> </w:t>
      </w:r>
      <w:r w:rsidRPr="00946962">
        <w:rPr>
          <w:i/>
          <w:iCs/>
        </w:rPr>
        <w:t xml:space="preserve">See </w:t>
      </w:r>
      <w:r>
        <w:rPr>
          <w:i/>
          <w:iCs/>
        </w:rPr>
        <w:t>Transfer Order</w:t>
      </w:r>
      <w:r w:rsidRPr="00946962">
        <w:t xml:space="preserve"> at 1, 5</w:t>
      </w:r>
      <w:r>
        <w:t xml:space="preserve">; </w:t>
      </w:r>
      <w:r w:rsidRPr="00946962">
        <w:rPr>
          <w:i/>
          <w:iCs/>
        </w:rPr>
        <w:t>see also</w:t>
      </w:r>
      <w:r w:rsidRPr="00946962">
        <w:t xml:space="preserve"> </w:t>
      </w:r>
      <w:r w:rsidRPr="00FA66CC">
        <w:t xml:space="preserve">Application of </w:t>
      </w:r>
      <w:r w:rsidRPr="00FA66CC">
        <w:t>BroadLife</w:t>
      </w:r>
      <w:r w:rsidRPr="00FA66CC">
        <w:t xml:space="preserve"> Communications, Inc. and Yellowhammer Networks, LLC for Consent to Assignment of Domestic Section 214 Authorization, WC Docket No. 23-23 (filed Jan. 13, 2023</w:t>
      </w:r>
      <w:r>
        <w:t>)</w:t>
      </w:r>
      <w:r w:rsidRPr="00FA66CC">
        <w:t xml:space="preserve"> (Applicatio</w:t>
      </w:r>
      <w:r>
        <w:t>n</w:t>
      </w:r>
      <w:r w:rsidRPr="00FA66CC">
        <w:t>)</w:t>
      </w:r>
      <w:r>
        <w:t xml:space="preserve">, as supplemented, </w:t>
      </w:r>
      <w:r w:rsidRPr="00FA66CC">
        <w:t>Letter from Stephen Coran, Counsel to Yellowhammer Networks, LLC, to Marlene H. Dortch, Secretary, FCC, WC Docket No. 23-23 (filed Feb. 15, 2023</w:t>
      </w:r>
      <w:r>
        <w:t>) (Application Supplement).</w:t>
      </w:r>
    </w:p>
  </w:footnote>
  <w:footnote w:id="9">
    <w:p w:rsidR="00E56C9D" w:rsidRPr="00946962" w:rsidP="00E56C9D" w14:paraId="638B95E8" w14:textId="77777777">
      <w:pPr>
        <w:pStyle w:val="FootnoteText"/>
        <w:rPr>
          <w:i/>
          <w:iCs/>
        </w:rPr>
      </w:pPr>
      <w:r w:rsidRPr="00946962">
        <w:rPr>
          <w:rStyle w:val="FootnoteReference"/>
        </w:rPr>
        <w:footnoteRef/>
      </w:r>
      <w:r w:rsidRPr="00946962">
        <w:t xml:space="preserve"> </w:t>
      </w:r>
      <w:r w:rsidRPr="006B1618">
        <w:rPr>
          <w:i/>
          <w:iCs/>
        </w:rPr>
        <w:t xml:space="preserve">See </w:t>
      </w:r>
      <w:r w:rsidRPr="005E3EBD">
        <w:t>47 U.S.C. § 214; 47 CFR §§ 63.03-04</w:t>
      </w:r>
      <w:r>
        <w:t xml:space="preserve">.  </w:t>
      </w:r>
      <w:r w:rsidRPr="00946962">
        <w:t xml:space="preserve">ETCs seeking to transfer control of their domestic authorizations to operate pursuant to section 214 </w:t>
      </w:r>
      <w:r>
        <w:t xml:space="preserve">of the Act </w:t>
      </w:r>
      <w:r w:rsidRPr="00946962">
        <w:t xml:space="preserve">or to engage in the sale of assets under section 214 “must first receive approval from the Commission in accordance with sections 63.03 and 63.04 of the Commission’s rules governing the procedures for domestic transfer of control/asset applications.”  </w:t>
      </w:r>
      <w:r w:rsidRPr="00C140A4">
        <w:rPr>
          <w:i/>
          <w:iCs/>
        </w:rPr>
        <w:t>Broad</w:t>
      </w:r>
      <w:r>
        <w:rPr>
          <w:i/>
          <w:iCs/>
        </w:rPr>
        <w:t>Life</w:t>
      </w:r>
      <w:r w:rsidRPr="00C140A4">
        <w:rPr>
          <w:i/>
          <w:iCs/>
        </w:rPr>
        <w:t xml:space="preserve"> RDOF Authorization Order</w:t>
      </w:r>
      <w:r>
        <w:t xml:space="preserve">, </w:t>
      </w:r>
      <w:r w:rsidRPr="00E15075">
        <w:t xml:space="preserve">37 FCC </w:t>
      </w:r>
      <w:r w:rsidRPr="00693346">
        <w:t>Rcd</w:t>
      </w:r>
      <w:r w:rsidRPr="00693346">
        <w:t xml:space="preserve"> at 4904-05</w:t>
      </w:r>
      <w:r w:rsidRPr="00946962">
        <w:t xml:space="preserve">.  “Transfers of control and assignments of international section 214 authorizations are separately subject to section 63.24 of the Commission’s rules.  Except where the Commission has forborne from the application of section 214, this requirement applies to all transfers of control or asset acquisitions involving ETCs.”  </w:t>
      </w:r>
      <w:r w:rsidRPr="00946962">
        <w:rPr>
          <w:i/>
          <w:iCs/>
        </w:rPr>
        <w:t xml:space="preserve">Id.  </w:t>
      </w:r>
    </w:p>
  </w:footnote>
  <w:footnote w:id="10">
    <w:p w:rsidR="00E56C9D" w:rsidRPr="00604E31" w:rsidP="00E56C9D" w14:paraId="7D02C9D5" w14:textId="77777777">
      <w:pPr>
        <w:pStyle w:val="FootnoteText"/>
      </w:pPr>
      <w:r>
        <w:rPr>
          <w:rStyle w:val="FootnoteReference"/>
        </w:rPr>
        <w:footnoteRef/>
      </w:r>
      <w:r>
        <w:t xml:space="preserve"> </w:t>
      </w:r>
      <w:r>
        <w:rPr>
          <w:i/>
        </w:rPr>
        <w:t xml:space="preserve">See </w:t>
      </w:r>
      <w:r w:rsidRPr="003E4065">
        <w:rPr>
          <w:i/>
          <w:iCs/>
        </w:rPr>
        <w:t>Telecommunications Carriers Eligible for Universal Service Support</w:t>
      </w:r>
      <w:r>
        <w:t>, Order, DA 23-505 (WCB June 13, 2023).</w:t>
      </w:r>
    </w:p>
  </w:footnote>
  <w:footnote w:id="11">
    <w:p w:rsidR="00E56C9D" w:rsidP="00E56C9D" w14:paraId="6F05E770" w14:textId="77777777">
      <w:pPr>
        <w:pStyle w:val="FootnoteText"/>
      </w:pPr>
      <w:r>
        <w:rPr>
          <w:rStyle w:val="FootnoteReference"/>
        </w:rPr>
        <w:footnoteRef/>
      </w:r>
      <w:r>
        <w:t xml:space="preserve"> Application Supplement.</w:t>
      </w:r>
    </w:p>
  </w:footnote>
  <w:footnote w:id="12">
    <w:p w:rsidR="00E56C9D" w:rsidP="00E56C9D" w14:paraId="508CA5A7" w14:textId="77777777">
      <w:pPr>
        <w:pStyle w:val="FootnoteText"/>
      </w:pPr>
      <w:r>
        <w:rPr>
          <w:rStyle w:val="FootnoteReference"/>
        </w:rPr>
        <w:footnoteRef/>
      </w:r>
      <w:r>
        <w:t xml:space="preserve"> </w:t>
      </w:r>
      <w:r w:rsidRPr="00B20A8A">
        <w:rPr>
          <w:i/>
          <w:iCs/>
        </w:rPr>
        <w:t>Authorization of Yellowhammer Networks, LLC to Receive Di</w:t>
      </w:r>
      <w:r>
        <w:rPr>
          <w:i/>
          <w:iCs/>
        </w:rPr>
        <w:t>gital</w:t>
      </w:r>
      <w:r w:rsidRPr="00B20A8A">
        <w:rPr>
          <w:i/>
          <w:iCs/>
        </w:rPr>
        <w:t xml:space="preserve"> Opportunity Fund Support Transferred from </w:t>
      </w:r>
      <w:r w:rsidRPr="00B20A8A">
        <w:rPr>
          <w:i/>
          <w:iCs/>
        </w:rPr>
        <w:t>Broad</w:t>
      </w:r>
      <w:r>
        <w:rPr>
          <w:i/>
          <w:iCs/>
        </w:rPr>
        <w:t>Life</w:t>
      </w:r>
      <w:r>
        <w:rPr>
          <w:i/>
          <w:iCs/>
        </w:rPr>
        <w:t xml:space="preserve"> </w:t>
      </w:r>
      <w:r w:rsidRPr="00B20A8A">
        <w:rPr>
          <w:i/>
          <w:iCs/>
        </w:rPr>
        <w:t>Communications, Inc</w:t>
      </w:r>
      <w:r>
        <w:t xml:space="preserve">., WC Docket 10-90, Public Notice, </w:t>
      </w:r>
      <w:r w:rsidRPr="00B20A8A">
        <w:t>DA</w:t>
      </w:r>
      <w:r>
        <w:t xml:space="preserve"> </w:t>
      </w:r>
      <w:r w:rsidRPr="00B20A8A">
        <w:t>23-926</w:t>
      </w:r>
      <w:r>
        <w:t xml:space="preserve"> (WCB Oct. 3, 2023) (</w:t>
      </w:r>
      <w:r w:rsidRPr="00242FCF">
        <w:rPr>
          <w:i/>
          <w:iCs/>
        </w:rPr>
        <w:t>Yellowhammer Authorization Order</w:t>
      </w:r>
      <w:r>
        <w:t>).</w:t>
      </w:r>
    </w:p>
  </w:footnote>
  <w:footnote w:id="13">
    <w:p w:rsidR="00E56C9D" w:rsidP="00E56C9D" w14:paraId="3EBBDC26" w14:textId="77777777">
      <w:pPr>
        <w:pStyle w:val="FootnoteText"/>
      </w:pPr>
      <w:r>
        <w:rPr>
          <w:rStyle w:val="FootnoteReference"/>
        </w:rPr>
        <w:footnoteRef/>
      </w:r>
      <w:r>
        <w:t xml:space="preserve"> </w:t>
      </w:r>
      <w:r w:rsidRPr="00242FCF">
        <w:rPr>
          <w:i/>
          <w:iCs/>
        </w:rPr>
        <w:t>See id</w:t>
      </w:r>
      <w:r>
        <w:t xml:space="preserve">. at 3.  </w:t>
      </w:r>
    </w:p>
  </w:footnote>
  <w:footnote w:id="14">
    <w:p w:rsidR="00E56C9D" w:rsidRPr="00AE1F5F" w:rsidP="00E56C9D" w14:paraId="47F96789" w14:textId="77777777">
      <w:pPr>
        <w:pStyle w:val="FootnoteText"/>
      </w:pPr>
      <w:r>
        <w:rPr>
          <w:rStyle w:val="FootnoteReference"/>
        </w:rPr>
        <w:footnoteRef/>
      </w:r>
      <w:r>
        <w:t xml:space="preserve"> </w:t>
      </w:r>
      <w:r>
        <w:rPr>
          <w:i/>
        </w:rPr>
        <w:t xml:space="preserve">See generally </w:t>
      </w:r>
      <w:r w:rsidRPr="00847761">
        <w:rPr>
          <w:iCs/>
        </w:rPr>
        <w:t>Relinquishment Petition</w:t>
      </w:r>
      <w:r>
        <w:rPr>
          <w:i/>
        </w:rPr>
        <w:t xml:space="preserve">; </w:t>
      </w:r>
      <w:r w:rsidRPr="00242FCF">
        <w:rPr>
          <w:i/>
        </w:rPr>
        <w:t>BroadLife</w:t>
      </w:r>
      <w:r w:rsidRPr="00242FCF">
        <w:rPr>
          <w:i/>
        </w:rPr>
        <w:t xml:space="preserve"> ETC Designation Order</w:t>
      </w:r>
      <w:r>
        <w:rPr>
          <w:i/>
        </w:rPr>
        <w:t xml:space="preserve">, </w:t>
      </w:r>
      <w:r w:rsidRPr="00283142">
        <w:t xml:space="preserve">36 FCC </w:t>
      </w:r>
      <w:r w:rsidRPr="00283142">
        <w:t>Rcd</w:t>
      </w:r>
      <w:r w:rsidRPr="00283142">
        <w:t xml:space="preserve"> 9384</w:t>
      </w:r>
      <w:r>
        <w:t xml:space="preserve">.  The Bureau sought comment on </w:t>
      </w:r>
      <w:r>
        <w:t>BroadLife’s</w:t>
      </w:r>
      <w:r>
        <w:t xml:space="preserve"> petition for relinquishment of its ETC designation.  </w:t>
      </w:r>
      <w:r w:rsidRPr="00136382">
        <w:rPr>
          <w:i/>
          <w:iCs/>
        </w:rPr>
        <w:t xml:space="preserve">See Wireline Competition Bureau Seeks Comment on Petition for Relinquishment of Eligible Telecommunications Carrier Designation Submitted by </w:t>
      </w:r>
      <w:r w:rsidRPr="00136382">
        <w:rPr>
          <w:i/>
          <w:iCs/>
        </w:rPr>
        <w:t>BroadLife</w:t>
      </w:r>
      <w:r w:rsidRPr="00136382">
        <w:rPr>
          <w:i/>
          <w:iCs/>
        </w:rPr>
        <w:t xml:space="preserve"> Communications, Inc</w:t>
      </w:r>
      <w:r>
        <w:t>., Public Notice, DA 23-927 (WCB Oct. 3, 2023).  No comments were filed.</w:t>
      </w:r>
    </w:p>
  </w:footnote>
  <w:footnote w:id="15">
    <w:p w:rsidR="00E56C9D" w:rsidP="00E56C9D" w14:paraId="4605C26B" w14:textId="77777777">
      <w:pPr>
        <w:pStyle w:val="FootnoteText"/>
      </w:pPr>
      <w:r>
        <w:rPr>
          <w:rStyle w:val="FootnoteReference"/>
        </w:rPr>
        <w:footnoteRef/>
      </w:r>
      <w:r>
        <w:t xml:space="preserve"> </w:t>
      </w:r>
      <w:r w:rsidRPr="00A20D90">
        <w:rPr>
          <w:i/>
          <w:iCs/>
        </w:rPr>
        <w:t>See</w:t>
      </w:r>
      <w:r>
        <w:t xml:space="preserve"> Relinquishment Petition at 2.</w:t>
      </w:r>
    </w:p>
  </w:footnote>
  <w:footnote w:id="16">
    <w:p w:rsidR="00E56C9D" w:rsidP="00E56C9D" w14:paraId="66005FEE" w14:textId="77777777">
      <w:pPr>
        <w:pStyle w:val="FootnoteText"/>
      </w:pPr>
      <w:r>
        <w:rPr>
          <w:rStyle w:val="FootnoteReference"/>
        </w:rPr>
        <w:footnoteRef/>
      </w:r>
      <w:r>
        <w:t xml:space="preserve"> </w:t>
      </w:r>
      <w:r>
        <w:rPr>
          <w:i/>
          <w:iCs/>
        </w:rPr>
        <w:t>I</w:t>
      </w:r>
      <w:r w:rsidRPr="00362DB9">
        <w:rPr>
          <w:i/>
          <w:iCs/>
        </w:rPr>
        <w:t>d</w:t>
      </w:r>
      <w:r>
        <w:t>.</w:t>
      </w:r>
    </w:p>
  </w:footnote>
  <w:footnote w:id="17">
    <w:p w:rsidR="00E56C9D" w:rsidP="00E56C9D" w14:paraId="376D1E3B" w14:textId="77777777">
      <w:pPr>
        <w:pStyle w:val="FootnoteText"/>
      </w:pPr>
      <w:r>
        <w:rPr>
          <w:rStyle w:val="FootnoteReference"/>
        </w:rPr>
        <w:footnoteRef/>
      </w:r>
      <w:r>
        <w:t xml:space="preserve"> </w:t>
      </w:r>
      <w:r w:rsidRPr="00362DB9">
        <w:rPr>
          <w:i/>
          <w:iCs/>
        </w:rPr>
        <w:t>See id</w:t>
      </w:r>
      <w:r>
        <w:t>. at 2-3.</w:t>
      </w:r>
    </w:p>
  </w:footnote>
  <w:footnote w:id="18">
    <w:p w:rsidR="00E56C9D" w:rsidP="00E56C9D" w14:paraId="702D7F11" w14:textId="77777777">
      <w:pPr>
        <w:pStyle w:val="FootnoteText"/>
      </w:pPr>
      <w:r>
        <w:rPr>
          <w:rStyle w:val="FootnoteReference"/>
        </w:rPr>
        <w:footnoteRef/>
      </w:r>
      <w:r>
        <w:t xml:space="preserve"> </w:t>
      </w:r>
      <w:r w:rsidRPr="00BC3533">
        <w:rPr>
          <w:i/>
          <w:iCs/>
        </w:rPr>
        <w:t>See id</w:t>
      </w:r>
      <w:r>
        <w:t xml:space="preserve">. at 3; </w:t>
      </w:r>
      <w:r w:rsidRPr="00DF5DA5">
        <w:rPr>
          <w:i/>
          <w:iCs/>
        </w:rPr>
        <w:t>see also</w:t>
      </w:r>
      <w:r>
        <w:t xml:space="preserve"> </w:t>
      </w:r>
      <w:r>
        <w:rPr>
          <w:i/>
          <w:iCs/>
        </w:rPr>
        <w:t>Yellowhammer Authorization Order</w:t>
      </w:r>
      <w:r w:rsidRPr="00BC3533">
        <w:t xml:space="preserve">, DA 23-925 at 2-3 (citing </w:t>
      </w:r>
      <w:r w:rsidRPr="00BC3533">
        <w:rPr>
          <w:i/>
          <w:iCs/>
        </w:rPr>
        <w:t>Rural Digital Opportunity Fund et al</w:t>
      </w:r>
      <w:r w:rsidRPr="00BC3533">
        <w:t xml:space="preserve">., WC Docket No. 19-126 et al., Report and Order, 35 FCC </w:t>
      </w:r>
      <w:r w:rsidRPr="00BC3533">
        <w:t>Rcd</w:t>
      </w:r>
      <w:r w:rsidRPr="00BC3533">
        <w:t xml:space="preserve"> 686, 745, para. 139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56B16DA" w14:textId="50E2996C">
    <w:pPr>
      <w:pStyle w:val="Header"/>
      <w:rPr>
        <w:b w:val="0"/>
      </w:rPr>
    </w:pPr>
    <w:r>
      <w:tab/>
      <w:t>Federal Communications Commission</w:t>
    </w:r>
    <w:r>
      <w:tab/>
    </w:r>
    <w:r w:rsidR="004147C1">
      <w:t>DA 23-1190</w:t>
    </w:r>
  </w:p>
  <w:p w:rsidR="00D25FB5" w14:paraId="2858AE7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D2AF70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5DEBE2" w14:textId="2AE83B8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9104C">
      <w:rPr>
        <w:spacing w:val="-2"/>
      </w:rPr>
      <w:t>DA 23-</w:t>
    </w:r>
    <w:r w:rsidR="004147C1">
      <w:rPr>
        <w:spacing w:val="-2"/>
      </w:rPr>
      <w:t>1190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9D"/>
    <w:rsid w:val="00036039"/>
    <w:rsid w:val="00037F90"/>
    <w:rsid w:val="000875BF"/>
    <w:rsid w:val="00096D8C"/>
    <w:rsid w:val="000C0B65"/>
    <w:rsid w:val="000E05FE"/>
    <w:rsid w:val="000E3D42"/>
    <w:rsid w:val="00122BD5"/>
    <w:rsid w:val="00133F79"/>
    <w:rsid w:val="00136382"/>
    <w:rsid w:val="0019104C"/>
    <w:rsid w:val="00194A66"/>
    <w:rsid w:val="001D6BCF"/>
    <w:rsid w:val="001E01CA"/>
    <w:rsid w:val="00242FCF"/>
    <w:rsid w:val="00275CF5"/>
    <w:rsid w:val="0028301F"/>
    <w:rsid w:val="00283142"/>
    <w:rsid w:val="00285017"/>
    <w:rsid w:val="002A2D2E"/>
    <w:rsid w:val="002C00E8"/>
    <w:rsid w:val="00306250"/>
    <w:rsid w:val="00343749"/>
    <w:rsid w:val="00357B52"/>
    <w:rsid w:val="00362DB9"/>
    <w:rsid w:val="003660ED"/>
    <w:rsid w:val="003B0550"/>
    <w:rsid w:val="003B694F"/>
    <w:rsid w:val="003E4065"/>
    <w:rsid w:val="003F171C"/>
    <w:rsid w:val="00412FC5"/>
    <w:rsid w:val="004147C1"/>
    <w:rsid w:val="00422276"/>
    <w:rsid w:val="004242F1"/>
    <w:rsid w:val="00445A00"/>
    <w:rsid w:val="00451B0F"/>
    <w:rsid w:val="004C2EE3"/>
    <w:rsid w:val="004E4A22"/>
    <w:rsid w:val="00511968"/>
    <w:rsid w:val="0055614C"/>
    <w:rsid w:val="00566D06"/>
    <w:rsid w:val="005E14C2"/>
    <w:rsid w:val="005E3EBD"/>
    <w:rsid w:val="00604E31"/>
    <w:rsid w:val="00607BA5"/>
    <w:rsid w:val="0061180A"/>
    <w:rsid w:val="00626EB6"/>
    <w:rsid w:val="006478C0"/>
    <w:rsid w:val="00655D03"/>
    <w:rsid w:val="00683388"/>
    <w:rsid w:val="00683F84"/>
    <w:rsid w:val="00693346"/>
    <w:rsid w:val="006A6A81"/>
    <w:rsid w:val="006B1618"/>
    <w:rsid w:val="006F3313"/>
    <w:rsid w:val="006F7393"/>
    <w:rsid w:val="0070224F"/>
    <w:rsid w:val="007115F7"/>
    <w:rsid w:val="00785689"/>
    <w:rsid w:val="0079754B"/>
    <w:rsid w:val="007A1E6D"/>
    <w:rsid w:val="007B0EB2"/>
    <w:rsid w:val="00810B6F"/>
    <w:rsid w:val="00822CE0"/>
    <w:rsid w:val="00841AB1"/>
    <w:rsid w:val="00847761"/>
    <w:rsid w:val="008C68F1"/>
    <w:rsid w:val="00903A47"/>
    <w:rsid w:val="00907E32"/>
    <w:rsid w:val="00921803"/>
    <w:rsid w:val="00926503"/>
    <w:rsid w:val="00946962"/>
    <w:rsid w:val="00951E86"/>
    <w:rsid w:val="009726D8"/>
    <w:rsid w:val="009C1E18"/>
    <w:rsid w:val="009D7308"/>
    <w:rsid w:val="009F76DB"/>
    <w:rsid w:val="00A10786"/>
    <w:rsid w:val="00A20D90"/>
    <w:rsid w:val="00A32C3B"/>
    <w:rsid w:val="00A45F4F"/>
    <w:rsid w:val="00A56308"/>
    <w:rsid w:val="00A600A9"/>
    <w:rsid w:val="00A641C2"/>
    <w:rsid w:val="00AA55B7"/>
    <w:rsid w:val="00AA5B9E"/>
    <w:rsid w:val="00AB2407"/>
    <w:rsid w:val="00AB53DF"/>
    <w:rsid w:val="00AE1F5F"/>
    <w:rsid w:val="00B07E5C"/>
    <w:rsid w:val="00B20A8A"/>
    <w:rsid w:val="00B24BAC"/>
    <w:rsid w:val="00B35D2E"/>
    <w:rsid w:val="00B35DE5"/>
    <w:rsid w:val="00B811F7"/>
    <w:rsid w:val="00BA5DC6"/>
    <w:rsid w:val="00BA6196"/>
    <w:rsid w:val="00BC3533"/>
    <w:rsid w:val="00BC6D8C"/>
    <w:rsid w:val="00C140A4"/>
    <w:rsid w:val="00C34006"/>
    <w:rsid w:val="00C36B4C"/>
    <w:rsid w:val="00C426B1"/>
    <w:rsid w:val="00C66160"/>
    <w:rsid w:val="00C721AC"/>
    <w:rsid w:val="00C90D6A"/>
    <w:rsid w:val="00CA247E"/>
    <w:rsid w:val="00CA6D21"/>
    <w:rsid w:val="00CC72B6"/>
    <w:rsid w:val="00D0218D"/>
    <w:rsid w:val="00D25FB5"/>
    <w:rsid w:val="00D44223"/>
    <w:rsid w:val="00D5687F"/>
    <w:rsid w:val="00DA2529"/>
    <w:rsid w:val="00DB130A"/>
    <w:rsid w:val="00DB2EBB"/>
    <w:rsid w:val="00DC10A1"/>
    <w:rsid w:val="00DC655F"/>
    <w:rsid w:val="00DD0B59"/>
    <w:rsid w:val="00DD7EBD"/>
    <w:rsid w:val="00DF5DA5"/>
    <w:rsid w:val="00DF62B6"/>
    <w:rsid w:val="00E07225"/>
    <w:rsid w:val="00E15075"/>
    <w:rsid w:val="00E5409F"/>
    <w:rsid w:val="00E56C9D"/>
    <w:rsid w:val="00ED11A6"/>
    <w:rsid w:val="00EE6488"/>
    <w:rsid w:val="00F021FA"/>
    <w:rsid w:val="00F62E97"/>
    <w:rsid w:val="00F64209"/>
    <w:rsid w:val="00F93BF5"/>
    <w:rsid w:val="00FA66CC"/>
    <w:rsid w:val="00FC7851"/>
    <w:rsid w:val="079DA2EF"/>
    <w:rsid w:val="640D4B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F67CF2"/>
  <w15:chartTrackingRefBased/>
  <w15:docId w15:val="{26632299-D699-4BD8-8F82-ACD45CF0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56C9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 Char1 Char Char Char Char,Footnote Text Char1,Footnote Text Char1 Char Char,Footnote Text Char1 Char Char Char Char Char Char,fn,fn Char1,rrfootnote"/>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Footnote Text Char Char Char Char Char,Footnote Text Char Char1 Char Char Char Char Char,Footnote Text Char1 Char,Footnote Text Char1 Char Char Char,fn Char,fn Char1 Char,rrfootnote Char"/>
    <w:link w:val="FootnoteText"/>
    <w:rsid w:val="00E56C9D"/>
  </w:style>
  <w:style w:type="character" w:customStyle="1" w:styleId="ParaNumCharChar1">
    <w:name w:val="ParaNum Char Char1"/>
    <w:link w:val="ParaNum"/>
    <w:locked/>
    <w:rsid w:val="00E56C9D"/>
    <w:rPr>
      <w:snapToGrid w:val="0"/>
      <w:kern w:val="28"/>
      <w:sz w:val="22"/>
    </w:rPr>
  </w:style>
  <w:style w:type="character" w:customStyle="1" w:styleId="eop">
    <w:name w:val="eop"/>
    <w:basedOn w:val="DefaultParagraphFont"/>
    <w:rsid w:val="00E56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Kiara.Ortiz\FCC\FCC%20-%20NAL\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