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7C8287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C41C24" w14:textId="77777777">
      <w:pPr>
        <w:pStyle w:val="StyleBoldCentered"/>
      </w:pPr>
      <w:r>
        <w:t>F</w:t>
      </w:r>
      <w:r>
        <w:rPr>
          <w:caps w:val="0"/>
        </w:rPr>
        <w:t>ederal Communications Commission</w:t>
      </w:r>
    </w:p>
    <w:p w:rsidR="004C2EE3" w:rsidP="00096D8C" w14:paraId="3278678C" w14:textId="77777777">
      <w:pPr>
        <w:pStyle w:val="StyleBoldCentered"/>
      </w:pPr>
      <w:r>
        <w:rPr>
          <w:caps w:val="0"/>
        </w:rPr>
        <w:t>Washington, D.C. 20554</w:t>
      </w:r>
    </w:p>
    <w:p w:rsidR="004C2EE3" w:rsidP="0070224F" w14:paraId="502930DD" w14:textId="77777777"/>
    <w:p w:rsidR="004C2EE3" w:rsidP="0070224F" w14:paraId="5744614E" w14:textId="77777777"/>
    <w:tbl>
      <w:tblPr>
        <w:tblW w:w="0" w:type="auto"/>
        <w:tblLayout w:type="fixed"/>
        <w:tblLook w:val="0000"/>
      </w:tblPr>
      <w:tblGrid>
        <w:gridCol w:w="4698"/>
        <w:gridCol w:w="630"/>
        <w:gridCol w:w="4248"/>
      </w:tblGrid>
      <w:tr w14:paraId="6E1AD069" w14:textId="77777777">
        <w:tblPrEx>
          <w:tblW w:w="0" w:type="auto"/>
          <w:tblLayout w:type="fixed"/>
          <w:tblLook w:val="0000"/>
        </w:tblPrEx>
        <w:tc>
          <w:tcPr>
            <w:tcW w:w="4698" w:type="dxa"/>
          </w:tcPr>
          <w:p w:rsidR="004C2EE3" w14:paraId="7555D110" w14:textId="77777777">
            <w:pPr>
              <w:tabs>
                <w:tab w:val="center" w:pos="4680"/>
              </w:tabs>
              <w:suppressAutoHyphens/>
              <w:rPr>
                <w:spacing w:val="-2"/>
              </w:rPr>
            </w:pPr>
            <w:r>
              <w:rPr>
                <w:spacing w:val="-2"/>
              </w:rPr>
              <w:t>In the Matter of</w:t>
            </w:r>
          </w:p>
          <w:p w:rsidR="004C2EE3" w14:paraId="784249F2" w14:textId="77777777">
            <w:pPr>
              <w:tabs>
                <w:tab w:val="center" w:pos="4680"/>
              </w:tabs>
              <w:suppressAutoHyphens/>
              <w:rPr>
                <w:spacing w:val="-2"/>
              </w:rPr>
            </w:pPr>
          </w:p>
          <w:p w:rsidR="004C2EE3" w:rsidRPr="007115F7" w:rsidP="007115F7" w14:paraId="221BC1ED" w14:textId="591D2C2C">
            <w:pPr>
              <w:tabs>
                <w:tab w:val="center" w:pos="4680"/>
              </w:tabs>
              <w:suppressAutoHyphens/>
              <w:rPr>
                <w:spacing w:val="-2"/>
              </w:rPr>
            </w:pPr>
            <w:r w:rsidRPr="00AE6A8D">
              <w:rPr>
                <w:spacing w:val="-2"/>
                <w:szCs w:val="22"/>
              </w:rPr>
              <w:t>Connect America Fund</w:t>
            </w:r>
          </w:p>
        </w:tc>
        <w:tc>
          <w:tcPr>
            <w:tcW w:w="630" w:type="dxa"/>
          </w:tcPr>
          <w:p w:rsidR="004C2EE3" w14:paraId="1DEB6210" w14:textId="77777777">
            <w:pPr>
              <w:tabs>
                <w:tab w:val="center" w:pos="4680"/>
              </w:tabs>
              <w:suppressAutoHyphens/>
              <w:rPr>
                <w:b/>
                <w:spacing w:val="-2"/>
              </w:rPr>
            </w:pPr>
            <w:r>
              <w:rPr>
                <w:b/>
                <w:spacing w:val="-2"/>
              </w:rPr>
              <w:t>)</w:t>
            </w:r>
          </w:p>
          <w:p w:rsidR="004C2EE3" w14:paraId="6A1DC5CB" w14:textId="77777777">
            <w:pPr>
              <w:tabs>
                <w:tab w:val="center" w:pos="4680"/>
              </w:tabs>
              <w:suppressAutoHyphens/>
              <w:rPr>
                <w:b/>
                <w:spacing w:val="-2"/>
              </w:rPr>
            </w:pPr>
            <w:r>
              <w:rPr>
                <w:b/>
                <w:spacing w:val="-2"/>
              </w:rPr>
              <w:t>)</w:t>
            </w:r>
          </w:p>
          <w:p w:rsidR="004C2EE3" w14:paraId="1339EF9D" w14:textId="77777777">
            <w:pPr>
              <w:tabs>
                <w:tab w:val="center" w:pos="4680"/>
              </w:tabs>
              <w:suppressAutoHyphens/>
              <w:rPr>
                <w:b/>
                <w:spacing w:val="-2"/>
              </w:rPr>
            </w:pPr>
            <w:r>
              <w:rPr>
                <w:b/>
                <w:spacing w:val="-2"/>
              </w:rPr>
              <w:t>)</w:t>
            </w:r>
          </w:p>
          <w:p w:rsidR="004C2EE3" w14:paraId="30AA1EF8" w14:textId="77777777">
            <w:pPr>
              <w:tabs>
                <w:tab w:val="center" w:pos="4680"/>
              </w:tabs>
              <w:suppressAutoHyphens/>
              <w:rPr>
                <w:b/>
                <w:spacing w:val="-2"/>
              </w:rPr>
            </w:pPr>
            <w:r>
              <w:rPr>
                <w:b/>
                <w:spacing w:val="-2"/>
              </w:rPr>
              <w:t>)</w:t>
            </w:r>
          </w:p>
          <w:p w:rsidR="004C2EE3" w:rsidRPr="007601CE" w14:paraId="23D3907C" w14:textId="03787647">
            <w:pPr>
              <w:tabs>
                <w:tab w:val="center" w:pos="4680"/>
              </w:tabs>
              <w:suppressAutoHyphens/>
              <w:rPr>
                <w:b/>
                <w:spacing w:val="-2"/>
              </w:rPr>
            </w:pPr>
            <w:r>
              <w:rPr>
                <w:b/>
                <w:spacing w:val="-2"/>
              </w:rPr>
              <w:t>)</w:t>
            </w:r>
          </w:p>
        </w:tc>
        <w:tc>
          <w:tcPr>
            <w:tcW w:w="4248" w:type="dxa"/>
          </w:tcPr>
          <w:p w:rsidR="004C2EE3" w14:paraId="065AAE08" w14:textId="77777777">
            <w:pPr>
              <w:tabs>
                <w:tab w:val="center" w:pos="4680"/>
              </w:tabs>
              <w:suppressAutoHyphens/>
              <w:rPr>
                <w:spacing w:val="-2"/>
              </w:rPr>
            </w:pPr>
          </w:p>
          <w:p w:rsidR="004C2EE3" w14:paraId="5FD3193C" w14:textId="77777777">
            <w:pPr>
              <w:pStyle w:val="TOAHeading"/>
              <w:tabs>
                <w:tab w:val="center" w:pos="4680"/>
                <w:tab w:val="clear" w:pos="9360"/>
              </w:tabs>
              <w:rPr>
                <w:spacing w:val="-2"/>
              </w:rPr>
            </w:pPr>
          </w:p>
          <w:p w:rsidR="004C2EE3" w14:paraId="407BF2B5" w14:textId="464ECE44">
            <w:pPr>
              <w:tabs>
                <w:tab w:val="center" w:pos="4680"/>
              </w:tabs>
              <w:suppressAutoHyphens/>
              <w:rPr>
                <w:spacing w:val="-2"/>
              </w:rPr>
            </w:pPr>
            <w:r>
              <w:rPr>
                <w:spacing w:val="-2"/>
              </w:rPr>
              <w:t>WC Docket No. 10-90</w:t>
            </w:r>
          </w:p>
        </w:tc>
      </w:tr>
    </w:tbl>
    <w:p w:rsidR="004C2EE3" w:rsidP="0070224F" w14:paraId="15BA3100" w14:textId="77777777"/>
    <w:p w:rsidR="00841AB1" w:rsidP="00F021FA" w14:paraId="22F6935C" w14:textId="2D65DAA2">
      <w:pPr>
        <w:pStyle w:val="StyleBoldCentered"/>
      </w:pPr>
      <w:r>
        <w:t>Order</w:t>
      </w:r>
    </w:p>
    <w:p w:rsidR="004C2EE3" w14:paraId="687FF966" w14:textId="77777777">
      <w:pPr>
        <w:tabs>
          <w:tab w:val="left" w:pos="-720"/>
        </w:tabs>
        <w:suppressAutoHyphens/>
        <w:spacing w:line="227" w:lineRule="auto"/>
        <w:rPr>
          <w:spacing w:val="-2"/>
        </w:rPr>
      </w:pPr>
    </w:p>
    <w:p w:rsidR="004C2EE3" w:rsidP="00133F79" w14:paraId="108FBB1D" w14:textId="1ACF0EBF">
      <w:pPr>
        <w:tabs>
          <w:tab w:val="left" w:pos="720"/>
          <w:tab w:val="right" w:pos="9360"/>
        </w:tabs>
        <w:suppressAutoHyphens/>
        <w:spacing w:line="227" w:lineRule="auto"/>
        <w:rPr>
          <w:spacing w:val="-2"/>
        </w:rPr>
      </w:pPr>
      <w:r>
        <w:rPr>
          <w:b/>
          <w:spacing w:val="-2"/>
        </w:rPr>
        <w:t xml:space="preserve">Adopted:  </w:t>
      </w:r>
      <w:r w:rsidR="003E2452">
        <w:rPr>
          <w:b/>
          <w:spacing w:val="-2"/>
        </w:rPr>
        <w:t>February 9, 2023</w:t>
      </w:r>
      <w:r>
        <w:rPr>
          <w:b/>
          <w:spacing w:val="-2"/>
        </w:rPr>
        <w:tab/>
      </w:r>
      <w:r w:rsidR="00822CE0">
        <w:rPr>
          <w:b/>
          <w:spacing w:val="-2"/>
        </w:rPr>
        <w:t>Released</w:t>
      </w:r>
      <w:r>
        <w:rPr>
          <w:b/>
          <w:spacing w:val="-2"/>
        </w:rPr>
        <w:t>:</w:t>
      </w:r>
      <w:r w:rsidR="00822CE0">
        <w:rPr>
          <w:b/>
          <w:spacing w:val="-2"/>
        </w:rPr>
        <w:t xml:space="preserve"> </w:t>
      </w:r>
      <w:r w:rsidR="003E2452">
        <w:rPr>
          <w:b/>
          <w:spacing w:val="-2"/>
        </w:rPr>
        <w:t>February 9, 2023</w:t>
      </w:r>
    </w:p>
    <w:p w:rsidR="00822CE0" w14:paraId="750A0114" w14:textId="77777777"/>
    <w:p w:rsidR="004C2EE3" w14:paraId="1BD8494A" w14:textId="60E3B8AA">
      <w:pPr>
        <w:rPr>
          <w:spacing w:val="-2"/>
        </w:rPr>
      </w:pPr>
      <w:r>
        <w:t xml:space="preserve">By </w:t>
      </w:r>
      <w:r w:rsidR="004E4A22">
        <w:t>the</w:t>
      </w:r>
      <w:r w:rsidR="002A2D2E">
        <w:t xml:space="preserve"> </w:t>
      </w:r>
      <w:r w:rsidR="007601CE">
        <w:rPr>
          <w:spacing w:val="-2"/>
        </w:rPr>
        <w:t>Chief, Wireline Competition Bureau</w:t>
      </w:r>
      <w:r>
        <w:rPr>
          <w:spacing w:val="-2"/>
        </w:rPr>
        <w:t>:</w:t>
      </w:r>
    </w:p>
    <w:p w:rsidR="00822CE0" w14:paraId="53805A72" w14:textId="77777777">
      <w:pPr>
        <w:rPr>
          <w:spacing w:val="-2"/>
        </w:rPr>
      </w:pPr>
    </w:p>
    <w:p w:rsidR="00412FC5" w:rsidP="00C36B4C" w14:paraId="7E1ABAF3" w14:textId="02194AEF">
      <w:pPr>
        <w:pStyle w:val="Heading1"/>
      </w:pPr>
      <w:r>
        <w:t>Introduction</w:t>
      </w:r>
    </w:p>
    <w:p w:rsidR="007601CE" w:rsidP="007601CE" w14:paraId="0EDFC7A9" w14:textId="77777777">
      <w:pPr>
        <w:pStyle w:val="ParaNum"/>
        <w:widowControl/>
      </w:pPr>
      <w:r>
        <w:t>With the release of this Order, the Wireline Competition Bureau (Bureau) concludes the Eligible Locations Adjustment Process (</w:t>
      </w:r>
      <w:r>
        <w:t>ELAP</w:t>
      </w:r>
      <w:r>
        <w:t xml:space="preserve">) for the Connect America Fund (CAF) Phase II auction.  We find that each of the support recipients specified in the Attachment (Participants) has </w:t>
      </w:r>
      <w:r w:rsidRPr="002D71A2">
        <w:t xml:space="preserve">met the burden of proof </w:t>
      </w:r>
      <w:r>
        <w:t>by</w:t>
      </w:r>
      <w:r w:rsidRPr="002D71A2">
        <w:t xml:space="preserve"> demonstrat</w:t>
      </w:r>
      <w:r>
        <w:t>ing</w:t>
      </w:r>
      <w:r w:rsidRPr="002D71A2">
        <w:t xml:space="preserve"> </w:t>
      </w:r>
      <w:r>
        <w:t xml:space="preserve">that </w:t>
      </w:r>
      <w:r w:rsidRPr="002D71A2">
        <w:t xml:space="preserve">it is more likely than not that </w:t>
      </w:r>
      <w:r>
        <w:t>the Participant</w:t>
      </w:r>
      <w:r w:rsidRPr="002D71A2">
        <w:t xml:space="preserve"> has identified all eligible locations in its CAF Phase II auction service area</w:t>
      </w:r>
      <w:r>
        <w:t>.  Accordingly, we adopt new deployment obligations for each of these support recipients and reduce each Participant’s authorized support on a pro rata basis as directed by the Commission.</w:t>
      </w:r>
    </w:p>
    <w:p w:rsidR="007601CE" w:rsidRPr="00A366EF" w:rsidP="007601CE" w14:paraId="39FB6880" w14:textId="77777777">
      <w:pPr>
        <w:pStyle w:val="ParaNum"/>
        <w:widowControl/>
        <w:rPr>
          <w:szCs w:val="22"/>
        </w:rPr>
      </w:pPr>
      <w:r w:rsidRPr="00A366EF">
        <w:rPr>
          <w:szCs w:val="22"/>
        </w:rPr>
        <w:t xml:space="preserve">The Bureau also addresses a petition filed by Douglas Services, Inc., d/b/a Douglas Fast Net (Douglas Services) seeking waiver of the August 3, 2021 deadline for all Participants to submit </w:t>
      </w:r>
      <w:r w:rsidRPr="00A366EF">
        <w:rPr>
          <w:szCs w:val="22"/>
        </w:rPr>
        <w:t>ELAP</w:t>
      </w:r>
      <w:r w:rsidRPr="00A366EF">
        <w:rPr>
          <w:szCs w:val="22"/>
        </w:rPr>
        <w:t xml:space="preserve"> information so as to allow it to participate in the </w:t>
      </w:r>
      <w:r w:rsidRPr="00A366EF">
        <w:rPr>
          <w:szCs w:val="22"/>
        </w:rPr>
        <w:t>ELAP</w:t>
      </w:r>
      <w:r w:rsidRPr="00A366EF">
        <w:rPr>
          <w:szCs w:val="22"/>
        </w:rPr>
        <w:t>.</w:t>
      </w:r>
      <w:r>
        <w:rPr>
          <w:rStyle w:val="FootnoteReference"/>
          <w:color w:val="000000"/>
          <w:sz w:val="22"/>
        </w:rPr>
        <w:footnoteReference w:id="3"/>
      </w:r>
      <w:r w:rsidRPr="00A366EF">
        <w:rPr>
          <w:szCs w:val="22"/>
        </w:rPr>
        <w:t xml:space="preserve">  We find that Douglas </w:t>
      </w:r>
      <w:r>
        <w:rPr>
          <w:szCs w:val="22"/>
        </w:rPr>
        <w:t xml:space="preserve">Services </w:t>
      </w:r>
      <w:r w:rsidRPr="00A366EF">
        <w:rPr>
          <w:szCs w:val="22"/>
        </w:rPr>
        <w:t>has failed to demonstrate good cause for waiver, and accordingly, deny Douglas Services its requested relief.</w:t>
      </w:r>
    </w:p>
    <w:p w:rsidR="007601CE" w:rsidP="007601CE" w14:paraId="1F5C52AC" w14:textId="09CB6D10">
      <w:pPr>
        <w:pStyle w:val="Heading1"/>
      </w:pPr>
      <w:r>
        <w:t>ELAP</w:t>
      </w:r>
      <w:r>
        <w:t xml:space="preserve"> Adjustment</w:t>
      </w:r>
    </w:p>
    <w:p w:rsidR="007601CE" w:rsidRPr="007601CE" w:rsidP="007601CE" w14:paraId="5C23B8F5" w14:textId="0AE81553">
      <w:pPr>
        <w:pStyle w:val="Heading2"/>
      </w:pPr>
      <w:r w:rsidRPr="007601CE">
        <w:t>Background</w:t>
      </w:r>
    </w:p>
    <w:p w:rsidR="007601CE" w:rsidP="007601CE" w14:paraId="682B4E85" w14:textId="77777777">
      <w:pPr>
        <w:pStyle w:val="ParaNum"/>
        <w:widowControl/>
      </w:pPr>
      <w:r w:rsidRPr="00DB0BE1">
        <w:t xml:space="preserve">In the </w:t>
      </w:r>
      <w:r w:rsidRPr="2AB1768B">
        <w:rPr>
          <w:i/>
          <w:iCs/>
        </w:rPr>
        <w:t>Phase II Auction Order</w:t>
      </w:r>
      <w:r w:rsidRPr="00DB0BE1">
        <w:t xml:space="preserve">, the Commission adopted a competitive bidding process to support deployment in price cap areas not already served by </w:t>
      </w:r>
      <w:r>
        <w:t xml:space="preserve">a price-cap carrier receiving high-cost support or by </w:t>
      </w:r>
      <w:r w:rsidRPr="00DB0BE1">
        <w:t>a</w:t>
      </w:r>
      <w:r>
        <w:t>n unsubsidized provider.</w:t>
      </w:r>
      <w:r>
        <w:rPr>
          <w:rStyle w:val="FootnoteReference"/>
          <w:color w:val="000000"/>
          <w:sz w:val="22"/>
          <w:szCs w:val="22"/>
        </w:rPr>
        <w:footnoteReference w:id="4"/>
      </w:r>
      <w:r w:rsidRPr="00DB0BE1">
        <w:t xml:space="preserve">  </w:t>
      </w:r>
      <w:r>
        <w:t>Pursuant to this process, w</w:t>
      </w:r>
      <w:r w:rsidRPr="00DB0BE1">
        <w:t xml:space="preserve">inning bidders would, as a condition of receiving support, commit to offering service to a </w:t>
      </w:r>
      <w:r>
        <w:t xml:space="preserve">specific </w:t>
      </w:r>
      <w:r w:rsidRPr="00DB0BE1">
        <w:t>number of</w:t>
      </w:r>
      <w:r>
        <w:t xml:space="preserve"> </w:t>
      </w:r>
      <w:r w:rsidRPr="00DB0BE1">
        <w:t xml:space="preserve">locations </w:t>
      </w:r>
      <w:r>
        <w:t xml:space="preserve">(funded locations) as </w:t>
      </w:r>
      <w:r>
        <w:t>determined by the Connect America Cost Model (CAM).</w:t>
      </w:r>
      <w:r>
        <w:rPr>
          <w:rStyle w:val="FootnoteReference"/>
          <w:color w:val="000000"/>
          <w:sz w:val="22"/>
          <w:szCs w:val="22"/>
        </w:rPr>
        <w:footnoteReference w:id="5"/>
      </w:r>
      <w:bookmarkStart w:id="1" w:name="_Hlk7171054"/>
      <w:r w:rsidRPr="00E138DD">
        <w:t xml:space="preserve">  </w:t>
      </w:r>
      <w:r>
        <w:t>The Commission set this defined deployment obligation for each support recipient as</w:t>
      </w:r>
      <w:r w:rsidRPr="00E138DD">
        <w:t xml:space="preserve"> the sum of the funded locations in all of the areas </w:t>
      </w:r>
      <w:r>
        <w:t xml:space="preserve">the recipient </w:t>
      </w:r>
      <w:r w:rsidRPr="00E138DD">
        <w:t xml:space="preserve">won in </w:t>
      </w:r>
      <w:r>
        <w:t>a</w:t>
      </w:r>
      <w:r w:rsidRPr="00E138DD">
        <w:t xml:space="preserve"> state</w:t>
      </w:r>
      <w:r>
        <w:t xml:space="preserve"> and required support recipients to meet service milestones over a six-year deployment term.</w:t>
      </w:r>
      <w:r>
        <w:rPr>
          <w:rStyle w:val="FootnoteReference"/>
          <w:color w:val="000000"/>
        </w:rPr>
        <w:footnoteReference w:id="6"/>
      </w:r>
      <w:r w:rsidRPr="00E138DD">
        <w:t xml:space="preserve"> </w:t>
      </w:r>
      <w:r>
        <w:t xml:space="preserve"> The Commission also anticipated that CAF Phase II auction support recipients might face unexpected obstacles in building out their networks and, accordingly, provided recipients with the flexibility to deploy to 95% of their defined deployment obligation </w:t>
      </w:r>
      <w:r w:rsidRPr="004C2FE9">
        <w:t>and refund a certain amount of support in lieu of being found in default.</w:t>
      </w:r>
      <w:r>
        <w:rPr>
          <w:rStyle w:val="FootnoteReference"/>
        </w:rPr>
        <w:footnoteReference w:id="7"/>
      </w:r>
      <w:r w:rsidRPr="004C2FE9">
        <w:rPr>
          <w:szCs w:val="22"/>
        </w:rPr>
        <w:t xml:space="preserve">  </w:t>
      </w:r>
      <w:r w:rsidRPr="004C2FE9">
        <w:t xml:space="preserve">The Commission authorized </w:t>
      </w:r>
      <w:r w:rsidRPr="00340869">
        <w:t>129</w:t>
      </w:r>
      <w:r w:rsidRPr="004C2FE9">
        <w:t xml:space="preserve"> long-form applicants to receive a total of more than $</w:t>
      </w:r>
      <w:r w:rsidRPr="00340869">
        <w:t xml:space="preserve">1.483 </w:t>
      </w:r>
      <w:r w:rsidRPr="004C2FE9">
        <w:t>billion in CAF Phase II auction support over 10 years in exchange for their commitment to serve a total of more than</w:t>
      </w:r>
      <w:r>
        <w:t xml:space="preserve"> </w:t>
      </w:r>
      <w:r w:rsidRPr="00340869">
        <w:t>700,000</w:t>
      </w:r>
      <w:r w:rsidRPr="004C2FE9">
        <w:t xml:space="preserve"> qualifying locations</w:t>
      </w:r>
      <w:r>
        <w:rPr>
          <w:rStyle w:val="FootnoteReference"/>
        </w:rPr>
        <w:footnoteReference w:id="8"/>
      </w:r>
      <w:r w:rsidRPr="004C2FE9">
        <w:t xml:space="preserve"> in </w:t>
      </w:r>
      <w:r w:rsidRPr="00340869">
        <w:t>45</w:t>
      </w:r>
      <w:r w:rsidRPr="004C2FE9">
        <w:t xml:space="preserve"> states</w:t>
      </w:r>
      <w:r w:rsidRPr="01F0C33F">
        <w:t>.</w:t>
      </w:r>
      <w:r>
        <w:rPr>
          <w:rStyle w:val="FootnoteReference"/>
        </w:rPr>
        <w:footnoteReference w:id="9"/>
      </w:r>
    </w:p>
    <w:p w:rsidR="007601CE" w:rsidRPr="008D4345" w:rsidP="007601CE" w14:paraId="607031A3" w14:textId="77777777">
      <w:pPr>
        <w:pStyle w:val="ParaNum"/>
        <w:widowControl/>
        <w:rPr>
          <w:szCs w:val="22"/>
        </w:rPr>
      </w:pPr>
      <w:r>
        <w:t xml:space="preserve">After the adoption of the </w:t>
      </w:r>
      <w:r w:rsidRPr="00C548FD">
        <w:rPr>
          <w:i/>
          <w:iCs/>
        </w:rPr>
        <w:t>Phase II Auction Order</w:t>
      </w:r>
      <w:r>
        <w:t>, several parties sought clarification on whether the Commission would give funding recipients the opportunity to bring to the Commission’s</w:t>
      </w:r>
      <w:r w:rsidRPr="00F705F2">
        <w:t xml:space="preserve"> attention </w:t>
      </w:r>
      <w:r>
        <w:t xml:space="preserve">any </w:t>
      </w:r>
      <w:r w:rsidRPr="00F705F2">
        <w:t xml:space="preserve">discrepancies between the number of funded locations and the number of </w:t>
      </w:r>
      <w:r>
        <w:t>actual</w:t>
      </w:r>
      <w:r w:rsidRPr="00F705F2">
        <w:t xml:space="preserve"> locatio</w:t>
      </w:r>
      <w:r>
        <w:t>ns in a state</w:t>
      </w:r>
      <w:r w:rsidRPr="00F705F2">
        <w:t>.</w:t>
      </w:r>
      <w:r>
        <w:rPr>
          <w:rStyle w:val="FootnoteReference"/>
          <w:color w:val="000000"/>
        </w:rPr>
        <w:footnoteReference w:id="10"/>
      </w:r>
      <w:r>
        <w:t xml:space="preserve">  Specifically, commenters sought to reduce their defined deployment obligations and associated support when a location discrepancy resulted in fewer actual locations than funded locations.</w:t>
      </w:r>
      <w:r>
        <w:rPr>
          <w:rStyle w:val="FootnoteReference"/>
        </w:rPr>
        <w:footnoteReference w:id="11"/>
      </w:r>
      <w:r>
        <w:t xml:space="preserve">  To address these concerns, the </w:t>
      </w:r>
      <w:r w:rsidRPr="01F0C33F">
        <w:t>Commission created a challenge process</w:t>
      </w:r>
      <w:bookmarkEnd w:id="1"/>
      <w:r w:rsidRPr="01F0C33F">
        <w:t xml:space="preserve"> to facilitate adjustments to defined deployment obligations on a statewide basis</w:t>
      </w:r>
      <w:r w:rsidRPr="00C548FD">
        <w:rPr>
          <w:szCs w:val="22"/>
        </w:rPr>
        <w:t>.</w:t>
      </w:r>
      <w:r>
        <w:rPr>
          <w:rStyle w:val="FootnoteReference"/>
          <w:color w:val="000000"/>
          <w:sz w:val="22"/>
          <w:szCs w:val="22"/>
        </w:rPr>
        <w:footnoteReference w:id="12"/>
      </w:r>
      <w:r w:rsidRPr="00C548FD">
        <w:rPr>
          <w:szCs w:val="22"/>
        </w:rPr>
        <w:t xml:space="preserve">  The Commission delegated to the Bureau the authority to </w:t>
      </w:r>
      <w:r w:rsidRPr="00C548FD">
        <w:rPr>
          <w:szCs w:val="22"/>
        </w:rPr>
        <w:t xml:space="preserve">decide, based on a preponderance of the evidence </w:t>
      </w:r>
      <w:r>
        <w:rPr>
          <w:szCs w:val="22"/>
        </w:rPr>
        <w:t xml:space="preserve">gathered during this process </w:t>
      </w:r>
      <w:r w:rsidRPr="00C548FD">
        <w:rPr>
          <w:szCs w:val="22"/>
        </w:rPr>
        <w:t>and on a state-by-state basis, whether the participant’s total number of funded locations within the state exceeds the total number of actual eligible locations in the state, thus warranting a reduction in the participant’s defined deployment obligation and a pro rata reduction in support</w:t>
      </w:r>
      <w:r>
        <w:rPr>
          <w:szCs w:val="22"/>
        </w:rPr>
        <w:t xml:space="preserve"> based the average support awarded on a per location basis and the number of locations by which the Participant’s original defined deployment obligation was reduced</w:t>
      </w:r>
      <w:r w:rsidRPr="00C548FD">
        <w:rPr>
          <w:szCs w:val="22"/>
        </w:rPr>
        <w:t>.</w:t>
      </w:r>
      <w:r>
        <w:rPr>
          <w:rStyle w:val="FootnoteReference"/>
          <w:color w:val="000000"/>
          <w:sz w:val="22"/>
          <w:szCs w:val="22"/>
        </w:rPr>
        <w:footnoteReference w:id="13"/>
      </w:r>
      <w:r>
        <w:rPr>
          <w:szCs w:val="22"/>
        </w:rPr>
        <w:t xml:space="preserve"> </w:t>
      </w:r>
      <w:r w:rsidRPr="008D4345">
        <w:rPr>
          <w:szCs w:val="22"/>
        </w:rPr>
        <w:t xml:space="preserve"> The Commission also specified that any data submitted by the </w:t>
      </w:r>
      <w:r>
        <w:rPr>
          <w:szCs w:val="22"/>
        </w:rPr>
        <w:t>P</w:t>
      </w:r>
      <w:r w:rsidRPr="008D4345">
        <w:rPr>
          <w:szCs w:val="22"/>
        </w:rPr>
        <w:t>articipant would be subject to future audit.</w:t>
      </w:r>
      <w:r>
        <w:rPr>
          <w:rStyle w:val="FootnoteReference"/>
          <w:color w:val="000000"/>
          <w:sz w:val="22"/>
          <w:szCs w:val="22"/>
        </w:rPr>
        <w:footnoteReference w:id="14"/>
      </w:r>
    </w:p>
    <w:p w:rsidR="007601CE" w:rsidP="007601CE" w14:paraId="4B2D1494" w14:textId="77777777">
      <w:pPr>
        <w:pStyle w:val="ParaNum"/>
        <w:widowControl/>
      </w:pPr>
      <w:r w:rsidRPr="00DB0BE1">
        <w:t xml:space="preserve">While the Commission set some parameters for certain aspects of this process, it also </w:t>
      </w:r>
      <w:r w:rsidRPr="00BE3F68">
        <w:t>directed the Bureau to adopt requirements and issue guidance necessary for implementation, consistent</w:t>
      </w:r>
      <w:r w:rsidRPr="00DB0BE1">
        <w:t xml:space="preserve"> with prior Commission direction.</w:t>
      </w:r>
      <w:r>
        <w:rPr>
          <w:rStyle w:val="FootnoteReference"/>
          <w:bCs/>
          <w:color w:val="000000"/>
          <w:sz w:val="22"/>
          <w:szCs w:val="22"/>
        </w:rPr>
        <w:footnoteReference w:id="15"/>
      </w:r>
      <w:r w:rsidRPr="00DB0BE1">
        <w:t xml:space="preserve">  </w:t>
      </w:r>
      <w:r>
        <w:t>Pursuant to this authority, the</w:t>
      </w:r>
      <w:r w:rsidRPr="00CD1E11">
        <w:t xml:space="preserve"> Bureau </w:t>
      </w:r>
      <w:r>
        <w:t>established</w:t>
      </w:r>
      <w:r w:rsidRPr="00CD1E11">
        <w:t xml:space="preserve"> </w:t>
      </w:r>
      <w:r>
        <w:t xml:space="preserve">the </w:t>
      </w:r>
      <w:r>
        <w:t>ELAP</w:t>
      </w:r>
      <w:r w:rsidRPr="00D47EA7">
        <w:t xml:space="preserve"> consistent with the parameters set </w:t>
      </w:r>
      <w:r>
        <w:t xml:space="preserve">forth </w:t>
      </w:r>
      <w:r w:rsidRPr="00D47EA7">
        <w:t xml:space="preserve">in the </w:t>
      </w:r>
      <w:r w:rsidRPr="00B9012D">
        <w:rPr>
          <w:i/>
        </w:rPr>
        <w:t xml:space="preserve">Phase II Auction </w:t>
      </w:r>
      <w:r w:rsidRPr="00380092">
        <w:t>Reconsideration</w:t>
      </w:r>
      <w:r w:rsidRPr="00B9012D">
        <w:rPr>
          <w:i/>
        </w:rPr>
        <w:t xml:space="preserve"> Order</w:t>
      </w:r>
      <w:r w:rsidRPr="00D47EA7">
        <w:t xml:space="preserve"> and prior Commission guidance for making adjustments</w:t>
      </w:r>
      <w:r>
        <w:t xml:space="preserve"> to defined deployment obligations</w:t>
      </w:r>
      <w:r w:rsidRPr="00D47EA7">
        <w:t>.</w:t>
      </w:r>
      <w:r>
        <w:rPr>
          <w:rStyle w:val="FootnoteReference"/>
        </w:rPr>
        <w:footnoteReference w:id="16"/>
      </w:r>
      <w:r w:rsidRPr="00D47EA7">
        <w:t xml:space="preserve"> </w:t>
      </w:r>
      <w:r>
        <w:t xml:space="preserve"> As directed by the Commission, the Bureau permitted CAF Phase II auction support recipients to participate in </w:t>
      </w:r>
      <w:r>
        <w:t>ELAP</w:t>
      </w:r>
      <w:r>
        <w:t xml:space="preserve"> on a voluntary basis by submitting to the Commission certain location information (e.g., geocoordinates, addresses) for all qualifying locations within their supported areas in a state.</w:t>
      </w:r>
      <w:r>
        <w:rPr>
          <w:rStyle w:val="FootnoteReference"/>
        </w:rPr>
        <w:footnoteReference w:id="17"/>
      </w:r>
      <w:r>
        <w:t xml:space="preserve">  Recognizing that there could be certain limited fluctuations in the total number of qualifying locations in the state after the closure of the </w:t>
      </w:r>
      <w:r>
        <w:t>ELAP</w:t>
      </w:r>
      <w:r>
        <w:t xml:space="preserve"> but before the end of these Participants’ deployment term (ending December 31, 2025), the Bureau also permitted Participants to add to this total some number of additional locations less than the original defined deployment obligation (prospective locations).</w:t>
      </w:r>
      <w:r>
        <w:rPr>
          <w:rStyle w:val="FootnoteReference"/>
        </w:rPr>
        <w:footnoteReference w:id="18"/>
      </w:r>
      <w:r>
        <w:t xml:space="preserve">  The Commission warned Participants that in submitting prospective locations, they should exercise reasonable due diligence in assessing the overall probability that they could meet any adjusted defined deployment obligation resulting from </w:t>
      </w:r>
      <w:r>
        <w:t>ELAP</w:t>
      </w:r>
      <w:r>
        <w:t>.</w:t>
      </w:r>
      <w:r>
        <w:rPr>
          <w:rStyle w:val="FootnoteReference"/>
        </w:rPr>
        <w:footnoteReference w:id="19"/>
      </w:r>
      <w:r w:rsidRPr="005135AE">
        <w:t xml:space="preserve"> </w:t>
      </w:r>
      <w:r>
        <w:t xml:space="preserve"> Together, the total number of qualifying and prospective locations (collectively, eligible locations) constituted the total number of locations to which the Participant would commit to serving.</w:t>
      </w:r>
      <w:r>
        <w:rPr>
          <w:rStyle w:val="FootnoteReference"/>
        </w:rPr>
        <w:footnoteReference w:id="20"/>
      </w:r>
      <w:r>
        <w:t xml:space="preserve">  </w:t>
      </w:r>
    </w:p>
    <w:p w:rsidR="007601CE" w:rsidRPr="00E36C1F" w:rsidP="007601CE" w14:paraId="1B7B4DDB" w14:textId="77777777">
      <w:pPr>
        <w:pStyle w:val="ParaNum"/>
        <w:widowControl/>
      </w:pPr>
      <w:r>
        <w:t>To ensure that each of the Participants reporting locations had exercised due diligence in identifying all qualifying locations within the state</w:t>
      </w:r>
      <w:r w:rsidRPr="00323F75">
        <w:t xml:space="preserve">, the Bureau </w:t>
      </w:r>
      <w:r>
        <w:t xml:space="preserve">also </w:t>
      </w:r>
      <w:r w:rsidRPr="46372F00">
        <w:t>required that Participants include</w:t>
      </w:r>
      <w:r>
        <w:t>:</w:t>
      </w:r>
      <w:r w:rsidRPr="46372F00">
        <w:t xml:space="preserve"> 1) information regarding the relevant state and study area code</w:t>
      </w:r>
      <w:r w:rsidRPr="00323F75">
        <w:rPr>
          <w:szCs w:val="22"/>
        </w:rPr>
        <w:t xml:space="preserve"> (</w:t>
      </w:r>
      <w:r w:rsidRPr="46372F00">
        <w:t>SAC</w:t>
      </w:r>
      <w:r w:rsidRPr="00323F75">
        <w:rPr>
          <w:szCs w:val="22"/>
        </w:rPr>
        <w:t>)</w:t>
      </w:r>
      <w:r w:rsidRPr="46372F00">
        <w:t>; 2) location specific information, e.g., addresses, geocoordinates, and number of units; 3</w:t>
      </w:r>
      <w:r w:rsidRPr="00323F75">
        <w:rPr>
          <w:szCs w:val="22"/>
        </w:rPr>
        <w:t xml:space="preserve">) </w:t>
      </w:r>
      <w:r w:rsidRPr="46372F00">
        <w:t>a narrative description of the methodology(</w:t>
      </w:r>
      <w:r w:rsidRPr="46372F00">
        <w:t>ies</w:t>
      </w:r>
      <w:r w:rsidRPr="46372F00">
        <w:t>) used to identify every qualifying location</w:t>
      </w:r>
      <w:r>
        <w:t>,</w:t>
      </w:r>
      <w:r w:rsidRPr="46372F00">
        <w:t xml:space="preserve"> e.g., on the ground or aerial surveys, any sources used</w:t>
      </w:r>
      <w:r>
        <w:t xml:space="preserve"> (such as </w:t>
      </w:r>
      <w:r w:rsidRPr="46372F00">
        <w:t>county records</w:t>
      </w:r>
      <w:r>
        <w:t xml:space="preserve"> or</w:t>
      </w:r>
      <w:r w:rsidRPr="46372F00">
        <w:t xml:space="preserve"> commercial services), and the “as-of” date that sources or surveys evaluated locations</w:t>
      </w:r>
      <w:r w:rsidRPr="00323F75">
        <w:rPr>
          <w:szCs w:val="22"/>
        </w:rPr>
        <w:t xml:space="preserve">; </w:t>
      </w:r>
      <w:r>
        <w:t>4</w:t>
      </w:r>
      <w:r w:rsidRPr="00323F75">
        <w:rPr>
          <w:szCs w:val="22"/>
        </w:rPr>
        <w:t>)</w:t>
      </w:r>
      <w:r w:rsidRPr="46372F00">
        <w:t xml:space="preserve"> relevant supporting evidence (or show cause why such evidence need not or cannot be submitted)</w:t>
      </w:r>
      <w:r w:rsidRPr="00323F75">
        <w:rPr>
          <w:szCs w:val="22"/>
        </w:rPr>
        <w:t xml:space="preserve"> </w:t>
      </w:r>
      <w:r w:rsidRPr="46372F00">
        <w:t xml:space="preserve">demonstrating the quality of the evidence collected; and </w:t>
      </w:r>
      <w:r>
        <w:t>5</w:t>
      </w:r>
      <w:r w:rsidRPr="46372F00">
        <w:t>) certification that the submission is true and accurate</w:t>
      </w:r>
      <w:r w:rsidRPr="00323F75">
        <w:rPr>
          <w:szCs w:val="22"/>
        </w:rPr>
        <w:t>.</w:t>
      </w:r>
      <w:r>
        <w:rPr>
          <w:rStyle w:val="FootnoteReference"/>
          <w:sz w:val="22"/>
          <w:szCs w:val="22"/>
        </w:rPr>
        <w:footnoteReference w:id="21"/>
      </w:r>
      <w:r w:rsidRPr="00323F75">
        <w:rPr>
          <w:szCs w:val="22"/>
        </w:rPr>
        <w:t xml:space="preserve">  </w:t>
      </w:r>
      <w:r w:rsidRPr="46372F00">
        <w:t>The Bureau established a four-month filing window beginning</w:t>
      </w:r>
      <w:r>
        <w:t xml:space="preserve"> April 1, 2021, and ending August 3, 2021 (Participant Filing Window), for Participants to submit all required information in an </w:t>
      </w:r>
      <w:r>
        <w:t>ELAP</w:t>
      </w:r>
      <w:r>
        <w:t xml:space="preserve"> module created by the Commission in conjunction with the USAC</w:t>
      </w:r>
      <w:r w:rsidRPr="0016102E">
        <w:t>.</w:t>
      </w:r>
      <w:r>
        <w:rPr>
          <w:rStyle w:val="FootnoteReference"/>
        </w:rPr>
        <w:footnoteReference w:id="22"/>
      </w:r>
    </w:p>
    <w:p w:rsidR="007601CE" w:rsidRPr="00E417CD" w:rsidP="007601CE" w14:paraId="64668719" w14:textId="77777777">
      <w:pPr>
        <w:pStyle w:val="ParaNum"/>
        <w:widowControl/>
      </w:pPr>
      <w:r>
        <w:t>By August 3, 2021 (Participant filing deadline),</w:t>
      </w:r>
      <w:r>
        <w:t xml:space="preserve"> </w:t>
      </w:r>
      <w:r>
        <w:t xml:space="preserve">25 Participants reporting </w:t>
      </w:r>
      <w:r w:rsidRPr="00BD763B">
        <w:t xml:space="preserve">for </w:t>
      </w:r>
      <w:r w:rsidRPr="00321494">
        <w:t>2</w:t>
      </w:r>
      <w:r>
        <w:t xml:space="preserve">3 states submitted all required </w:t>
      </w:r>
      <w:r>
        <w:t>ELAP</w:t>
      </w:r>
      <w:r>
        <w:t xml:space="preserve"> information.</w:t>
      </w:r>
      <w:r>
        <w:rPr>
          <w:rStyle w:val="FootnoteReference"/>
          <w:color w:val="000000"/>
          <w:sz w:val="22"/>
          <w:szCs w:val="22"/>
        </w:rPr>
        <w:footnoteReference w:id="23"/>
      </w:r>
      <w:r>
        <w:t xml:space="preserve">  After reviewing this information, the Bureau released a public notice announcing that all participants had satisfied the prima facie evidentiary standards for continuing the </w:t>
      </w:r>
      <w:r>
        <w:t>ELAP</w:t>
      </w:r>
      <w:r>
        <w:t>.</w:t>
      </w:r>
      <w:r>
        <w:rPr>
          <w:rStyle w:val="FootnoteReference"/>
        </w:rPr>
        <w:footnoteReference w:id="24"/>
      </w:r>
      <w:r>
        <w:t xml:space="preserve">  The Bureau also made public certain non-confidential location information filed and certified by the Participants, e.g., data identifying locations reported and certain identifying information about the Participants and the relevant eligible areas,</w:t>
      </w:r>
      <w:r>
        <w:rPr>
          <w:rStyle w:val="FootnoteReference"/>
        </w:rPr>
        <w:footnoteReference w:id="25"/>
      </w:r>
      <w:r>
        <w:t xml:space="preserve"> so that interested parties, including individuals, governmental entities, and special interest groups, could decide whether they wanted to participate in </w:t>
      </w:r>
      <w:r>
        <w:t>ELAP</w:t>
      </w:r>
      <w:r>
        <w:t xml:space="preserve"> as “stakeholders,” meaning parties with a verifiable interest in receiving broadband in the eligible areas either directly or on behalf of constituents and seeking to challenge the accuracy and/or completeness of the relevant Participant’s </w:t>
      </w:r>
      <w:r>
        <w:t>ELAP</w:t>
      </w:r>
      <w:r>
        <w:t xml:space="preserve"> information.</w:t>
      </w:r>
      <w:r>
        <w:rPr>
          <w:rStyle w:val="FootnoteReference"/>
          <w:color w:val="000000"/>
          <w:sz w:val="22"/>
          <w:szCs w:val="22"/>
        </w:rPr>
        <w:footnoteReference w:id="26"/>
      </w:r>
      <w:r w:rsidRPr="004169CF">
        <w:rPr>
          <w:szCs w:val="22"/>
        </w:rPr>
        <w:t xml:space="preserve">  </w:t>
      </w:r>
      <w:r>
        <w:t>While several stakeholders requested access to information filed by Participants, no stakeholders ultimately filed any information</w:t>
      </w:r>
      <w:r>
        <w:rPr>
          <w:szCs w:val="22"/>
        </w:rPr>
        <w:t>.</w:t>
      </w:r>
      <w:r>
        <w:rPr>
          <w:rStyle w:val="FootnoteReference"/>
        </w:rPr>
        <w:footnoteReference w:id="27"/>
      </w:r>
      <w:r>
        <w:rPr>
          <w:szCs w:val="22"/>
        </w:rPr>
        <w:t xml:space="preserve">  </w:t>
      </w:r>
      <w:r w:rsidRPr="6772B65A">
        <w:t xml:space="preserve">During the </w:t>
      </w:r>
      <w:r w:rsidRPr="6772B65A">
        <w:t>ELAP</w:t>
      </w:r>
      <w:r w:rsidRPr="6772B65A">
        <w:t xml:space="preserve"> process, </w:t>
      </w:r>
      <w:r>
        <w:t>four</w:t>
      </w:r>
      <w:r w:rsidRPr="6772B65A">
        <w:t xml:space="preserve"> participants </w:t>
      </w:r>
      <w:r>
        <w:t>reporting</w:t>
      </w:r>
      <w:r w:rsidRPr="6772B65A">
        <w:t xml:space="preserve"> </w:t>
      </w:r>
      <w:r>
        <w:t>in five states</w:t>
      </w:r>
      <w:r>
        <w:rPr>
          <w:szCs w:val="22"/>
        </w:rPr>
        <w:t xml:space="preserve"> </w:t>
      </w:r>
      <w:r>
        <w:t xml:space="preserve">reported more eligible locations than their original defined deployment obligation, rendering their participation in </w:t>
      </w:r>
      <w:r>
        <w:t>ELAP</w:t>
      </w:r>
      <w:r>
        <w:t xml:space="preserve"> moot</w:t>
      </w:r>
      <w:r>
        <w:rPr>
          <w:szCs w:val="22"/>
        </w:rPr>
        <w:t>.</w:t>
      </w:r>
      <w:r>
        <w:rPr>
          <w:rStyle w:val="FootnoteReference"/>
        </w:rPr>
        <w:footnoteReference w:id="28"/>
      </w:r>
    </w:p>
    <w:p w:rsidR="007601CE" w:rsidRPr="004169CF" w:rsidP="007601CE" w14:paraId="4C59C14B" w14:textId="77777777">
      <w:pPr>
        <w:pStyle w:val="ParaNum"/>
        <w:widowControl/>
      </w:pPr>
      <w:bookmarkStart w:id="3" w:name="co_fnRef_FN_F67_ID0EJNAE_1"/>
      <w:bookmarkStart w:id="4" w:name="co_fnRef_FN_F68_ID0EYNAE_1"/>
      <w:bookmarkStart w:id="5" w:name="co_fnRef_FN_F66_ID0ECNAE_1"/>
      <w:bookmarkEnd w:id="3"/>
      <w:bookmarkEnd w:id="4"/>
      <w:bookmarkEnd w:id="5"/>
      <w:r w:rsidRPr="01F0C33F">
        <w:t xml:space="preserve">The Commission delegated to the Bureau the authority to decide, based on a preponderance of the evidence, whether </w:t>
      </w:r>
      <w:r>
        <w:t>a</w:t>
      </w:r>
      <w:r w:rsidRPr="01F0C33F">
        <w:t xml:space="preserve"> </w:t>
      </w:r>
      <w:r>
        <w:t xml:space="preserve">participant’s </w:t>
      </w:r>
      <w:r w:rsidRPr="01F0C33F">
        <w:t>total number of funded locations within the state exceeds the total number of</w:t>
      </w:r>
      <w:r w:rsidRPr="004169CF">
        <w:rPr>
          <w:szCs w:val="22"/>
        </w:rPr>
        <w:t xml:space="preserve"> </w:t>
      </w:r>
      <w:r w:rsidRPr="01F0C33F">
        <w:t xml:space="preserve">eligible locations </w:t>
      </w:r>
      <w:r>
        <w:t xml:space="preserve">that the Participant was able to identify using reasonable efforts </w:t>
      </w:r>
      <w:r w:rsidRPr="01F0C33F">
        <w:t xml:space="preserve">in the state, thus warranting a reduction in the participant’s </w:t>
      </w:r>
      <w:r>
        <w:t xml:space="preserve">original </w:t>
      </w:r>
      <w:r w:rsidRPr="01F0C33F">
        <w:t>defined deployment obligation and a corresponding reduction in support.</w:t>
      </w:r>
      <w:r>
        <w:rPr>
          <w:rStyle w:val="FootnoteReference"/>
          <w:color w:val="000000"/>
          <w:sz w:val="22"/>
          <w:szCs w:val="22"/>
        </w:rPr>
        <w:footnoteReference w:id="29"/>
      </w:r>
      <w:r w:rsidRPr="004169CF">
        <w:rPr>
          <w:szCs w:val="22"/>
        </w:rPr>
        <w:t xml:space="preserve"> </w:t>
      </w:r>
      <w:r>
        <w:rPr>
          <w:szCs w:val="22"/>
        </w:rPr>
        <w:t xml:space="preserve"> </w:t>
      </w:r>
      <w:r w:rsidRPr="3FDE7790">
        <w:t>Participants carry the burden of proof.</w:t>
      </w:r>
      <w:r>
        <w:rPr>
          <w:rStyle w:val="FootnoteReference"/>
        </w:rPr>
        <w:footnoteReference w:id="30"/>
      </w:r>
      <w:r>
        <w:t xml:space="preserve">  </w:t>
      </w:r>
    </w:p>
    <w:p w:rsidR="007601CE" w:rsidP="007601CE" w14:paraId="0CC42101" w14:textId="5BD1FA1E">
      <w:pPr>
        <w:pStyle w:val="Heading2"/>
      </w:pPr>
      <w:r>
        <w:t>Discussion</w:t>
      </w:r>
    </w:p>
    <w:p w:rsidR="007601CE" w:rsidP="007601CE" w14:paraId="144A085C" w14:textId="77777777">
      <w:pPr>
        <w:pStyle w:val="ParaNum"/>
        <w:widowControl/>
      </w:pPr>
      <w:r>
        <w:t xml:space="preserve">In this Order, the Bureau makes its determination regarding adjustments to Participants’ original defined deployment obligations.  The preponderance of the evidence standard requires the Bureau in each instance to conclude, based on </w:t>
      </w:r>
      <w:r w:rsidRPr="00E7762D">
        <w:t xml:space="preserve">the </w:t>
      </w:r>
      <w:r>
        <w:t xml:space="preserve">totality of the evidence, that it is more likely than not that the original defined </w:t>
      </w:r>
      <w:r w:rsidRPr="00B606A1">
        <w:rPr>
          <w:snapToGrid/>
        </w:rPr>
        <w:t>deployment</w:t>
      </w:r>
      <w:r>
        <w:t xml:space="preserve"> obligation is greater than the number of eligible </w:t>
      </w:r>
      <w:r w:rsidRPr="00936232">
        <w:rPr>
          <w:snapToGrid/>
        </w:rPr>
        <w:t>locations</w:t>
      </w:r>
      <w:r>
        <w:t xml:space="preserve"> within the state by a specific number of locations.</w:t>
      </w:r>
      <w:r>
        <w:rPr>
          <w:rStyle w:val="FootnoteReference"/>
        </w:rPr>
        <w:footnoteReference w:id="31"/>
      </w:r>
      <w:r>
        <w:t xml:space="preserve">  </w:t>
      </w:r>
    </w:p>
    <w:p w:rsidR="007601CE" w:rsidP="007601CE" w14:paraId="5D5464C8" w14:textId="77777777">
      <w:pPr>
        <w:pStyle w:val="Heading3"/>
        <w:widowControl/>
      </w:pPr>
      <w:r>
        <w:t>Participant Adjustments Granted</w:t>
      </w:r>
    </w:p>
    <w:p w:rsidR="007601CE" w:rsidRPr="004A4D50" w:rsidP="007601CE" w14:paraId="09AB42F9" w14:textId="77777777">
      <w:pPr>
        <w:pStyle w:val="ParaNum"/>
        <w:widowControl/>
      </w:pPr>
      <w:r>
        <w:t>We find that each of the Participants listed in the Attachment to this Order has demonstrat</w:t>
      </w:r>
      <w:r w:rsidRPr="00E7762D">
        <w:t>e</w:t>
      </w:r>
      <w:r>
        <w:t>d</w:t>
      </w:r>
      <w:r w:rsidRPr="00E7762D">
        <w:t xml:space="preserve"> that </w:t>
      </w:r>
      <w:r>
        <w:t xml:space="preserve">it made </w:t>
      </w:r>
      <w:r w:rsidRPr="00E7762D">
        <w:t xml:space="preserve">reasonable </w:t>
      </w:r>
      <w:r>
        <w:t xml:space="preserve">efforts </w:t>
      </w:r>
      <w:r w:rsidRPr="00E7762D">
        <w:t xml:space="preserve">to identify every location </w:t>
      </w:r>
      <w:r>
        <w:t xml:space="preserve">within the supported areas for which they seek </w:t>
      </w:r>
      <w:r>
        <w:t>ELAP</w:t>
      </w:r>
      <w:r>
        <w:t xml:space="preserve"> adjustment</w:t>
      </w:r>
      <w:r w:rsidRPr="00E7762D">
        <w:t>.</w:t>
      </w:r>
      <w:r>
        <w:rPr>
          <w:rStyle w:val="FootnoteReference"/>
          <w:sz w:val="22"/>
          <w:szCs w:val="22"/>
        </w:rPr>
        <w:footnoteReference w:id="32"/>
      </w:r>
      <w:r w:rsidRPr="00E7762D">
        <w:t xml:space="preserve">  </w:t>
      </w:r>
      <w:r>
        <w:t>Based</w:t>
      </w:r>
      <w:r w:rsidRPr="00E7762D">
        <w:t xml:space="preserve"> on the </w:t>
      </w:r>
      <w:r>
        <w:t xml:space="preserve">totality of the evidence for each Participant in each state, </w:t>
      </w:r>
      <w:r w:rsidRPr="00E7762D">
        <w:t>the Bureau conclude</w:t>
      </w:r>
      <w:r>
        <w:t>s</w:t>
      </w:r>
      <w:r w:rsidRPr="00E7762D">
        <w:t xml:space="preserve"> that</w:t>
      </w:r>
      <w:r>
        <w:t xml:space="preserve"> each one has submitted evidence that makes it more likely than not that it has id</w:t>
      </w:r>
      <w:r w:rsidRPr="00E7762D">
        <w:t>entif</w:t>
      </w:r>
      <w:r>
        <w:t>ied every eligible</w:t>
      </w:r>
      <w:r w:rsidRPr="00E7762D">
        <w:t xml:space="preserve"> location</w:t>
      </w:r>
      <w:r>
        <w:t xml:space="preserve"> within its s</w:t>
      </w:r>
      <w:r w:rsidRPr="00E7762D">
        <w:t>tudy area and that such efforts have resulted in a reliable and accurate count of all qualifying locatio</w:t>
      </w:r>
      <w:r>
        <w:t>ns.</w:t>
      </w:r>
      <w:r w:rsidRPr="00E7762D">
        <w:t xml:space="preserve">  </w:t>
      </w:r>
    </w:p>
    <w:p w:rsidR="007601CE" w:rsidP="007601CE" w14:paraId="0A34F6AB" w14:textId="77777777">
      <w:pPr>
        <w:pStyle w:val="ParaNum"/>
        <w:widowControl/>
      </w:pPr>
      <w:r>
        <w:t>Participants described various methodologies and submitted different types of evidence to prove they had found all eligible locations in the relevant areas.  For example, certain Participants submitted methodologies that relied upon and reconciled multiple reasonably up-to-date data sources (e.g. Google Earth, E911 Database, ArcGIS mapping software, internal billing systems, County plat and tax records, etc.), and described multiple layers of review.  Some Participants also described evaluating locations using aerial imagery and/or conducting extensive field research by driving to the majority of locations and visually inspecting locations, and in once instance, conducting helicopter surveys over the entire service area.  Participants relied upon specific and articulated criteria to distinguish eligible from ineligible locations consistent with Commission and Bureau guidance.  They also provided descriptions of how they used collected data and submitted evidence supporting their descriptions of methods and location information.  This evidence included photographs used to illustrate the decision to deem a location ineligible, such as photographs of vacant, dilapidated homes with boarded windows and overgrown landscaping; or photographic evidence to illustrate eligible, prospective locations.</w:t>
      </w:r>
      <w:r w:rsidRPr="00C86124">
        <w:t xml:space="preserve"> </w:t>
      </w:r>
      <w:r>
        <w:t xml:space="preserve"> </w:t>
      </w:r>
    </w:p>
    <w:p w:rsidR="007601CE" w:rsidRPr="00141374" w:rsidP="007601CE" w14:paraId="2CE7B80B" w14:textId="77777777">
      <w:pPr>
        <w:pStyle w:val="ParaNum"/>
        <w:widowControl/>
        <w:rPr>
          <w:i/>
        </w:rPr>
      </w:pPr>
      <w:r>
        <w:t>With these showings, we find that all Participants listed in the Attachment have completed reasonable steps to identify every location in the state, and as a result we adjust each of their defined deployment obligations and associated support.  As directed by the Commission, we have also reduced each Participant’s CAF Phase II auction support on a pro rata basis.</w:t>
      </w:r>
      <w:r>
        <w:rPr>
          <w:rStyle w:val="FootnoteReference"/>
        </w:rPr>
        <w:footnoteReference w:id="33"/>
      </w:r>
      <w:r>
        <w:t xml:space="preserve">  The Attachment to this Order provides, on a carrier-by-carrier basis, each Participant’s adjusted defined deployment obligation and associated support amounts.</w:t>
      </w:r>
      <w:r>
        <w:rPr>
          <w:rStyle w:val="FootnoteReference"/>
        </w:rPr>
        <w:footnoteReference w:id="34"/>
      </w:r>
      <w:r>
        <w:t xml:space="preserve">  The adjusted eligible location total will become the Participant’s new defined deployment obligation that we will use to determine compliance with the CAF Phase II auction service milestones.  We direct Universal Service Administrative Company (USAC) to prorate remaining support payments due to the Participants to reflect the new authorized funding amount identified in the </w:t>
      </w:r>
      <w:r w:rsidRPr="008B50EB">
        <w:t>Attachment</w:t>
      </w:r>
      <w:r>
        <w:t>.</w:t>
      </w:r>
      <w:r>
        <w:rPr>
          <w:rStyle w:val="FootnoteReference"/>
        </w:rPr>
        <w:footnoteReference w:id="35"/>
      </w:r>
      <w:r>
        <w:t xml:space="preserve"> </w:t>
      </w:r>
    </w:p>
    <w:p w:rsidR="007601CE" w:rsidRPr="00141374" w:rsidP="007601CE" w14:paraId="508C4122" w14:textId="77777777">
      <w:pPr>
        <w:pStyle w:val="ParaNum"/>
        <w:widowControl/>
      </w:pPr>
      <w:r>
        <w:t xml:space="preserve">As indicated in the </w:t>
      </w:r>
      <w:r w:rsidRPr="00141374">
        <w:rPr>
          <w:i/>
          <w:iCs/>
        </w:rPr>
        <w:t>Locations Adjustment Order</w:t>
      </w:r>
      <w:r>
        <w:t xml:space="preserve"> and consistent with the Commission’s indication that </w:t>
      </w:r>
      <w:r>
        <w:t>ELAP</w:t>
      </w:r>
      <w:r>
        <w:t xml:space="preserve"> information is subject to review and audit, if the Bureau discovers that actual locations were not reported by the Participant after the release of this Order, we will add those locations to the Participant’s defined deployment obligation but will not increase the Participant’s support.</w:t>
      </w:r>
      <w:r>
        <w:rPr>
          <w:rStyle w:val="FootnoteReference"/>
        </w:rPr>
        <w:footnoteReference w:id="36"/>
      </w:r>
      <w:r>
        <w:t xml:space="preserve">  We may also refer cases to the FCC’s Enforcement Bureau where it appears that the Participant may have intentionally or negligently misrepresented the number of actual locations in the </w:t>
      </w:r>
      <w:r>
        <w:t>ELAP</w:t>
      </w:r>
      <w:r>
        <w:t>.</w:t>
      </w:r>
      <w:r>
        <w:rPr>
          <w:rStyle w:val="FootnoteReference"/>
        </w:rPr>
        <w:footnoteReference w:id="37"/>
      </w:r>
      <w:r>
        <w:t xml:space="preserve">   </w:t>
      </w:r>
    </w:p>
    <w:p w:rsidR="007601CE" w:rsidRPr="00453DA6" w:rsidP="007601CE" w14:paraId="2FAB859A" w14:textId="77777777">
      <w:pPr>
        <w:pStyle w:val="Heading3"/>
        <w:widowControl/>
      </w:pPr>
      <w:r>
        <w:t xml:space="preserve">Douglas Services Waiver Petition </w:t>
      </w:r>
    </w:p>
    <w:p w:rsidR="007601CE" w:rsidRPr="00A366EF" w:rsidP="007601CE" w14:paraId="62312D06" w14:textId="77777777">
      <w:pPr>
        <w:pStyle w:val="ParaNum"/>
        <w:widowControl/>
      </w:pPr>
      <w:r>
        <w:t>On August 23, 2022, Douglas Services submitted its Petition seeking waiver of the</w:t>
      </w:r>
      <w:r w:rsidRPr="00401DE8">
        <w:t xml:space="preserve"> </w:t>
      </w:r>
      <w:r>
        <w:t xml:space="preserve">Participant filing deadline so as to permit it to participate in the </w:t>
      </w:r>
      <w:r>
        <w:t>ELAP</w:t>
      </w:r>
      <w:r>
        <w:t>.</w:t>
      </w:r>
      <w:r>
        <w:rPr>
          <w:rStyle w:val="FootnoteReference"/>
        </w:rPr>
        <w:footnoteReference w:id="38"/>
      </w:r>
      <w:r>
        <w:t xml:space="preserve">  </w:t>
      </w:r>
      <w:r w:rsidRPr="002E2D54">
        <w:rPr>
          <w:snapToGrid/>
        </w:rPr>
        <w:t xml:space="preserve">Douglas </w:t>
      </w:r>
      <w:r>
        <w:rPr>
          <w:snapToGrid/>
        </w:rPr>
        <w:t>Services states it “</w:t>
      </w:r>
      <w:r w:rsidRPr="003E02CE">
        <w:rPr>
          <w:snapToGrid/>
        </w:rPr>
        <w:t>dedicated considerable staff</w:t>
      </w:r>
      <w:r>
        <w:rPr>
          <w:snapToGrid/>
        </w:rPr>
        <w:t xml:space="preserve"> </w:t>
      </w:r>
      <w:r w:rsidRPr="003E02CE">
        <w:rPr>
          <w:snapToGrid/>
        </w:rPr>
        <w:t xml:space="preserve">resources </w:t>
      </w:r>
      <w:r w:rsidRPr="00A27AA4">
        <w:rPr>
          <w:snapToGrid/>
        </w:rPr>
        <w:t xml:space="preserve">during the </w:t>
      </w:r>
      <w:r>
        <w:rPr>
          <w:snapToGrid/>
        </w:rPr>
        <w:t>[Participant filing window]</w:t>
      </w:r>
      <w:r w:rsidRPr="003E02CE">
        <w:rPr>
          <w:snapToGrid/>
        </w:rPr>
        <w:t>,</w:t>
      </w:r>
      <w:r>
        <w:rPr>
          <w:snapToGrid/>
        </w:rPr>
        <w:t>” to</w:t>
      </w:r>
      <w:r w:rsidRPr="00A158AE">
        <w:rPr>
          <w:snapToGrid/>
        </w:rPr>
        <w:t xml:space="preserve"> assemble various information relating to the number </w:t>
      </w:r>
      <w:r w:rsidRPr="00141374">
        <w:t>of</w:t>
      </w:r>
      <w:r w:rsidRPr="00A158AE">
        <w:rPr>
          <w:snapToGrid/>
        </w:rPr>
        <w:t xml:space="preserve"> eligible locations</w:t>
      </w:r>
      <w:r>
        <w:rPr>
          <w:snapToGrid/>
        </w:rPr>
        <w:t xml:space="preserve"> and to prepare the required certifications but could not meet the </w:t>
      </w:r>
      <w:r w:rsidRPr="00936232">
        <w:t>Participant</w:t>
      </w:r>
      <w:r>
        <w:rPr>
          <w:snapToGrid/>
        </w:rPr>
        <w:t xml:space="preserve"> filing deadline.</w:t>
      </w:r>
      <w:r>
        <w:rPr>
          <w:rStyle w:val="FootnoteReference"/>
          <w:snapToGrid/>
        </w:rPr>
        <w:footnoteReference w:id="39"/>
      </w:r>
      <w:r>
        <w:rPr>
          <w:snapToGrid/>
        </w:rPr>
        <w:t xml:space="preserve"> </w:t>
      </w:r>
      <w:r>
        <w:t xml:space="preserve"> It asserts that waiver of this deadline serves the public interest </w:t>
      </w:r>
      <w:r>
        <w:t xml:space="preserve">because </w:t>
      </w:r>
      <w:r>
        <w:t>ELAP</w:t>
      </w:r>
      <w:r>
        <w:t>-related adjustments in support further the public interest by helping to ensure, ultimately, the best and most efficient use of high-cost support.</w:t>
      </w:r>
      <w:r>
        <w:rPr>
          <w:rStyle w:val="FootnoteReference"/>
        </w:rPr>
        <w:footnoteReference w:id="40"/>
      </w:r>
      <w:r>
        <w:t xml:space="preserve">  </w:t>
      </w:r>
    </w:p>
    <w:p w:rsidR="007601CE" w:rsidP="007601CE" w14:paraId="13993558" w14:textId="77777777">
      <w:pPr>
        <w:pStyle w:val="ParaNum"/>
        <w:widowControl/>
      </w:pPr>
      <w:r>
        <w:t>We find that Douglas Services has not demonstrated that there is good cause to waive the Participant filing deadline.</w:t>
      </w:r>
      <w:r>
        <w:rPr>
          <w:rStyle w:val="FootnoteReference"/>
        </w:rPr>
        <w:footnoteReference w:id="41"/>
      </w:r>
      <w:r>
        <w:t xml:space="preserve">  Generally, the Commission will waive high-cost deadlines only when the petitioner demonstrates unusual or compelling circumstances.</w:t>
      </w:r>
      <w:r>
        <w:rPr>
          <w:rStyle w:val="FootnoteReference"/>
        </w:rPr>
        <w:footnoteReference w:id="42"/>
      </w:r>
      <w:r>
        <w:t xml:space="preserve">  </w:t>
      </w:r>
      <w:r w:rsidRPr="00B11CAC">
        <w:rPr>
          <w:snapToGrid/>
        </w:rPr>
        <w:t xml:space="preserve">Douglas Services fails to </w:t>
      </w:r>
      <w:r>
        <w:rPr>
          <w:snapToGrid/>
        </w:rPr>
        <w:t xml:space="preserve">meet this standard.  Douglas Services has not demonstrated that it acted with all reasonable due diligence after the release of the </w:t>
      </w:r>
      <w:r w:rsidRPr="2AB1768B">
        <w:rPr>
          <w:i/>
          <w:iCs/>
          <w:snapToGrid/>
        </w:rPr>
        <w:t>Locations Adjustment Order</w:t>
      </w:r>
      <w:r w:rsidRPr="00B11CAC">
        <w:rPr>
          <w:snapToGrid/>
        </w:rPr>
        <w:t xml:space="preserve"> in November 2019</w:t>
      </w:r>
      <w:r>
        <w:rPr>
          <w:snapToGrid/>
        </w:rPr>
        <w:t xml:space="preserve"> to gather and compile all requisite </w:t>
      </w:r>
      <w:r>
        <w:rPr>
          <w:snapToGrid/>
        </w:rPr>
        <w:t>ELAP</w:t>
      </w:r>
      <w:r>
        <w:rPr>
          <w:snapToGrid/>
        </w:rPr>
        <w:t xml:space="preserve"> information.</w:t>
      </w:r>
      <w:r w:rsidRPr="00B11CAC">
        <w:rPr>
          <w:snapToGrid/>
        </w:rPr>
        <w:t xml:space="preserve">  </w:t>
      </w:r>
      <w:r w:rsidRPr="00DC712A">
        <w:t>The Bureau established a four</w:t>
      </w:r>
      <w:r>
        <w:t>-</w:t>
      </w:r>
      <w:r w:rsidRPr="00DC712A">
        <w:t>month Participant filing window</w:t>
      </w:r>
      <w:r w:rsidRPr="00141374">
        <w:t xml:space="preserve"> five months after it released the </w:t>
      </w:r>
      <w:r w:rsidRPr="004E644E">
        <w:rPr>
          <w:i/>
          <w:iCs/>
        </w:rPr>
        <w:t>Locations Adjustment Order</w:t>
      </w:r>
      <w:r w:rsidRPr="00141374">
        <w:t>, providing a collective nine months to complete the assessment.  Further,</w:t>
      </w:r>
      <w:r w:rsidRPr="006867EE">
        <w:t xml:space="preserve"> </w:t>
      </w:r>
      <w:r>
        <w:t xml:space="preserve">in advance of the opening of the Participant filing window, </w:t>
      </w:r>
      <w:r w:rsidRPr="006867EE">
        <w:t>USAC</w:t>
      </w:r>
      <w:r w:rsidRPr="00141374">
        <w:t xml:space="preserve"> </w:t>
      </w:r>
      <w:r>
        <w:t xml:space="preserve">contacted CAF Phase II funding recipients regarding the development of the module and conducted an </w:t>
      </w:r>
      <w:r>
        <w:t>ELAP</w:t>
      </w:r>
      <w:r>
        <w:t xml:space="preserve"> webinar on October 20, 2020 to help CAF Phase II support recipients better understand the </w:t>
      </w:r>
      <w:r>
        <w:t>ELAP</w:t>
      </w:r>
      <w:r>
        <w:t xml:space="preserve"> process and requirements.</w:t>
      </w:r>
      <w:r>
        <w:rPr>
          <w:rStyle w:val="FootnoteReference"/>
        </w:rPr>
        <w:footnoteReference w:id="43"/>
      </w:r>
      <w:r>
        <w:t xml:space="preserve">  As of the opening of the filing window, USAC published specific technical guidance for entering information into the system as well as direct technical support.</w:t>
      </w:r>
      <w:r>
        <w:rPr>
          <w:rStyle w:val="FootnoteReference"/>
        </w:rPr>
        <w:footnoteReference w:id="44"/>
      </w:r>
      <w:r>
        <w:t xml:space="preserve">  Despite Douglas Services’ claims</w:t>
      </w:r>
      <w:r w:rsidRPr="004E644E">
        <w:rPr>
          <w:snapToGrid/>
        </w:rPr>
        <w:t xml:space="preserve"> that it devoted resources to compiling its </w:t>
      </w:r>
      <w:r w:rsidRPr="004E644E">
        <w:rPr>
          <w:snapToGrid/>
        </w:rPr>
        <w:t>ELAP</w:t>
      </w:r>
      <w:r w:rsidRPr="004E644E">
        <w:rPr>
          <w:snapToGrid/>
        </w:rPr>
        <w:t xml:space="preserve"> information and completing the certifications during the four-month Participant filing window</w:t>
      </w:r>
      <w:r>
        <w:t>,</w:t>
      </w:r>
      <w:r>
        <w:rPr>
          <w:rStyle w:val="FootnoteReference"/>
          <w:snapToGrid/>
        </w:rPr>
        <w:footnoteReference w:id="45"/>
      </w:r>
      <w:r w:rsidRPr="004E644E">
        <w:rPr>
          <w:snapToGrid/>
        </w:rPr>
        <w:t xml:space="preserve"> Douglas Services failed to access the system during this time frame.  It also fails to explain why it</w:t>
      </w:r>
      <w:r>
        <w:t xml:space="preserve"> could not meet the deadline and</w:t>
      </w:r>
      <w:r w:rsidRPr="004E644E">
        <w:rPr>
          <w:snapToGrid/>
        </w:rPr>
        <w:t xml:space="preserve"> did not submit its waiver request until 20 days after the deadline.</w:t>
      </w:r>
      <w:r>
        <w:rPr>
          <w:rStyle w:val="FootnoteReference"/>
          <w:snapToGrid/>
        </w:rPr>
        <w:footnoteReference w:id="46"/>
      </w:r>
      <w:r w:rsidRPr="004E644E">
        <w:rPr>
          <w:snapToGrid/>
        </w:rPr>
        <w:t xml:space="preserve">  </w:t>
      </w:r>
    </w:p>
    <w:p w:rsidR="007601CE" w:rsidP="007601CE" w14:paraId="77A0359A" w14:textId="77777777">
      <w:pPr>
        <w:pStyle w:val="ParaNum"/>
        <w:widowControl/>
      </w:pPr>
      <w:r>
        <w:rPr>
          <w:snapToGrid/>
        </w:rPr>
        <w:t>Accordingly, we cannot conclude based on the record before us that Douglas Services’ failure to meet the Participant deadline resulted from circumstances that were not within its control.</w:t>
      </w:r>
      <w:r>
        <w:rPr>
          <w:rStyle w:val="FootnoteReference"/>
          <w:snapToGrid/>
        </w:rPr>
        <w:footnoteReference w:id="47"/>
      </w:r>
      <w:r>
        <w:rPr>
          <w:snapToGrid/>
        </w:rPr>
        <w:t xml:space="preserve">  </w:t>
      </w:r>
      <w:r>
        <w:rPr>
          <w:snapToGrid/>
        </w:rPr>
        <w:t xml:space="preserve">Although </w:t>
      </w:r>
      <w:r w:rsidRPr="00B11CAC">
        <w:rPr>
          <w:snapToGrid/>
        </w:rPr>
        <w:t xml:space="preserve">Douglas Services asserts that grant of this waiver request </w:t>
      </w:r>
      <w:r w:rsidRPr="00380092">
        <w:t>would</w:t>
      </w:r>
      <w:r w:rsidRPr="00B11CAC">
        <w:rPr>
          <w:snapToGrid/>
        </w:rPr>
        <w:t xml:space="preserve"> serve the public interest by expediting the return of support that cannot be utilized toward deployment to qualifying locations</w:t>
      </w:r>
      <w:r>
        <w:rPr>
          <w:snapToGrid/>
        </w:rPr>
        <w:t xml:space="preserve">, the </w:t>
      </w:r>
      <w:r w:rsidRPr="00B11CAC">
        <w:rPr>
          <w:snapToGrid/>
        </w:rPr>
        <w:t xml:space="preserve">Bureau will have an opportunity to recover support at the end of the process </w:t>
      </w:r>
      <w:r>
        <w:rPr>
          <w:snapToGrid/>
        </w:rPr>
        <w:t xml:space="preserve">in accordance with default rules </w:t>
      </w:r>
      <w:r w:rsidRPr="00B11CAC">
        <w:rPr>
          <w:snapToGrid/>
        </w:rPr>
        <w:t>should Douglas Services fail to meet its future milestones.</w:t>
      </w:r>
      <w:r>
        <w:rPr>
          <w:rStyle w:val="FootnoteReference"/>
          <w:snapToGrid/>
        </w:rPr>
        <w:footnoteReference w:id="48"/>
      </w:r>
      <w:r w:rsidRPr="00B11CAC">
        <w:rPr>
          <w:snapToGrid/>
        </w:rPr>
        <w:t xml:space="preserve">  Accordingly, we find that Douglas Services has failed to meet its obligation to prove good cause for waiver relief, and we deny </w:t>
      </w:r>
      <w:r>
        <w:rPr>
          <w:snapToGrid/>
        </w:rPr>
        <w:t>its Waiver</w:t>
      </w:r>
      <w:r w:rsidRPr="00B11CAC">
        <w:rPr>
          <w:snapToGrid/>
        </w:rPr>
        <w:t xml:space="preserve"> </w:t>
      </w:r>
      <w:r>
        <w:rPr>
          <w:snapToGrid/>
        </w:rPr>
        <w:t>P</w:t>
      </w:r>
      <w:r w:rsidRPr="00B11CAC">
        <w:rPr>
          <w:snapToGrid/>
        </w:rPr>
        <w:t xml:space="preserve">etition.  </w:t>
      </w:r>
    </w:p>
    <w:p w:rsidR="007601CE" w:rsidP="007601CE" w14:paraId="21753AED" w14:textId="65DB685F">
      <w:pPr>
        <w:pStyle w:val="Heading1"/>
      </w:pPr>
      <w:r>
        <w:t>Ordering</w:t>
      </w:r>
      <w:r>
        <w:t xml:space="preserve"> Clauses</w:t>
      </w:r>
    </w:p>
    <w:p w:rsidR="007601CE" w:rsidP="007601CE" w14:paraId="2D1D8859" w14:textId="77777777">
      <w:pPr>
        <w:pStyle w:val="ParaNum"/>
        <w:widowControl/>
      </w:pPr>
      <w:r>
        <w:t xml:space="preserve">Accordingly, IT IS ORDERED, pursuant to the authority contained in sections 1, 4(i), 5, 214, and 254 of the Communications Act of 1934, as amended, 47 U.S.C. §§ 151, 154(i), 155, and 254, and sections 0.91 and 0.291 of the Commission’s rules, 47 CFR §§ 0.91, 0.291, </w:t>
      </w:r>
      <w:r w:rsidRPr="00936232">
        <w:rPr>
          <w:snapToGrid/>
        </w:rPr>
        <w:t>and</w:t>
      </w:r>
      <w:r>
        <w:t xml:space="preserve"> the authority delegated to the Wireline Competition Bureau in paragraphs 23 and 24 of the </w:t>
      </w:r>
      <w:r w:rsidRPr="00304865">
        <w:rPr>
          <w:i/>
          <w:iCs/>
        </w:rPr>
        <w:t>Phase II Auction Reconsideration Order</w:t>
      </w:r>
      <w:r>
        <w:t xml:space="preserve">, </w:t>
      </w:r>
      <w:r w:rsidRPr="002F6CC1">
        <w:t xml:space="preserve">33 FCC </w:t>
      </w:r>
      <w:r w:rsidRPr="002F6CC1">
        <w:t>Rcd</w:t>
      </w:r>
      <w:r w:rsidRPr="002F6CC1">
        <w:t xml:space="preserve"> 1380</w:t>
      </w:r>
      <w:r>
        <w:t xml:space="preserve"> (2018), that this Order IS ADOPTED.  We direct the Universal Service Administrative Company to take further action in accordance with the terms of this Order.  </w:t>
      </w:r>
    </w:p>
    <w:p w:rsidR="007601CE" w:rsidP="007601CE" w14:paraId="61049CAA" w14:textId="77777777">
      <w:pPr>
        <w:pStyle w:val="ParaNum"/>
        <w:widowControl/>
      </w:pPr>
      <w:r w:rsidRPr="00BC14D7">
        <w:t>IT IS FURTHER ORDERED that</w:t>
      </w:r>
      <w:r>
        <w:t xml:space="preserve">, pursuant to the authority contained in section 1.3 of the Commission’s rules, 47 CFR § 1.3, </w:t>
      </w:r>
      <w:r w:rsidRPr="00BC14D7">
        <w:t xml:space="preserve">the Petition for Waiver filed </w:t>
      </w:r>
      <w:r>
        <w:t xml:space="preserve">by </w:t>
      </w:r>
      <w:r w:rsidRPr="00EC7E50">
        <w:t>Douglas Services, Inc., d/b/a Douglas Fast Net</w:t>
      </w:r>
      <w:r>
        <w:t xml:space="preserve"> IS DENIED.  </w:t>
      </w:r>
    </w:p>
    <w:p w:rsidR="007601CE" w:rsidRPr="000F0DAE" w:rsidP="007601CE" w14:paraId="08FB19E6" w14:textId="77777777">
      <w:pPr>
        <w:pStyle w:val="ParaNum"/>
        <w:widowControl/>
      </w:pPr>
      <w:r>
        <w:t>IT IS FURTHER ORDERED, pursuant to section 1.102(b)(1) of the Commission’s rules, 47 CFR § 1.102(b)(1), that this Order SHALL BE EFFECTIVE upon release.</w:t>
      </w:r>
    </w:p>
    <w:p w:rsidR="007601CE" w:rsidP="007601CE" w14:paraId="241D54DD" w14:textId="77777777">
      <w:pPr>
        <w:keepNext/>
        <w:keepLines/>
        <w:widowControl/>
        <w:tabs>
          <w:tab w:val="left" w:pos="8640"/>
          <w:tab w:val="left" w:pos="8820"/>
        </w:tabs>
        <w:spacing w:after="120"/>
        <w:rPr>
          <w:szCs w:val="22"/>
        </w:rPr>
      </w:pPr>
    </w:p>
    <w:p w:rsidR="007601CE" w:rsidP="007601CE" w14:paraId="162DC782" w14:textId="77777777">
      <w:pPr>
        <w:keepNext/>
        <w:keepLines/>
        <w:widowControl/>
        <w:tabs>
          <w:tab w:val="left" w:pos="8640"/>
          <w:tab w:val="left" w:pos="8820"/>
        </w:tabs>
        <w:ind w:left="4320"/>
        <w:rPr>
          <w:szCs w:val="22"/>
        </w:rPr>
      </w:pPr>
    </w:p>
    <w:p w:rsidR="007601CE" w:rsidP="007601CE" w14:paraId="6F90B1A2" w14:textId="77777777">
      <w:pPr>
        <w:keepNext/>
        <w:keepLines/>
        <w:widowControl/>
        <w:tabs>
          <w:tab w:val="left" w:pos="8640"/>
          <w:tab w:val="left" w:pos="8820"/>
        </w:tabs>
        <w:ind w:left="4320"/>
        <w:rPr>
          <w:szCs w:val="22"/>
        </w:rPr>
      </w:pPr>
    </w:p>
    <w:p w:rsidR="007601CE" w:rsidRPr="00955045" w:rsidP="007601CE" w14:paraId="144D60A1" w14:textId="754B9499">
      <w:pPr>
        <w:keepNext/>
        <w:keepLines/>
        <w:widowControl/>
        <w:tabs>
          <w:tab w:val="left" w:pos="8640"/>
          <w:tab w:val="left" w:pos="8820"/>
        </w:tabs>
        <w:ind w:left="4320"/>
        <w:rPr>
          <w:szCs w:val="22"/>
        </w:rPr>
      </w:pPr>
      <w:r w:rsidRPr="00955045">
        <w:rPr>
          <w:szCs w:val="22"/>
        </w:rPr>
        <w:t>FEDERAL COMMUNICATIONS COMMISSION</w:t>
      </w:r>
    </w:p>
    <w:p w:rsidR="007601CE" w:rsidRPr="00955045" w:rsidP="007601CE" w14:paraId="7780B8C2" w14:textId="77777777">
      <w:pPr>
        <w:keepNext/>
        <w:keepLines/>
        <w:widowControl/>
        <w:ind w:left="2880"/>
        <w:rPr>
          <w:szCs w:val="22"/>
        </w:rPr>
      </w:pPr>
      <w:r>
        <w:rPr>
          <w:szCs w:val="22"/>
        </w:rPr>
        <w:tab/>
      </w:r>
      <w:r>
        <w:rPr>
          <w:szCs w:val="22"/>
        </w:rPr>
        <w:tab/>
      </w:r>
    </w:p>
    <w:p w:rsidR="007601CE" w:rsidRPr="00955045" w:rsidP="007601CE" w14:paraId="203CD421" w14:textId="77777777">
      <w:pPr>
        <w:keepNext/>
        <w:keepLines/>
        <w:widowControl/>
        <w:ind w:left="3600" w:firstLine="720"/>
        <w:rPr>
          <w:szCs w:val="22"/>
        </w:rPr>
      </w:pPr>
    </w:p>
    <w:p w:rsidR="007601CE" w:rsidRPr="00955045" w:rsidP="007601CE" w14:paraId="58A2ADF5" w14:textId="77777777">
      <w:pPr>
        <w:keepNext/>
        <w:keepLines/>
        <w:widowControl/>
        <w:ind w:left="3600" w:firstLine="720"/>
        <w:rPr>
          <w:szCs w:val="22"/>
        </w:rPr>
      </w:pPr>
    </w:p>
    <w:p w:rsidR="007601CE" w:rsidP="007601CE" w14:paraId="73F88424" w14:textId="77777777">
      <w:pPr>
        <w:keepNext/>
        <w:keepLines/>
        <w:widowControl/>
        <w:ind w:left="3600" w:firstLine="720"/>
        <w:rPr>
          <w:szCs w:val="22"/>
        </w:rPr>
      </w:pPr>
    </w:p>
    <w:p w:rsidR="007601CE" w:rsidP="007601CE" w14:paraId="1FF247C0" w14:textId="77777777">
      <w:pPr>
        <w:keepNext/>
        <w:keepLines/>
        <w:widowControl/>
        <w:ind w:left="3600" w:firstLine="720"/>
        <w:rPr>
          <w:szCs w:val="22"/>
        </w:rPr>
      </w:pPr>
      <w:r>
        <w:rPr>
          <w:szCs w:val="22"/>
        </w:rPr>
        <w:t>Trent B. Harkrader</w:t>
      </w:r>
    </w:p>
    <w:p w:rsidR="007601CE" w:rsidRPr="00694488" w:rsidP="007601CE" w14:paraId="2CB74F2B" w14:textId="77777777">
      <w:pPr>
        <w:keepNext/>
        <w:keepLines/>
        <w:widowControl/>
        <w:ind w:left="3600" w:firstLine="720"/>
        <w:rPr>
          <w:szCs w:val="22"/>
        </w:rPr>
      </w:pPr>
      <w:r w:rsidRPr="00694488">
        <w:rPr>
          <w:szCs w:val="22"/>
        </w:rPr>
        <w:t>Chief</w:t>
      </w:r>
    </w:p>
    <w:p w:rsidR="007601CE" w:rsidP="007601CE" w14:paraId="65EDA453" w14:textId="1CFB7E07">
      <w:pPr>
        <w:keepNext/>
        <w:keepLines/>
        <w:widowControl/>
        <w:ind w:left="3600"/>
        <w:rPr>
          <w:szCs w:val="22"/>
        </w:rPr>
      </w:pPr>
      <w:r>
        <w:rPr>
          <w:szCs w:val="22"/>
        </w:rPr>
        <w:tab/>
      </w:r>
      <w:r w:rsidRPr="00694488">
        <w:rPr>
          <w:szCs w:val="22"/>
        </w:rPr>
        <w:t>Wireline Competition Bureau</w:t>
      </w:r>
    </w:p>
    <w:p w:rsidR="007601CE" w:rsidP="007601CE" w14:paraId="6B4165E1" w14:textId="77777777">
      <w:pPr>
        <w:keepNext/>
        <w:keepLines/>
        <w:widowControl/>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601CE" w:rsidP="007601CE" w14:paraId="561A7A70" w14:textId="77777777">
      <w:pPr>
        <w:pStyle w:val="Heading1"/>
        <w:numPr>
          <w:ilvl w:val="0"/>
          <w:numId w:val="0"/>
        </w:numPr>
        <w:ind w:left="720" w:hanging="720"/>
        <w:jc w:val="center"/>
      </w:pPr>
      <w:r w:rsidRPr="00B86E79">
        <w:t>ATTACHMENT</w:t>
      </w:r>
    </w:p>
    <w:p w:rsidR="007601CE" w:rsidP="007601CE" w14:paraId="50D80D1A" w14:textId="77777777">
      <w:pPr>
        <w:keepNext/>
        <w:widowControl/>
        <w:ind w:left="3600"/>
        <w:rPr>
          <w:b/>
          <w:bCs/>
          <w:szCs w:val="22"/>
        </w:rPr>
      </w:pPr>
    </w:p>
    <w:tbl>
      <w:tblPr>
        <w:tblStyle w:val="TableGrid"/>
        <w:tblW w:w="0" w:type="auto"/>
        <w:tblLook w:val="04A0"/>
      </w:tblPr>
      <w:tblGrid>
        <w:gridCol w:w="2013"/>
        <w:gridCol w:w="708"/>
        <w:gridCol w:w="886"/>
        <w:gridCol w:w="1145"/>
        <w:gridCol w:w="1728"/>
        <w:gridCol w:w="1152"/>
        <w:gridCol w:w="1718"/>
      </w:tblGrid>
      <w:tr w14:paraId="6BAFB6CB" w14:textId="77777777" w:rsidTr="00B338D1">
        <w:tblPrEx>
          <w:tblW w:w="0" w:type="auto"/>
          <w:tblLook w:val="04A0"/>
        </w:tblPrEx>
        <w:trPr>
          <w:cantSplit/>
          <w:trHeight w:val="855"/>
          <w:tblHeader/>
        </w:trPr>
        <w:tc>
          <w:tcPr>
            <w:tcW w:w="2013" w:type="dxa"/>
            <w:hideMark/>
          </w:tcPr>
          <w:p w:rsidR="007601CE" w:rsidRPr="00522DFB" w:rsidP="00B338D1" w14:paraId="0B7B864D" w14:textId="77777777">
            <w:pPr>
              <w:keepLines/>
              <w:widowControl/>
              <w:rPr>
                <w:b/>
              </w:rPr>
            </w:pPr>
            <w:r w:rsidRPr="60B5DDAE">
              <w:rPr>
                <w:b/>
              </w:rPr>
              <w:t>Participant</w:t>
            </w:r>
          </w:p>
        </w:tc>
        <w:tc>
          <w:tcPr>
            <w:tcW w:w="708" w:type="dxa"/>
            <w:hideMark/>
          </w:tcPr>
          <w:p w:rsidR="007601CE" w:rsidRPr="00522DFB" w:rsidP="00B338D1" w14:paraId="1CDBE203" w14:textId="77777777">
            <w:pPr>
              <w:keepLines/>
              <w:widowControl/>
              <w:rPr>
                <w:b/>
                <w:bCs/>
                <w:szCs w:val="22"/>
              </w:rPr>
            </w:pPr>
            <w:r w:rsidRPr="00522DFB">
              <w:rPr>
                <w:b/>
                <w:bCs/>
                <w:szCs w:val="22"/>
              </w:rPr>
              <w:t>State</w:t>
            </w:r>
          </w:p>
        </w:tc>
        <w:tc>
          <w:tcPr>
            <w:tcW w:w="886" w:type="dxa"/>
            <w:hideMark/>
          </w:tcPr>
          <w:p w:rsidR="007601CE" w:rsidRPr="00522DFB" w:rsidP="00B338D1" w14:paraId="3A7A3CBF" w14:textId="77777777">
            <w:pPr>
              <w:keepLines/>
              <w:widowControl/>
              <w:rPr>
                <w:b/>
                <w:bCs/>
                <w:szCs w:val="22"/>
              </w:rPr>
            </w:pPr>
            <w:r>
              <w:rPr>
                <w:b/>
                <w:bCs/>
                <w:szCs w:val="22"/>
              </w:rPr>
              <w:t>Study Area Code</w:t>
            </w:r>
          </w:p>
        </w:tc>
        <w:tc>
          <w:tcPr>
            <w:tcW w:w="1145" w:type="dxa"/>
            <w:hideMark/>
          </w:tcPr>
          <w:p w:rsidR="007601CE" w:rsidRPr="00522DFB" w:rsidP="00B338D1" w14:paraId="7E7932F1" w14:textId="77777777">
            <w:pPr>
              <w:keepLines/>
              <w:widowControl/>
              <w:rPr>
                <w:b/>
                <w:bCs/>
                <w:szCs w:val="22"/>
              </w:rPr>
            </w:pPr>
            <w:r w:rsidRPr="00522DFB">
              <w:rPr>
                <w:b/>
                <w:bCs/>
                <w:szCs w:val="22"/>
              </w:rPr>
              <w:t>CAF II Funded Locations</w:t>
            </w:r>
          </w:p>
        </w:tc>
        <w:tc>
          <w:tcPr>
            <w:tcW w:w="1728" w:type="dxa"/>
            <w:hideMark/>
          </w:tcPr>
          <w:p w:rsidR="007601CE" w:rsidRPr="00522DFB" w:rsidP="00B338D1" w14:paraId="0AA4334D" w14:textId="77777777">
            <w:pPr>
              <w:keepLines/>
              <w:widowControl/>
              <w:rPr>
                <w:b/>
                <w:bCs/>
                <w:szCs w:val="22"/>
              </w:rPr>
            </w:pPr>
            <w:r w:rsidRPr="00522DFB">
              <w:rPr>
                <w:b/>
                <w:bCs/>
                <w:szCs w:val="22"/>
              </w:rPr>
              <w:t>CAF II Support Amount</w:t>
            </w:r>
          </w:p>
        </w:tc>
        <w:tc>
          <w:tcPr>
            <w:tcW w:w="1152" w:type="dxa"/>
            <w:hideMark/>
          </w:tcPr>
          <w:p w:rsidR="007601CE" w:rsidRPr="00522DFB" w:rsidP="00B338D1" w14:paraId="5850CC3D" w14:textId="77777777">
            <w:pPr>
              <w:keepLines/>
              <w:widowControl/>
              <w:rPr>
                <w:b/>
                <w:bCs/>
                <w:szCs w:val="22"/>
              </w:rPr>
            </w:pPr>
            <w:r w:rsidRPr="00522DFB">
              <w:rPr>
                <w:b/>
                <w:bCs/>
                <w:szCs w:val="22"/>
              </w:rPr>
              <w:t>Adjusted Eligible Locations</w:t>
            </w:r>
          </w:p>
        </w:tc>
        <w:tc>
          <w:tcPr>
            <w:tcW w:w="1718" w:type="dxa"/>
            <w:hideMark/>
          </w:tcPr>
          <w:p w:rsidR="007601CE" w:rsidRPr="00522DFB" w:rsidP="00B338D1" w14:paraId="2EB83400" w14:textId="77777777">
            <w:pPr>
              <w:keepLines/>
              <w:widowControl/>
              <w:rPr>
                <w:b/>
                <w:bCs/>
                <w:szCs w:val="22"/>
              </w:rPr>
            </w:pPr>
            <w:r w:rsidRPr="00522DFB">
              <w:rPr>
                <w:b/>
                <w:bCs/>
                <w:szCs w:val="22"/>
              </w:rPr>
              <w:t>Adjusted Support Amount</w:t>
            </w:r>
          </w:p>
        </w:tc>
      </w:tr>
      <w:tr w14:paraId="13A2DE62" w14:textId="77777777" w:rsidTr="00B338D1">
        <w:tblPrEx>
          <w:tblW w:w="0" w:type="auto"/>
          <w:tblLook w:val="04A0"/>
        </w:tblPrEx>
        <w:trPr>
          <w:cantSplit/>
          <w:trHeight w:val="300"/>
        </w:trPr>
        <w:tc>
          <w:tcPr>
            <w:tcW w:w="2013" w:type="dxa"/>
            <w:hideMark/>
          </w:tcPr>
          <w:p w:rsidR="007601CE" w:rsidRPr="00141374" w:rsidP="00B338D1" w14:paraId="4F047EEF" w14:textId="77777777">
            <w:pPr>
              <w:keepLines/>
              <w:widowControl/>
              <w:rPr>
                <w:szCs w:val="22"/>
              </w:rPr>
            </w:pPr>
            <w:r w:rsidRPr="00141374">
              <w:rPr>
                <w:szCs w:val="22"/>
              </w:rPr>
              <w:t>AMG Technology Investment Group</w:t>
            </w:r>
          </w:p>
        </w:tc>
        <w:tc>
          <w:tcPr>
            <w:tcW w:w="708" w:type="dxa"/>
            <w:hideMark/>
          </w:tcPr>
          <w:p w:rsidR="007601CE" w:rsidRPr="00141374" w:rsidP="00B338D1" w14:paraId="7A8673F5" w14:textId="77777777">
            <w:pPr>
              <w:keepLines/>
              <w:widowControl/>
              <w:jc w:val="both"/>
              <w:rPr>
                <w:szCs w:val="22"/>
              </w:rPr>
            </w:pPr>
            <w:r w:rsidRPr="00141374">
              <w:rPr>
                <w:szCs w:val="22"/>
              </w:rPr>
              <w:t>IL</w:t>
            </w:r>
          </w:p>
        </w:tc>
        <w:tc>
          <w:tcPr>
            <w:tcW w:w="886" w:type="dxa"/>
            <w:hideMark/>
          </w:tcPr>
          <w:p w:rsidR="007601CE" w:rsidRPr="00141374" w:rsidP="00B338D1" w14:paraId="131B75BE" w14:textId="77777777">
            <w:pPr>
              <w:keepLines/>
              <w:widowControl/>
              <w:jc w:val="both"/>
              <w:rPr>
                <w:szCs w:val="22"/>
              </w:rPr>
            </w:pPr>
            <w:r w:rsidRPr="00141374">
              <w:rPr>
                <w:szCs w:val="22"/>
              </w:rPr>
              <w:t>349039</w:t>
            </w:r>
          </w:p>
        </w:tc>
        <w:tc>
          <w:tcPr>
            <w:tcW w:w="1145" w:type="dxa"/>
            <w:hideMark/>
          </w:tcPr>
          <w:p w:rsidR="007601CE" w:rsidRPr="00141374" w:rsidP="00B338D1" w14:paraId="1F80B7B1" w14:textId="77777777">
            <w:pPr>
              <w:keepLines/>
              <w:widowControl/>
              <w:jc w:val="both"/>
              <w:rPr>
                <w:szCs w:val="22"/>
              </w:rPr>
            </w:pPr>
            <w:r w:rsidRPr="00141374">
              <w:rPr>
                <w:szCs w:val="22"/>
              </w:rPr>
              <w:t>15,022</w:t>
            </w:r>
          </w:p>
        </w:tc>
        <w:tc>
          <w:tcPr>
            <w:tcW w:w="1728" w:type="dxa"/>
            <w:hideMark/>
          </w:tcPr>
          <w:p w:rsidR="007601CE" w:rsidRPr="00141374" w:rsidP="00B338D1" w14:paraId="2813C796" w14:textId="77777777">
            <w:pPr>
              <w:keepLines/>
              <w:widowControl/>
              <w:jc w:val="both"/>
              <w:rPr>
                <w:szCs w:val="22"/>
              </w:rPr>
            </w:pPr>
            <w:r w:rsidRPr="00141374">
              <w:rPr>
                <w:szCs w:val="22"/>
              </w:rPr>
              <w:t xml:space="preserve">$35,329,965.90 </w:t>
            </w:r>
          </w:p>
        </w:tc>
        <w:tc>
          <w:tcPr>
            <w:tcW w:w="1152" w:type="dxa"/>
            <w:hideMark/>
          </w:tcPr>
          <w:p w:rsidR="007601CE" w:rsidRPr="00141374" w:rsidP="00B338D1" w14:paraId="19DC8782" w14:textId="77777777">
            <w:pPr>
              <w:keepLines/>
              <w:widowControl/>
              <w:jc w:val="both"/>
              <w:rPr>
                <w:szCs w:val="22"/>
              </w:rPr>
            </w:pPr>
            <w:r w:rsidRPr="00141374">
              <w:rPr>
                <w:szCs w:val="22"/>
              </w:rPr>
              <w:t>13,478</w:t>
            </w:r>
            <w:r>
              <w:rPr>
                <w:rStyle w:val="FootnoteReference"/>
                <w:szCs w:val="22"/>
              </w:rPr>
              <w:footnoteReference w:id="49"/>
            </w:r>
          </w:p>
        </w:tc>
        <w:tc>
          <w:tcPr>
            <w:tcW w:w="1718" w:type="dxa"/>
            <w:hideMark/>
          </w:tcPr>
          <w:p w:rsidR="007601CE" w:rsidRPr="00141374" w:rsidP="00B338D1" w14:paraId="3C473AAD" w14:textId="77777777">
            <w:pPr>
              <w:keepLines/>
              <w:widowControl/>
              <w:jc w:val="both"/>
              <w:rPr>
                <w:szCs w:val="22"/>
              </w:rPr>
            </w:pPr>
            <w:r w:rsidRPr="00141374">
              <w:rPr>
                <w:szCs w:val="22"/>
              </w:rPr>
              <w:t xml:space="preserve">$31,698,660.66 </w:t>
            </w:r>
          </w:p>
        </w:tc>
      </w:tr>
      <w:tr w14:paraId="0F0DC3C0" w14:textId="77777777" w:rsidTr="00B338D1">
        <w:tblPrEx>
          <w:tblW w:w="0" w:type="auto"/>
          <w:tblLook w:val="04A0"/>
        </w:tblPrEx>
        <w:trPr>
          <w:cantSplit/>
          <w:trHeight w:val="300"/>
        </w:trPr>
        <w:tc>
          <w:tcPr>
            <w:tcW w:w="2013" w:type="dxa"/>
            <w:hideMark/>
          </w:tcPr>
          <w:p w:rsidR="007601CE" w:rsidRPr="00141374" w:rsidP="00B338D1" w14:paraId="6A3A1FC7" w14:textId="77777777">
            <w:pPr>
              <w:keepLines/>
              <w:widowControl/>
              <w:rPr>
                <w:szCs w:val="22"/>
              </w:rPr>
            </w:pPr>
            <w:r w:rsidRPr="00141374">
              <w:rPr>
                <w:szCs w:val="22"/>
              </w:rPr>
              <w:t>AMG Technology Investment Group</w:t>
            </w:r>
          </w:p>
        </w:tc>
        <w:tc>
          <w:tcPr>
            <w:tcW w:w="708" w:type="dxa"/>
            <w:hideMark/>
          </w:tcPr>
          <w:p w:rsidR="007601CE" w:rsidRPr="00141374" w:rsidP="00B338D1" w14:paraId="52E20EC0" w14:textId="77777777">
            <w:pPr>
              <w:keepLines/>
              <w:widowControl/>
              <w:jc w:val="both"/>
              <w:rPr>
                <w:szCs w:val="22"/>
              </w:rPr>
            </w:pPr>
            <w:r w:rsidRPr="00141374">
              <w:rPr>
                <w:szCs w:val="22"/>
              </w:rPr>
              <w:t>IA</w:t>
            </w:r>
          </w:p>
        </w:tc>
        <w:tc>
          <w:tcPr>
            <w:tcW w:w="886" w:type="dxa"/>
            <w:hideMark/>
          </w:tcPr>
          <w:p w:rsidR="007601CE" w:rsidRPr="00141374" w:rsidP="00B338D1" w14:paraId="455CC673" w14:textId="77777777">
            <w:pPr>
              <w:keepLines/>
              <w:widowControl/>
              <w:jc w:val="both"/>
              <w:rPr>
                <w:szCs w:val="22"/>
              </w:rPr>
            </w:pPr>
            <w:r w:rsidRPr="00141374">
              <w:rPr>
                <w:szCs w:val="22"/>
              </w:rPr>
              <w:t>359146</w:t>
            </w:r>
          </w:p>
        </w:tc>
        <w:tc>
          <w:tcPr>
            <w:tcW w:w="1145" w:type="dxa"/>
            <w:hideMark/>
          </w:tcPr>
          <w:p w:rsidR="007601CE" w:rsidRPr="00141374" w:rsidP="00B338D1" w14:paraId="1335F66F" w14:textId="77777777">
            <w:pPr>
              <w:keepLines/>
              <w:widowControl/>
              <w:jc w:val="both"/>
              <w:rPr>
                <w:szCs w:val="22"/>
              </w:rPr>
            </w:pPr>
            <w:r w:rsidRPr="00141374">
              <w:rPr>
                <w:szCs w:val="22"/>
              </w:rPr>
              <w:t>15,097</w:t>
            </w:r>
          </w:p>
        </w:tc>
        <w:tc>
          <w:tcPr>
            <w:tcW w:w="1728" w:type="dxa"/>
            <w:hideMark/>
          </w:tcPr>
          <w:p w:rsidR="007601CE" w:rsidRPr="00141374" w:rsidP="00B338D1" w14:paraId="183BACD6" w14:textId="77777777">
            <w:pPr>
              <w:keepLines/>
              <w:widowControl/>
              <w:jc w:val="both"/>
              <w:rPr>
                <w:szCs w:val="22"/>
              </w:rPr>
            </w:pPr>
            <w:r w:rsidRPr="00141374">
              <w:rPr>
                <w:szCs w:val="22"/>
              </w:rPr>
              <w:t xml:space="preserve">$50,614,528.00 </w:t>
            </w:r>
          </w:p>
        </w:tc>
        <w:tc>
          <w:tcPr>
            <w:tcW w:w="1152" w:type="dxa"/>
            <w:hideMark/>
          </w:tcPr>
          <w:p w:rsidR="007601CE" w:rsidRPr="00141374" w:rsidP="00B338D1" w14:paraId="44623D2C" w14:textId="77777777">
            <w:pPr>
              <w:keepLines/>
              <w:widowControl/>
              <w:jc w:val="both"/>
              <w:rPr>
                <w:szCs w:val="22"/>
              </w:rPr>
            </w:pPr>
            <w:r w:rsidRPr="00141374">
              <w:rPr>
                <w:szCs w:val="22"/>
              </w:rPr>
              <w:t>11,157</w:t>
            </w:r>
            <w:r>
              <w:rPr>
                <w:rStyle w:val="FootnoteReference"/>
                <w:szCs w:val="22"/>
              </w:rPr>
              <w:footnoteReference w:id="50"/>
            </w:r>
          </w:p>
        </w:tc>
        <w:tc>
          <w:tcPr>
            <w:tcW w:w="1718" w:type="dxa"/>
            <w:hideMark/>
          </w:tcPr>
          <w:p w:rsidR="007601CE" w:rsidRPr="00141374" w:rsidP="00B338D1" w14:paraId="07D19A01" w14:textId="77777777">
            <w:pPr>
              <w:keepLines/>
              <w:widowControl/>
              <w:jc w:val="both"/>
              <w:rPr>
                <w:szCs w:val="22"/>
              </w:rPr>
            </w:pPr>
            <w:r w:rsidRPr="00141374">
              <w:rPr>
                <w:szCs w:val="22"/>
              </w:rPr>
              <w:t xml:space="preserve">$37,405,198.97 </w:t>
            </w:r>
          </w:p>
        </w:tc>
      </w:tr>
      <w:tr w14:paraId="29436C7A" w14:textId="77777777" w:rsidTr="00B338D1">
        <w:tblPrEx>
          <w:tblW w:w="0" w:type="auto"/>
          <w:tblLook w:val="04A0"/>
        </w:tblPrEx>
        <w:trPr>
          <w:cantSplit/>
          <w:trHeight w:val="300"/>
        </w:trPr>
        <w:tc>
          <w:tcPr>
            <w:tcW w:w="2013" w:type="dxa"/>
            <w:hideMark/>
          </w:tcPr>
          <w:p w:rsidR="007601CE" w:rsidRPr="00141374" w:rsidP="00B338D1" w14:paraId="1E1B56BF" w14:textId="77777777">
            <w:pPr>
              <w:keepLines/>
              <w:widowControl/>
              <w:rPr>
                <w:szCs w:val="22"/>
              </w:rPr>
            </w:pPr>
            <w:r w:rsidRPr="00141374">
              <w:rPr>
                <w:szCs w:val="22"/>
              </w:rPr>
              <w:t>AMG Technology Investment Group</w:t>
            </w:r>
          </w:p>
        </w:tc>
        <w:tc>
          <w:tcPr>
            <w:tcW w:w="708" w:type="dxa"/>
            <w:hideMark/>
          </w:tcPr>
          <w:p w:rsidR="007601CE" w:rsidRPr="00141374" w:rsidP="00B338D1" w14:paraId="19DBA77E" w14:textId="77777777">
            <w:pPr>
              <w:keepLines/>
              <w:widowControl/>
              <w:jc w:val="both"/>
              <w:rPr>
                <w:szCs w:val="22"/>
              </w:rPr>
            </w:pPr>
            <w:r w:rsidRPr="00141374">
              <w:rPr>
                <w:szCs w:val="22"/>
              </w:rPr>
              <w:t>KS</w:t>
            </w:r>
          </w:p>
        </w:tc>
        <w:tc>
          <w:tcPr>
            <w:tcW w:w="886" w:type="dxa"/>
            <w:hideMark/>
          </w:tcPr>
          <w:p w:rsidR="007601CE" w:rsidRPr="00141374" w:rsidP="00B338D1" w14:paraId="1AB558E7" w14:textId="77777777">
            <w:pPr>
              <w:keepLines/>
              <w:widowControl/>
              <w:jc w:val="both"/>
              <w:rPr>
                <w:szCs w:val="22"/>
              </w:rPr>
            </w:pPr>
            <w:r w:rsidRPr="00141374">
              <w:rPr>
                <w:szCs w:val="22"/>
              </w:rPr>
              <w:t>419044</w:t>
            </w:r>
          </w:p>
        </w:tc>
        <w:tc>
          <w:tcPr>
            <w:tcW w:w="1145" w:type="dxa"/>
            <w:hideMark/>
          </w:tcPr>
          <w:p w:rsidR="007601CE" w:rsidRPr="00141374" w:rsidP="00B338D1" w14:paraId="3A205E60" w14:textId="77777777">
            <w:pPr>
              <w:keepLines/>
              <w:widowControl/>
              <w:jc w:val="both"/>
              <w:rPr>
                <w:szCs w:val="22"/>
              </w:rPr>
            </w:pPr>
            <w:r w:rsidRPr="00141374">
              <w:rPr>
                <w:szCs w:val="22"/>
              </w:rPr>
              <w:t>10,088</w:t>
            </w:r>
          </w:p>
        </w:tc>
        <w:tc>
          <w:tcPr>
            <w:tcW w:w="1728" w:type="dxa"/>
            <w:hideMark/>
          </w:tcPr>
          <w:p w:rsidR="007601CE" w:rsidRPr="00141374" w:rsidP="00B338D1" w14:paraId="06D15528" w14:textId="77777777">
            <w:pPr>
              <w:keepLines/>
              <w:widowControl/>
              <w:jc w:val="both"/>
              <w:rPr>
                <w:szCs w:val="22"/>
              </w:rPr>
            </w:pPr>
            <w:r w:rsidRPr="00141374">
              <w:rPr>
                <w:szCs w:val="22"/>
              </w:rPr>
              <w:t xml:space="preserve">$37,349,710.70 </w:t>
            </w:r>
          </w:p>
        </w:tc>
        <w:tc>
          <w:tcPr>
            <w:tcW w:w="1152" w:type="dxa"/>
            <w:hideMark/>
          </w:tcPr>
          <w:p w:rsidR="007601CE" w:rsidRPr="00141374" w:rsidP="00B338D1" w14:paraId="27BC8F90" w14:textId="77777777">
            <w:pPr>
              <w:keepLines/>
              <w:widowControl/>
              <w:jc w:val="both"/>
              <w:rPr>
                <w:szCs w:val="22"/>
              </w:rPr>
            </w:pPr>
            <w:r w:rsidRPr="00141374">
              <w:rPr>
                <w:szCs w:val="22"/>
              </w:rPr>
              <w:t>9,603</w:t>
            </w:r>
            <w:r>
              <w:rPr>
                <w:rStyle w:val="FootnoteReference"/>
                <w:szCs w:val="22"/>
              </w:rPr>
              <w:footnoteReference w:id="51"/>
            </w:r>
          </w:p>
        </w:tc>
        <w:tc>
          <w:tcPr>
            <w:tcW w:w="1718" w:type="dxa"/>
            <w:hideMark/>
          </w:tcPr>
          <w:p w:rsidR="007601CE" w:rsidRPr="00141374" w:rsidP="00B338D1" w14:paraId="07DC4B5A" w14:textId="77777777">
            <w:pPr>
              <w:keepLines/>
              <w:widowControl/>
              <w:jc w:val="both"/>
              <w:rPr>
                <w:szCs w:val="22"/>
              </w:rPr>
            </w:pPr>
            <w:r w:rsidRPr="00141374">
              <w:rPr>
                <w:szCs w:val="22"/>
              </w:rPr>
              <w:t xml:space="preserve">$35,554,051.53 </w:t>
            </w:r>
          </w:p>
        </w:tc>
      </w:tr>
      <w:tr w14:paraId="547C7E60" w14:textId="77777777" w:rsidTr="00B338D1">
        <w:tblPrEx>
          <w:tblW w:w="0" w:type="auto"/>
          <w:tblLook w:val="04A0"/>
        </w:tblPrEx>
        <w:trPr>
          <w:cantSplit/>
          <w:trHeight w:val="300"/>
        </w:trPr>
        <w:tc>
          <w:tcPr>
            <w:tcW w:w="2013" w:type="dxa"/>
            <w:hideMark/>
          </w:tcPr>
          <w:p w:rsidR="007601CE" w:rsidRPr="00141374" w:rsidP="00B338D1" w14:paraId="1AA54151" w14:textId="77777777">
            <w:pPr>
              <w:keepLines/>
              <w:widowControl/>
              <w:rPr>
                <w:szCs w:val="22"/>
              </w:rPr>
            </w:pPr>
            <w:r w:rsidRPr="00141374">
              <w:rPr>
                <w:szCs w:val="22"/>
              </w:rPr>
              <w:t>AMG Technology Investment Group</w:t>
            </w:r>
          </w:p>
        </w:tc>
        <w:tc>
          <w:tcPr>
            <w:tcW w:w="708" w:type="dxa"/>
            <w:hideMark/>
          </w:tcPr>
          <w:p w:rsidR="007601CE" w:rsidRPr="00141374" w:rsidP="00B338D1" w14:paraId="50C76E5B" w14:textId="77777777">
            <w:pPr>
              <w:keepLines/>
              <w:widowControl/>
              <w:jc w:val="both"/>
              <w:rPr>
                <w:szCs w:val="22"/>
              </w:rPr>
            </w:pPr>
            <w:r w:rsidRPr="00141374">
              <w:rPr>
                <w:szCs w:val="22"/>
              </w:rPr>
              <w:t>OK</w:t>
            </w:r>
          </w:p>
        </w:tc>
        <w:tc>
          <w:tcPr>
            <w:tcW w:w="886" w:type="dxa"/>
            <w:hideMark/>
          </w:tcPr>
          <w:p w:rsidR="007601CE" w:rsidRPr="00141374" w:rsidP="00B338D1" w14:paraId="0DE1802A" w14:textId="77777777">
            <w:pPr>
              <w:keepLines/>
              <w:widowControl/>
              <w:jc w:val="both"/>
              <w:rPr>
                <w:szCs w:val="22"/>
              </w:rPr>
            </w:pPr>
            <w:r w:rsidRPr="00141374">
              <w:rPr>
                <w:szCs w:val="22"/>
              </w:rPr>
              <w:t>439073</w:t>
            </w:r>
          </w:p>
        </w:tc>
        <w:tc>
          <w:tcPr>
            <w:tcW w:w="1145" w:type="dxa"/>
            <w:hideMark/>
          </w:tcPr>
          <w:p w:rsidR="007601CE" w:rsidRPr="00141374" w:rsidP="00B338D1" w14:paraId="1EFE7C57" w14:textId="77777777">
            <w:pPr>
              <w:keepLines/>
              <w:widowControl/>
              <w:jc w:val="both"/>
              <w:rPr>
                <w:szCs w:val="22"/>
              </w:rPr>
            </w:pPr>
            <w:r w:rsidRPr="00141374">
              <w:rPr>
                <w:szCs w:val="22"/>
              </w:rPr>
              <w:t>17,883</w:t>
            </w:r>
          </w:p>
        </w:tc>
        <w:tc>
          <w:tcPr>
            <w:tcW w:w="1728" w:type="dxa"/>
            <w:hideMark/>
          </w:tcPr>
          <w:p w:rsidR="007601CE" w:rsidRPr="00141374" w:rsidP="00B338D1" w14:paraId="23F4C81C" w14:textId="77777777">
            <w:pPr>
              <w:keepLines/>
              <w:widowControl/>
              <w:jc w:val="both"/>
              <w:rPr>
                <w:szCs w:val="22"/>
              </w:rPr>
            </w:pPr>
            <w:r w:rsidRPr="00141374">
              <w:rPr>
                <w:szCs w:val="22"/>
              </w:rPr>
              <w:t xml:space="preserve">$41,285,224.30 </w:t>
            </w:r>
          </w:p>
        </w:tc>
        <w:tc>
          <w:tcPr>
            <w:tcW w:w="1152" w:type="dxa"/>
            <w:hideMark/>
          </w:tcPr>
          <w:p w:rsidR="007601CE" w:rsidRPr="00141374" w:rsidP="00B338D1" w14:paraId="00AD9DFC" w14:textId="77777777">
            <w:pPr>
              <w:keepLines/>
              <w:widowControl/>
              <w:jc w:val="both"/>
              <w:rPr>
                <w:szCs w:val="22"/>
              </w:rPr>
            </w:pPr>
            <w:r w:rsidRPr="00141374">
              <w:rPr>
                <w:szCs w:val="22"/>
              </w:rPr>
              <w:t>16,677</w:t>
            </w:r>
            <w:r>
              <w:rPr>
                <w:rStyle w:val="FootnoteReference"/>
                <w:szCs w:val="22"/>
              </w:rPr>
              <w:footnoteReference w:id="52"/>
            </w:r>
          </w:p>
        </w:tc>
        <w:tc>
          <w:tcPr>
            <w:tcW w:w="1718" w:type="dxa"/>
            <w:hideMark/>
          </w:tcPr>
          <w:p w:rsidR="007601CE" w:rsidRPr="00141374" w:rsidP="00B338D1" w14:paraId="1F928EC9" w14:textId="77777777">
            <w:pPr>
              <w:keepLines/>
              <w:widowControl/>
              <w:jc w:val="both"/>
              <w:rPr>
                <w:szCs w:val="22"/>
              </w:rPr>
            </w:pPr>
            <w:r w:rsidRPr="00141374">
              <w:rPr>
                <w:szCs w:val="22"/>
              </w:rPr>
              <w:t xml:space="preserve">$38,501,016.92 </w:t>
            </w:r>
          </w:p>
        </w:tc>
      </w:tr>
      <w:tr w14:paraId="7A3311C5" w14:textId="77777777" w:rsidTr="00B338D1">
        <w:tblPrEx>
          <w:tblW w:w="0" w:type="auto"/>
          <w:tblLook w:val="04A0"/>
        </w:tblPrEx>
        <w:trPr>
          <w:cantSplit/>
          <w:trHeight w:val="300"/>
        </w:trPr>
        <w:tc>
          <w:tcPr>
            <w:tcW w:w="2013" w:type="dxa"/>
            <w:hideMark/>
          </w:tcPr>
          <w:p w:rsidR="007601CE" w:rsidRPr="00141374" w:rsidP="00B338D1" w14:paraId="4709078C" w14:textId="77777777">
            <w:pPr>
              <w:keepLines/>
              <w:widowControl/>
              <w:rPr>
                <w:szCs w:val="22"/>
              </w:rPr>
            </w:pPr>
            <w:r w:rsidRPr="00141374">
              <w:rPr>
                <w:szCs w:val="22"/>
              </w:rPr>
              <w:t>Farmers Mutual Telephone Company</w:t>
            </w:r>
          </w:p>
        </w:tc>
        <w:tc>
          <w:tcPr>
            <w:tcW w:w="708" w:type="dxa"/>
            <w:hideMark/>
          </w:tcPr>
          <w:p w:rsidR="007601CE" w:rsidRPr="00141374" w:rsidP="00B338D1" w14:paraId="40735FC6" w14:textId="77777777">
            <w:pPr>
              <w:keepLines/>
              <w:widowControl/>
              <w:jc w:val="both"/>
              <w:rPr>
                <w:szCs w:val="22"/>
              </w:rPr>
            </w:pPr>
            <w:r w:rsidRPr="00141374">
              <w:rPr>
                <w:szCs w:val="22"/>
              </w:rPr>
              <w:t>MN</w:t>
            </w:r>
          </w:p>
        </w:tc>
        <w:tc>
          <w:tcPr>
            <w:tcW w:w="886" w:type="dxa"/>
            <w:hideMark/>
          </w:tcPr>
          <w:p w:rsidR="007601CE" w:rsidRPr="00141374" w:rsidP="00B338D1" w14:paraId="252E0792" w14:textId="77777777">
            <w:pPr>
              <w:keepLines/>
              <w:widowControl/>
              <w:jc w:val="both"/>
              <w:rPr>
                <w:szCs w:val="22"/>
              </w:rPr>
            </w:pPr>
            <w:r w:rsidRPr="00141374">
              <w:rPr>
                <w:szCs w:val="22"/>
              </w:rPr>
              <w:t>369020</w:t>
            </w:r>
          </w:p>
        </w:tc>
        <w:tc>
          <w:tcPr>
            <w:tcW w:w="1145" w:type="dxa"/>
            <w:hideMark/>
          </w:tcPr>
          <w:p w:rsidR="007601CE" w:rsidRPr="00141374" w:rsidP="00B338D1" w14:paraId="71E5414E" w14:textId="77777777">
            <w:pPr>
              <w:keepLines/>
              <w:widowControl/>
              <w:jc w:val="both"/>
              <w:rPr>
                <w:szCs w:val="22"/>
              </w:rPr>
            </w:pPr>
            <w:r w:rsidRPr="00141374">
              <w:rPr>
                <w:szCs w:val="22"/>
              </w:rPr>
              <w:t>65</w:t>
            </w:r>
          </w:p>
        </w:tc>
        <w:tc>
          <w:tcPr>
            <w:tcW w:w="1728" w:type="dxa"/>
            <w:hideMark/>
          </w:tcPr>
          <w:p w:rsidR="007601CE" w:rsidRPr="00141374" w:rsidP="00B338D1" w14:paraId="0307424E" w14:textId="77777777">
            <w:pPr>
              <w:keepLines/>
              <w:widowControl/>
              <w:jc w:val="both"/>
              <w:rPr>
                <w:szCs w:val="22"/>
              </w:rPr>
            </w:pPr>
            <w:r w:rsidRPr="00141374">
              <w:rPr>
                <w:szCs w:val="22"/>
              </w:rPr>
              <w:t xml:space="preserve">$217,992.80 </w:t>
            </w:r>
          </w:p>
        </w:tc>
        <w:tc>
          <w:tcPr>
            <w:tcW w:w="1152" w:type="dxa"/>
            <w:hideMark/>
          </w:tcPr>
          <w:p w:rsidR="007601CE" w:rsidRPr="00141374" w:rsidP="00B338D1" w14:paraId="48874C47" w14:textId="77777777">
            <w:pPr>
              <w:keepLines/>
              <w:widowControl/>
              <w:jc w:val="both"/>
              <w:rPr>
                <w:szCs w:val="22"/>
              </w:rPr>
            </w:pPr>
            <w:r w:rsidRPr="00141374">
              <w:rPr>
                <w:szCs w:val="22"/>
              </w:rPr>
              <w:t>51</w:t>
            </w:r>
          </w:p>
        </w:tc>
        <w:tc>
          <w:tcPr>
            <w:tcW w:w="1718" w:type="dxa"/>
            <w:hideMark/>
          </w:tcPr>
          <w:p w:rsidR="007601CE" w:rsidRPr="00141374" w:rsidP="00B338D1" w14:paraId="09862481" w14:textId="77777777">
            <w:pPr>
              <w:keepLines/>
              <w:widowControl/>
              <w:jc w:val="both"/>
              <w:rPr>
                <w:szCs w:val="22"/>
              </w:rPr>
            </w:pPr>
            <w:r w:rsidRPr="00141374">
              <w:rPr>
                <w:szCs w:val="22"/>
              </w:rPr>
              <w:t xml:space="preserve">$171,040.50 </w:t>
            </w:r>
          </w:p>
        </w:tc>
      </w:tr>
      <w:tr w14:paraId="5B422DCC" w14:textId="77777777" w:rsidTr="00B338D1">
        <w:tblPrEx>
          <w:tblW w:w="0" w:type="auto"/>
          <w:tblLook w:val="04A0"/>
        </w:tblPrEx>
        <w:trPr>
          <w:cantSplit/>
          <w:trHeight w:val="300"/>
        </w:trPr>
        <w:tc>
          <w:tcPr>
            <w:tcW w:w="2013" w:type="dxa"/>
            <w:hideMark/>
          </w:tcPr>
          <w:p w:rsidR="007601CE" w:rsidRPr="00141374" w:rsidP="00B338D1" w14:paraId="143DB984" w14:textId="77777777">
            <w:pPr>
              <w:keepLines/>
              <w:widowControl/>
              <w:rPr>
                <w:szCs w:val="22"/>
              </w:rPr>
            </w:pPr>
            <w:r w:rsidRPr="00141374">
              <w:rPr>
                <w:szCs w:val="22"/>
              </w:rPr>
              <w:t>Federated Telephone Cooperative</w:t>
            </w:r>
          </w:p>
        </w:tc>
        <w:tc>
          <w:tcPr>
            <w:tcW w:w="708" w:type="dxa"/>
            <w:hideMark/>
          </w:tcPr>
          <w:p w:rsidR="007601CE" w:rsidRPr="00141374" w:rsidP="00B338D1" w14:paraId="1F02B5AD" w14:textId="77777777">
            <w:pPr>
              <w:keepLines/>
              <w:widowControl/>
              <w:jc w:val="both"/>
              <w:rPr>
                <w:szCs w:val="22"/>
              </w:rPr>
            </w:pPr>
            <w:r w:rsidRPr="00141374">
              <w:rPr>
                <w:szCs w:val="22"/>
              </w:rPr>
              <w:t>MN</w:t>
            </w:r>
          </w:p>
        </w:tc>
        <w:tc>
          <w:tcPr>
            <w:tcW w:w="886" w:type="dxa"/>
            <w:hideMark/>
          </w:tcPr>
          <w:p w:rsidR="007601CE" w:rsidRPr="00141374" w:rsidP="00B338D1" w14:paraId="46007494" w14:textId="77777777">
            <w:pPr>
              <w:keepLines/>
              <w:widowControl/>
              <w:jc w:val="both"/>
              <w:rPr>
                <w:szCs w:val="22"/>
              </w:rPr>
            </w:pPr>
            <w:r w:rsidRPr="00141374">
              <w:rPr>
                <w:szCs w:val="22"/>
              </w:rPr>
              <w:t>366130</w:t>
            </w:r>
          </w:p>
        </w:tc>
        <w:tc>
          <w:tcPr>
            <w:tcW w:w="1145" w:type="dxa"/>
            <w:hideMark/>
          </w:tcPr>
          <w:p w:rsidR="007601CE" w:rsidRPr="00141374" w:rsidP="00B338D1" w14:paraId="1A853D97" w14:textId="77777777">
            <w:pPr>
              <w:keepLines/>
              <w:widowControl/>
              <w:jc w:val="both"/>
              <w:rPr>
                <w:szCs w:val="22"/>
              </w:rPr>
            </w:pPr>
            <w:r w:rsidRPr="00141374">
              <w:rPr>
                <w:szCs w:val="22"/>
              </w:rPr>
              <w:t>808</w:t>
            </w:r>
          </w:p>
        </w:tc>
        <w:tc>
          <w:tcPr>
            <w:tcW w:w="1728" w:type="dxa"/>
            <w:hideMark/>
          </w:tcPr>
          <w:p w:rsidR="007601CE" w:rsidRPr="00141374" w:rsidP="00B338D1" w14:paraId="04988BF2" w14:textId="77777777">
            <w:pPr>
              <w:keepLines/>
              <w:widowControl/>
              <w:jc w:val="both"/>
              <w:rPr>
                <w:szCs w:val="22"/>
              </w:rPr>
            </w:pPr>
            <w:r w:rsidRPr="00141374">
              <w:rPr>
                <w:szCs w:val="22"/>
              </w:rPr>
              <w:t xml:space="preserve">$1,431,038.80 </w:t>
            </w:r>
          </w:p>
        </w:tc>
        <w:tc>
          <w:tcPr>
            <w:tcW w:w="1152" w:type="dxa"/>
            <w:hideMark/>
          </w:tcPr>
          <w:p w:rsidR="007601CE" w:rsidRPr="00141374" w:rsidP="00B338D1" w14:paraId="6B3D7E54" w14:textId="77777777">
            <w:pPr>
              <w:keepLines/>
              <w:widowControl/>
              <w:jc w:val="both"/>
              <w:rPr>
                <w:szCs w:val="22"/>
              </w:rPr>
            </w:pPr>
            <w:r w:rsidRPr="00141374">
              <w:rPr>
                <w:szCs w:val="22"/>
              </w:rPr>
              <w:t>7</w:t>
            </w:r>
            <w:r>
              <w:rPr>
                <w:szCs w:val="22"/>
              </w:rPr>
              <w:t>21</w:t>
            </w:r>
          </w:p>
        </w:tc>
        <w:tc>
          <w:tcPr>
            <w:tcW w:w="1718" w:type="dxa"/>
            <w:hideMark/>
          </w:tcPr>
          <w:p w:rsidR="007601CE" w:rsidRPr="00141374" w:rsidP="00B338D1" w14:paraId="31245E4B" w14:textId="77777777">
            <w:pPr>
              <w:keepLines/>
              <w:widowControl/>
              <w:jc w:val="both"/>
              <w:rPr>
                <w:szCs w:val="22"/>
              </w:rPr>
            </w:pPr>
            <w:r w:rsidRPr="00141374">
              <w:rPr>
                <w:szCs w:val="22"/>
              </w:rPr>
              <w:t>$</w:t>
            </w:r>
            <w:r w:rsidRPr="00570450">
              <w:rPr>
                <w:szCs w:val="22"/>
              </w:rPr>
              <w:t>1,276,954.18</w:t>
            </w:r>
          </w:p>
        </w:tc>
      </w:tr>
      <w:tr w14:paraId="32DCA081" w14:textId="77777777" w:rsidTr="00B338D1">
        <w:tblPrEx>
          <w:tblW w:w="0" w:type="auto"/>
          <w:tblLook w:val="04A0"/>
        </w:tblPrEx>
        <w:trPr>
          <w:cantSplit/>
          <w:trHeight w:val="300"/>
        </w:trPr>
        <w:tc>
          <w:tcPr>
            <w:tcW w:w="2013" w:type="dxa"/>
            <w:hideMark/>
          </w:tcPr>
          <w:p w:rsidR="007601CE" w:rsidRPr="00141374" w:rsidP="00B338D1" w14:paraId="14E3E10D" w14:textId="77777777">
            <w:pPr>
              <w:keepLines/>
              <w:widowControl/>
            </w:pPr>
            <w:r>
              <w:t>Frontier California Inc</w:t>
            </w:r>
          </w:p>
        </w:tc>
        <w:tc>
          <w:tcPr>
            <w:tcW w:w="708" w:type="dxa"/>
            <w:hideMark/>
          </w:tcPr>
          <w:p w:rsidR="007601CE" w:rsidRPr="00141374" w:rsidP="00B338D1" w14:paraId="053D5F75" w14:textId="77777777">
            <w:pPr>
              <w:keepLines/>
              <w:widowControl/>
              <w:jc w:val="both"/>
              <w:rPr>
                <w:szCs w:val="22"/>
              </w:rPr>
            </w:pPr>
            <w:r w:rsidRPr="00141374">
              <w:rPr>
                <w:szCs w:val="22"/>
              </w:rPr>
              <w:t>CA</w:t>
            </w:r>
          </w:p>
        </w:tc>
        <w:tc>
          <w:tcPr>
            <w:tcW w:w="886" w:type="dxa"/>
            <w:hideMark/>
          </w:tcPr>
          <w:p w:rsidR="007601CE" w:rsidRPr="00141374" w:rsidP="00B338D1" w14:paraId="1E83B3AB" w14:textId="77777777">
            <w:pPr>
              <w:keepLines/>
              <w:widowControl/>
              <w:jc w:val="both"/>
              <w:rPr>
                <w:szCs w:val="22"/>
              </w:rPr>
            </w:pPr>
            <w:r w:rsidRPr="00141374">
              <w:rPr>
                <w:szCs w:val="22"/>
              </w:rPr>
              <w:t>542302</w:t>
            </w:r>
          </w:p>
        </w:tc>
        <w:tc>
          <w:tcPr>
            <w:tcW w:w="1145" w:type="dxa"/>
            <w:hideMark/>
          </w:tcPr>
          <w:p w:rsidR="007601CE" w:rsidRPr="00141374" w:rsidP="00B338D1" w14:paraId="3D906862" w14:textId="77777777">
            <w:pPr>
              <w:keepLines/>
              <w:widowControl/>
              <w:jc w:val="both"/>
              <w:rPr>
                <w:szCs w:val="22"/>
              </w:rPr>
            </w:pPr>
            <w:r w:rsidRPr="00141374">
              <w:rPr>
                <w:szCs w:val="22"/>
              </w:rPr>
              <w:t>23</w:t>
            </w:r>
          </w:p>
        </w:tc>
        <w:tc>
          <w:tcPr>
            <w:tcW w:w="1728" w:type="dxa"/>
            <w:hideMark/>
          </w:tcPr>
          <w:p w:rsidR="007601CE" w:rsidRPr="00141374" w:rsidP="00B338D1" w14:paraId="68015975" w14:textId="77777777">
            <w:pPr>
              <w:keepLines/>
              <w:widowControl/>
              <w:jc w:val="both"/>
              <w:rPr>
                <w:szCs w:val="22"/>
              </w:rPr>
            </w:pPr>
            <w:r w:rsidRPr="00141374">
              <w:rPr>
                <w:szCs w:val="22"/>
              </w:rPr>
              <w:t xml:space="preserve">$51,552.60 </w:t>
            </w:r>
          </w:p>
        </w:tc>
        <w:tc>
          <w:tcPr>
            <w:tcW w:w="1152" w:type="dxa"/>
            <w:hideMark/>
          </w:tcPr>
          <w:p w:rsidR="007601CE" w:rsidRPr="00141374" w:rsidP="00B338D1" w14:paraId="16D1BFE3" w14:textId="77777777">
            <w:pPr>
              <w:keepLines/>
              <w:widowControl/>
              <w:jc w:val="both"/>
              <w:rPr>
                <w:szCs w:val="22"/>
              </w:rPr>
            </w:pPr>
            <w:r w:rsidRPr="00141374">
              <w:rPr>
                <w:szCs w:val="22"/>
              </w:rPr>
              <w:t>18</w:t>
            </w:r>
          </w:p>
        </w:tc>
        <w:tc>
          <w:tcPr>
            <w:tcW w:w="1718" w:type="dxa"/>
            <w:hideMark/>
          </w:tcPr>
          <w:p w:rsidR="007601CE" w:rsidRPr="00141374" w:rsidP="00B338D1" w14:paraId="07BB2DE7" w14:textId="77777777">
            <w:pPr>
              <w:keepLines/>
              <w:widowControl/>
              <w:jc w:val="both"/>
            </w:pPr>
            <w:r>
              <w:t xml:space="preserve">$40,345.51 </w:t>
            </w:r>
          </w:p>
        </w:tc>
      </w:tr>
      <w:tr w14:paraId="5F5A7C8F" w14:textId="77777777" w:rsidTr="00B338D1">
        <w:tblPrEx>
          <w:tblW w:w="0" w:type="auto"/>
          <w:tblLook w:val="04A0"/>
        </w:tblPrEx>
        <w:trPr>
          <w:cantSplit/>
          <w:trHeight w:val="300"/>
        </w:trPr>
        <w:tc>
          <w:tcPr>
            <w:tcW w:w="2013" w:type="dxa"/>
            <w:hideMark/>
          </w:tcPr>
          <w:p w:rsidR="007601CE" w:rsidRPr="00141374" w:rsidP="00B338D1" w14:paraId="5506476F" w14:textId="77777777">
            <w:pPr>
              <w:keepLines/>
              <w:widowControl/>
              <w:rPr>
                <w:szCs w:val="22"/>
              </w:rPr>
            </w:pPr>
            <w:r w:rsidRPr="00141374">
              <w:rPr>
                <w:szCs w:val="22"/>
              </w:rPr>
              <w:t>IdeaTek</w:t>
            </w:r>
            <w:r w:rsidRPr="00141374">
              <w:rPr>
                <w:szCs w:val="22"/>
              </w:rPr>
              <w:t xml:space="preserve"> Telcom, LLC</w:t>
            </w:r>
          </w:p>
        </w:tc>
        <w:tc>
          <w:tcPr>
            <w:tcW w:w="708" w:type="dxa"/>
            <w:hideMark/>
          </w:tcPr>
          <w:p w:rsidR="007601CE" w:rsidRPr="00141374" w:rsidP="00B338D1" w14:paraId="6CEF4D9B" w14:textId="77777777">
            <w:pPr>
              <w:keepLines/>
              <w:widowControl/>
              <w:jc w:val="both"/>
              <w:rPr>
                <w:szCs w:val="22"/>
              </w:rPr>
            </w:pPr>
            <w:r w:rsidRPr="00141374">
              <w:rPr>
                <w:szCs w:val="22"/>
              </w:rPr>
              <w:t>KS</w:t>
            </w:r>
          </w:p>
        </w:tc>
        <w:tc>
          <w:tcPr>
            <w:tcW w:w="886" w:type="dxa"/>
            <w:hideMark/>
          </w:tcPr>
          <w:p w:rsidR="007601CE" w:rsidRPr="00141374" w:rsidP="00B338D1" w14:paraId="33811CCF" w14:textId="77777777">
            <w:pPr>
              <w:keepLines/>
              <w:widowControl/>
              <w:jc w:val="both"/>
              <w:rPr>
                <w:szCs w:val="22"/>
              </w:rPr>
            </w:pPr>
            <w:r w:rsidRPr="00141374">
              <w:rPr>
                <w:szCs w:val="22"/>
              </w:rPr>
              <w:t>419043</w:t>
            </w:r>
          </w:p>
        </w:tc>
        <w:tc>
          <w:tcPr>
            <w:tcW w:w="1145" w:type="dxa"/>
            <w:hideMark/>
          </w:tcPr>
          <w:p w:rsidR="007601CE" w:rsidRPr="00141374" w:rsidP="00B338D1" w14:paraId="7B3B0172" w14:textId="77777777">
            <w:pPr>
              <w:keepLines/>
              <w:widowControl/>
              <w:jc w:val="both"/>
              <w:rPr>
                <w:szCs w:val="22"/>
              </w:rPr>
            </w:pPr>
            <w:r w:rsidRPr="00141374">
              <w:rPr>
                <w:szCs w:val="22"/>
              </w:rPr>
              <w:t>2,490</w:t>
            </w:r>
          </w:p>
        </w:tc>
        <w:tc>
          <w:tcPr>
            <w:tcW w:w="1728" w:type="dxa"/>
            <w:hideMark/>
          </w:tcPr>
          <w:p w:rsidR="007601CE" w:rsidRPr="00141374" w:rsidP="00B338D1" w14:paraId="21B360DC" w14:textId="77777777">
            <w:pPr>
              <w:keepLines/>
              <w:widowControl/>
              <w:jc w:val="both"/>
              <w:rPr>
                <w:szCs w:val="22"/>
              </w:rPr>
            </w:pPr>
            <w:r w:rsidRPr="00141374">
              <w:rPr>
                <w:szCs w:val="22"/>
              </w:rPr>
              <w:t xml:space="preserve">$6,186,881.60 </w:t>
            </w:r>
          </w:p>
        </w:tc>
        <w:tc>
          <w:tcPr>
            <w:tcW w:w="1152" w:type="dxa"/>
            <w:hideMark/>
          </w:tcPr>
          <w:p w:rsidR="007601CE" w:rsidRPr="00141374" w:rsidP="00B338D1" w14:paraId="7997A7DE" w14:textId="77777777">
            <w:pPr>
              <w:keepLines/>
              <w:widowControl/>
              <w:jc w:val="both"/>
              <w:rPr>
                <w:szCs w:val="22"/>
              </w:rPr>
            </w:pPr>
            <w:r w:rsidRPr="00141374">
              <w:rPr>
                <w:szCs w:val="22"/>
              </w:rPr>
              <w:t>2,078</w:t>
            </w:r>
          </w:p>
        </w:tc>
        <w:tc>
          <w:tcPr>
            <w:tcW w:w="1718" w:type="dxa"/>
            <w:hideMark/>
          </w:tcPr>
          <w:p w:rsidR="007601CE" w:rsidRPr="00141374" w:rsidP="00B338D1" w14:paraId="4A0FE895" w14:textId="77777777">
            <w:pPr>
              <w:keepLines/>
              <w:widowControl/>
              <w:jc w:val="both"/>
              <w:rPr>
                <w:szCs w:val="22"/>
              </w:rPr>
            </w:pPr>
            <w:r w:rsidRPr="00141374">
              <w:rPr>
                <w:szCs w:val="22"/>
              </w:rPr>
              <w:t xml:space="preserve">$5,163,188.74 </w:t>
            </w:r>
          </w:p>
        </w:tc>
      </w:tr>
      <w:tr w14:paraId="249F339B" w14:textId="77777777" w:rsidTr="00B338D1">
        <w:tblPrEx>
          <w:tblW w:w="0" w:type="auto"/>
          <w:tblLook w:val="04A0"/>
        </w:tblPrEx>
        <w:trPr>
          <w:cantSplit/>
          <w:trHeight w:val="300"/>
        </w:trPr>
        <w:tc>
          <w:tcPr>
            <w:tcW w:w="2013" w:type="dxa"/>
            <w:hideMark/>
          </w:tcPr>
          <w:p w:rsidR="007601CE" w:rsidRPr="00141374" w:rsidP="00B338D1" w14:paraId="2D697163" w14:textId="77777777">
            <w:pPr>
              <w:keepLines/>
              <w:widowControl/>
              <w:rPr>
                <w:szCs w:val="22"/>
              </w:rPr>
            </w:pPr>
            <w:r w:rsidRPr="00141374">
              <w:rPr>
                <w:szCs w:val="22"/>
              </w:rPr>
              <w:t>Independent Networks, L.C.</w:t>
            </w:r>
          </w:p>
        </w:tc>
        <w:tc>
          <w:tcPr>
            <w:tcW w:w="708" w:type="dxa"/>
            <w:hideMark/>
          </w:tcPr>
          <w:p w:rsidR="007601CE" w:rsidRPr="00141374" w:rsidP="00B338D1" w14:paraId="412FAAF9" w14:textId="77777777">
            <w:pPr>
              <w:keepLines/>
              <w:widowControl/>
              <w:jc w:val="both"/>
              <w:rPr>
                <w:szCs w:val="22"/>
              </w:rPr>
            </w:pPr>
            <w:r w:rsidRPr="00141374">
              <w:rPr>
                <w:szCs w:val="22"/>
              </w:rPr>
              <w:t>IA</w:t>
            </w:r>
          </w:p>
        </w:tc>
        <w:tc>
          <w:tcPr>
            <w:tcW w:w="886" w:type="dxa"/>
            <w:hideMark/>
          </w:tcPr>
          <w:p w:rsidR="007601CE" w:rsidRPr="00141374" w:rsidP="00B338D1" w14:paraId="5CBEDB49" w14:textId="77777777">
            <w:pPr>
              <w:keepLines/>
              <w:widowControl/>
              <w:jc w:val="both"/>
              <w:rPr>
                <w:szCs w:val="22"/>
              </w:rPr>
            </w:pPr>
            <w:r w:rsidRPr="00141374">
              <w:rPr>
                <w:szCs w:val="22"/>
              </w:rPr>
              <w:t>359006</w:t>
            </w:r>
          </w:p>
        </w:tc>
        <w:tc>
          <w:tcPr>
            <w:tcW w:w="1145" w:type="dxa"/>
            <w:hideMark/>
          </w:tcPr>
          <w:p w:rsidR="007601CE" w:rsidRPr="00141374" w:rsidP="00B338D1" w14:paraId="20EF6EA4" w14:textId="77777777">
            <w:pPr>
              <w:keepLines/>
              <w:widowControl/>
              <w:jc w:val="both"/>
              <w:rPr>
                <w:szCs w:val="22"/>
              </w:rPr>
            </w:pPr>
            <w:r w:rsidRPr="00141374">
              <w:rPr>
                <w:szCs w:val="22"/>
              </w:rPr>
              <w:t>123</w:t>
            </w:r>
          </w:p>
        </w:tc>
        <w:tc>
          <w:tcPr>
            <w:tcW w:w="1728" w:type="dxa"/>
            <w:hideMark/>
          </w:tcPr>
          <w:p w:rsidR="007601CE" w:rsidRPr="00141374" w:rsidP="00B338D1" w14:paraId="1C744B5E" w14:textId="77777777">
            <w:pPr>
              <w:keepLines/>
              <w:widowControl/>
              <w:jc w:val="both"/>
              <w:rPr>
                <w:szCs w:val="22"/>
              </w:rPr>
            </w:pPr>
            <w:r w:rsidRPr="00141374">
              <w:rPr>
                <w:szCs w:val="22"/>
              </w:rPr>
              <w:t xml:space="preserve">$288,834.00 </w:t>
            </w:r>
          </w:p>
        </w:tc>
        <w:tc>
          <w:tcPr>
            <w:tcW w:w="1152" w:type="dxa"/>
            <w:hideMark/>
          </w:tcPr>
          <w:p w:rsidR="007601CE" w:rsidRPr="00141374" w:rsidP="00B338D1" w14:paraId="347C1B0F" w14:textId="77777777">
            <w:pPr>
              <w:keepLines/>
              <w:widowControl/>
              <w:jc w:val="both"/>
              <w:rPr>
                <w:szCs w:val="22"/>
              </w:rPr>
            </w:pPr>
            <w:r w:rsidRPr="00141374">
              <w:rPr>
                <w:szCs w:val="22"/>
              </w:rPr>
              <w:t>91</w:t>
            </w:r>
          </w:p>
        </w:tc>
        <w:tc>
          <w:tcPr>
            <w:tcW w:w="1718" w:type="dxa"/>
            <w:hideMark/>
          </w:tcPr>
          <w:p w:rsidR="007601CE" w:rsidRPr="00141374" w:rsidP="00B338D1" w14:paraId="1826D3FC" w14:textId="77777777">
            <w:pPr>
              <w:keepLines/>
              <w:widowControl/>
              <w:jc w:val="both"/>
              <w:rPr>
                <w:szCs w:val="22"/>
              </w:rPr>
            </w:pPr>
            <w:r w:rsidRPr="00141374">
              <w:rPr>
                <w:szCs w:val="22"/>
              </w:rPr>
              <w:t xml:space="preserve">$213,690.20 </w:t>
            </w:r>
          </w:p>
        </w:tc>
      </w:tr>
      <w:tr w14:paraId="4A0D1BD8" w14:textId="77777777" w:rsidTr="00B338D1">
        <w:tblPrEx>
          <w:tblW w:w="0" w:type="auto"/>
          <w:tblLook w:val="04A0"/>
        </w:tblPrEx>
        <w:trPr>
          <w:cantSplit/>
          <w:trHeight w:val="330"/>
        </w:trPr>
        <w:tc>
          <w:tcPr>
            <w:tcW w:w="2013" w:type="dxa"/>
            <w:hideMark/>
          </w:tcPr>
          <w:p w:rsidR="007601CE" w:rsidRPr="00141374" w:rsidP="00B338D1" w14:paraId="0A8B789C" w14:textId="77777777">
            <w:pPr>
              <w:keepLines/>
              <w:widowControl/>
              <w:rPr>
                <w:szCs w:val="22"/>
              </w:rPr>
            </w:pPr>
            <w:r w:rsidRPr="00141374">
              <w:rPr>
                <w:szCs w:val="22"/>
              </w:rPr>
              <w:t>Maquoketa Valley Rural Electric Cooperative</w:t>
            </w:r>
          </w:p>
        </w:tc>
        <w:tc>
          <w:tcPr>
            <w:tcW w:w="708" w:type="dxa"/>
            <w:hideMark/>
          </w:tcPr>
          <w:p w:rsidR="007601CE" w:rsidRPr="00141374" w:rsidP="00B338D1" w14:paraId="239EAE19" w14:textId="77777777">
            <w:pPr>
              <w:keepLines/>
              <w:widowControl/>
              <w:jc w:val="both"/>
              <w:rPr>
                <w:szCs w:val="22"/>
              </w:rPr>
            </w:pPr>
            <w:r w:rsidRPr="00141374">
              <w:rPr>
                <w:szCs w:val="22"/>
              </w:rPr>
              <w:t>IA</w:t>
            </w:r>
          </w:p>
        </w:tc>
        <w:tc>
          <w:tcPr>
            <w:tcW w:w="886" w:type="dxa"/>
            <w:hideMark/>
          </w:tcPr>
          <w:p w:rsidR="007601CE" w:rsidRPr="00141374" w:rsidP="00B338D1" w14:paraId="1989BC1E" w14:textId="77777777">
            <w:pPr>
              <w:keepLines/>
              <w:widowControl/>
              <w:jc w:val="both"/>
              <w:rPr>
                <w:szCs w:val="22"/>
              </w:rPr>
            </w:pPr>
            <w:r w:rsidRPr="00141374">
              <w:rPr>
                <w:szCs w:val="22"/>
              </w:rPr>
              <w:t>359148</w:t>
            </w:r>
          </w:p>
        </w:tc>
        <w:tc>
          <w:tcPr>
            <w:tcW w:w="1145" w:type="dxa"/>
            <w:hideMark/>
          </w:tcPr>
          <w:p w:rsidR="007601CE" w:rsidRPr="00141374" w:rsidP="00B338D1" w14:paraId="540285DE" w14:textId="77777777">
            <w:pPr>
              <w:keepLines/>
              <w:widowControl/>
              <w:jc w:val="both"/>
              <w:rPr>
                <w:szCs w:val="22"/>
              </w:rPr>
            </w:pPr>
            <w:r w:rsidRPr="00141374">
              <w:rPr>
                <w:szCs w:val="22"/>
              </w:rPr>
              <w:t>1,107</w:t>
            </w:r>
          </w:p>
        </w:tc>
        <w:tc>
          <w:tcPr>
            <w:tcW w:w="1728" w:type="dxa"/>
            <w:hideMark/>
          </w:tcPr>
          <w:p w:rsidR="007601CE" w:rsidRPr="00141374" w:rsidP="00B338D1" w14:paraId="7FD66D9C" w14:textId="77777777">
            <w:pPr>
              <w:keepLines/>
              <w:widowControl/>
              <w:jc w:val="both"/>
              <w:rPr>
                <w:szCs w:val="22"/>
              </w:rPr>
            </w:pPr>
            <w:r w:rsidRPr="00141374">
              <w:rPr>
                <w:szCs w:val="22"/>
              </w:rPr>
              <w:t xml:space="preserve">$2,262,038.60 </w:t>
            </w:r>
          </w:p>
        </w:tc>
        <w:tc>
          <w:tcPr>
            <w:tcW w:w="1152" w:type="dxa"/>
            <w:hideMark/>
          </w:tcPr>
          <w:p w:rsidR="007601CE" w:rsidRPr="00141374" w:rsidP="00B338D1" w14:paraId="60380350" w14:textId="77777777">
            <w:pPr>
              <w:keepLines/>
              <w:widowControl/>
              <w:jc w:val="both"/>
              <w:rPr>
                <w:szCs w:val="22"/>
              </w:rPr>
            </w:pPr>
            <w:r w:rsidRPr="00141374">
              <w:rPr>
                <w:szCs w:val="22"/>
              </w:rPr>
              <w:t>882</w:t>
            </w:r>
          </w:p>
        </w:tc>
        <w:tc>
          <w:tcPr>
            <w:tcW w:w="1718" w:type="dxa"/>
            <w:hideMark/>
          </w:tcPr>
          <w:p w:rsidR="007601CE" w:rsidRPr="00141374" w:rsidP="00B338D1" w14:paraId="5FE407D3" w14:textId="77777777">
            <w:pPr>
              <w:keepLines/>
              <w:widowControl/>
              <w:jc w:val="both"/>
              <w:rPr>
                <w:szCs w:val="22"/>
              </w:rPr>
            </w:pPr>
            <w:r w:rsidRPr="00141374">
              <w:rPr>
                <w:szCs w:val="22"/>
              </w:rPr>
              <w:t xml:space="preserve">$1,802,274.66 </w:t>
            </w:r>
          </w:p>
        </w:tc>
      </w:tr>
      <w:tr w14:paraId="794F2940" w14:textId="77777777" w:rsidTr="00B338D1">
        <w:tblPrEx>
          <w:tblW w:w="0" w:type="auto"/>
          <w:tblLook w:val="04A0"/>
        </w:tblPrEx>
        <w:trPr>
          <w:cantSplit/>
          <w:trHeight w:val="300"/>
        </w:trPr>
        <w:tc>
          <w:tcPr>
            <w:tcW w:w="2013" w:type="dxa"/>
            <w:hideMark/>
          </w:tcPr>
          <w:p w:rsidR="007601CE" w:rsidRPr="00141374" w:rsidP="00B338D1" w14:paraId="73F20069" w14:textId="77777777">
            <w:pPr>
              <w:keepLines/>
              <w:widowControl/>
              <w:rPr>
                <w:szCs w:val="22"/>
              </w:rPr>
            </w:pPr>
            <w:r w:rsidRPr="00141374">
              <w:rPr>
                <w:szCs w:val="22"/>
              </w:rPr>
              <w:t>Marshall County Fiber, LLC</w:t>
            </w:r>
          </w:p>
        </w:tc>
        <w:tc>
          <w:tcPr>
            <w:tcW w:w="708" w:type="dxa"/>
            <w:hideMark/>
          </w:tcPr>
          <w:p w:rsidR="007601CE" w:rsidRPr="00141374" w:rsidP="00B338D1" w14:paraId="2606BF45" w14:textId="77777777">
            <w:pPr>
              <w:keepLines/>
              <w:widowControl/>
              <w:jc w:val="both"/>
              <w:rPr>
                <w:szCs w:val="22"/>
              </w:rPr>
            </w:pPr>
            <w:r w:rsidRPr="00141374">
              <w:rPr>
                <w:szCs w:val="22"/>
              </w:rPr>
              <w:t>IN</w:t>
            </w:r>
          </w:p>
        </w:tc>
        <w:tc>
          <w:tcPr>
            <w:tcW w:w="886" w:type="dxa"/>
            <w:hideMark/>
          </w:tcPr>
          <w:p w:rsidR="007601CE" w:rsidRPr="00141374" w:rsidP="00B338D1" w14:paraId="6BE48F1C" w14:textId="77777777">
            <w:pPr>
              <w:keepLines/>
              <w:widowControl/>
              <w:jc w:val="both"/>
              <w:rPr>
                <w:szCs w:val="22"/>
              </w:rPr>
            </w:pPr>
            <w:r w:rsidRPr="00141374">
              <w:rPr>
                <w:szCs w:val="22"/>
              </w:rPr>
              <w:t>329027</w:t>
            </w:r>
          </w:p>
        </w:tc>
        <w:tc>
          <w:tcPr>
            <w:tcW w:w="1145" w:type="dxa"/>
            <w:hideMark/>
          </w:tcPr>
          <w:p w:rsidR="007601CE" w:rsidRPr="00141374" w:rsidP="00B338D1" w14:paraId="3A53053B" w14:textId="77777777">
            <w:pPr>
              <w:keepLines/>
              <w:widowControl/>
              <w:jc w:val="both"/>
              <w:rPr>
                <w:szCs w:val="22"/>
              </w:rPr>
            </w:pPr>
            <w:r w:rsidRPr="00141374">
              <w:rPr>
                <w:szCs w:val="22"/>
              </w:rPr>
              <w:t>1,203</w:t>
            </w:r>
          </w:p>
        </w:tc>
        <w:tc>
          <w:tcPr>
            <w:tcW w:w="1728" w:type="dxa"/>
            <w:hideMark/>
          </w:tcPr>
          <w:p w:rsidR="007601CE" w:rsidRPr="00141374" w:rsidP="00B338D1" w14:paraId="1DFC7D2E" w14:textId="77777777">
            <w:pPr>
              <w:keepLines/>
              <w:widowControl/>
              <w:jc w:val="both"/>
              <w:rPr>
                <w:szCs w:val="22"/>
              </w:rPr>
            </w:pPr>
            <w:r w:rsidRPr="00141374">
              <w:rPr>
                <w:szCs w:val="22"/>
              </w:rPr>
              <w:t xml:space="preserve">$1,326,394.00 </w:t>
            </w:r>
          </w:p>
        </w:tc>
        <w:tc>
          <w:tcPr>
            <w:tcW w:w="1152" w:type="dxa"/>
            <w:hideMark/>
          </w:tcPr>
          <w:p w:rsidR="007601CE" w:rsidRPr="00141374" w:rsidP="00B338D1" w14:paraId="7A5B11E4" w14:textId="77777777">
            <w:pPr>
              <w:keepLines/>
              <w:widowControl/>
              <w:jc w:val="both"/>
              <w:rPr>
                <w:szCs w:val="22"/>
              </w:rPr>
            </w:pPr>
            <w:r w:rsidRPr="00141374">
              <w:rPr>
                <w:szCs w:val="22"/>
              </w:rPr>
              <w:t>981</w:t>
            </w:r>
          </w:p>
        </w:tc>
        <w:tc>
          <w:tcPr>
            <w:tcW w:w="1718" w:type="dxa"/>
            <w:hideMark/>
          </w:tcPr>
          <w:p w:rsidR="007601CE" w:rsidRPr="00141374" w:rsidP="00B338D1" w14:paraId="12CA6346" w14:textId="77777777">
            <w:pPr>
              <w:keepLines/>
              <w:widowControl/>
              <w:jc w:val="both"/>
              <w:rPr>
                <w:szCs w:val="22"/>
              </w:rPr>
            </w:pPr>
            <w:r w:rsidRPr="00141374">
              <w:rPr>
                <w:szCs w:val="22"/>
              </w:rPr>
              <w:t xml:space="preserve">$1,081,623.04 </w:t>
            </w:r>
          </w:p>
        </w:tc>
      </w:tr>
      <w:tr w14:paraId="79150898" w14:textId="77777777" w:rsidTr="00B338D1">
        <w:tblPrEx>
          <w:tblW w:w="0" w:type="auto"/>
          <w:tblLook w:val="04A0"/>
        </w:tblPrEx>
        <w:trPr>
          <w:cantSplit/>
          <w:trHeight w:val="300"/>
        </w:trPr>
        <w:tc>
          <w:tcPr>
            <w:tcW w:w="2013" w:type="dxa"/>
            <w:hideMark/>
          </w:tcPr>
          <w:p w:rsidR="007601CE" w:rsidRPr="00141374" w:rsidP="00B338D1" w14:paraId="6CEE7E9F" w14:textId="77777777">
            <w:pPr>
              <w:keepLines/>
              <w:widowControl/>
              <w:rPr>
                <w:szCs w:val="22"/>
              </w:rPr>
            </w:pPr>
            <w:r w:rsidRPr="00141374">
              <w:rPr>
                <w:szCs w:val="22"/>
              </w:rPr>
              <w:t>Midcontinent Communications</w:t>
            </w:r>
          </w:p>
        </w:tc>
        <w:tc>
          <w:tcPr>
            <w:tcW w:w="708" w:type="dxa"/>
            <w:hideMark/>
          </w:tcPr>
          <w:p w:rsidR="007601CE" w:rsidRPr="00141374" w:rsidP="00B338D1" w14:paraId="147C9C11" w14:textId="77777777">
            <w:pPr>
              <w:keepLines/>
              <w:widowControl/>
              <w:jc w:val="both"/>
              <w:rPr>
                <w:szCs w:val="22"/>
              </w:rPr>
            </w:pPr>
            <w:r w:rsidRPr="00141374">
              <w:rPr>
                <w:szCs w:val="22"/>
              </w:rPr>
              <w:t>MN</w:t>
            </w:r>
          </w:p>
        </w:tc>
        <w:tc>
          <w:tcPr>
            <w:tcW w:w="886" w:type="dxa"/>
            <w:hideMark/>
          </w:tcPr>
          <w:p w:rsidR="007601CE" w:rsidRPr="00141374" w:rsidP="00B338D1" w14:paraId="0B7BE6DC" w14:textId="77777777">
            <w:pPr>
              <w:keepLines/>
              <w:widowControl/>
              <w:jc w:val="both"/>
              <w:rPr>
                <w:szCs w:val="22"/>
              </w:rPr>
            </w:pPr>
            <w:r w:rsidRPr="00141374">
              <w:rPr>
                <w:szCs w:val="22"/>
              </w:rPr>
              <w:t>369015</w:t>
            </w:r>
          </w:p>
        </w:tc>
        <w:tc>
          <w:tcPr>
            <w:tcW w:w="1145" w:type="dxa"/>
            <w:hideMark/>
          </w:tcPr>
          <w:p w:rsidR="007601CE" w:rsidRPr="00141374" w:rsidP="00B338D1" w14:paraId="2B543F9E" w14:textId="77777777">
            <w:pPr>
              <w:keepLines/>
              <w:widowControl/>
              <w:jc w:val="both"/>
              <w:rPr>
                <w:szCs w:val="22"/>
              </w:rPr>
            </w:pPr>
            <w:r w:rsidRPr="00141374">
              <w:rPr>
                <w:szCs w:val="22"/>
              </w:rPr>
              <w:t>7,410</w:t>
            </w:r>
          </w:p>
        </w:tc>
        <w:tc>
          <w:tcPr>
            <w:tcW w:w="1728" w:type="dxa"/>
            <w:hideMark/>
          </w:tcPr>
          <w:p w:rsidR="007601CE" w:rsidRPr="00141374" w:rsidP="00B338D1" w14:paraId="5A1964FE" w14:textId="77777777">
            <w:pPr>
              <w:keepLines/>
              <w:widowControl/>
              <w:jc w:val="both"/>
              <w:rPr>
                <w:szCs w:val="22"/>
              </w:rPr>
            </w:pPr>
            <w:r w:rsidRPr="00141374">
              <w:rPr>
                <w:szCs w:val="22"/>
              </w:rPr>
              <w:t xml:space="preserve">$27,977,283.80 </w:t>
            </w:r>
          </w:p>
        </w:tc>
        <w:tc>
          <w:tcPr>
            <w:tcW w:w="1152" w:type="dxa"/>
            <w:hideMark/>
          </w:tcPr>
          <w:p w:rsidR="007601CE" w:rsidRPr="00141374" w:rsidP="00B338D1" w14:paraId="1B4440E3" w14:textId="77777777">
            <w:pPr>
              <w:keepLines/>
              <w:widowControl/>
              <w:jc w:val="both"/>
              <w:rPr>
                <w:szCs w:val="22"/>
              </w:rPr>
            </w:pPr>
            <w:r w:rsidRPr="00141374">
              <w:rPr>
                <w:szCs w:val="22"/>
              </w:rPr>
              <w:t>5,948</w:t>
            </w:r>
          </w:p>
        </w:tc>
        <w:tc>
          <w:tcPr>
            <w:tcW w:w="1718" w:type="dxa"/>
            <w:hideMark/>
          </w:tcPr>
          <w:p w:rsidR="007601CE" w:rsidRPr="00141374" w:rsidP="00B338D1" w14:paraId="247A0B6D" w14:textId="77777777">
            <w:pPr>
              <w:keepLines/>
              <w:widowControl/>
              <w:jc w:val="both"/>
              <w:rPr>
                <w:szCs w:val="22"/>
              </w:rPr>
            </w:pPr>
            <w:r w:rsidRPr="00141374">
              <w:rPr>
                <w:szCs w:val="22"/>
              </w:rPr>
              <w:t xml:space="preserve">$22,457,339.28 </w:t>
            </w:r>
          </w:p>
        </w:tc>
      </w:tr>
      <w:tr w14:paraId="144EE91E" w14:textId="77777777" w:rsidTr="00B338D1">
        <w:tblPrEx>
          <w:tblW w:w="0" w:type="auto"/>
          <w:tblLook w:val="04A0"/>
        </w:tblPrEx>
        <w:trPr>
          <w:cantSplit/>
          <w:trHeight w:val="300"/>
        </w:trPr>
        <w:tc>
          <w:tcPr>
            <w:tcW w:w="2013" w:type="dxa"/>
            <w:hideMark/>
          </w:tcPr>
          <w:p w:rsidR="007601CE" w:rsidRPr="00141374" w:rsidP="00B338D1" w14:paraId="36F7B1AB" w14:textId="77777777">
            <w:pPr>
              <w:keepLines/>
              <w:widowControl/>
              <w:rPr>
                <w:szCs w:val="22"/>
              </w:rPr>
            </w:pPr>
            <w:r w:rsidRPr="00141374">
              <w:rPr>
                <w:szCs w:val="22"/>
              </w:rPr>
              <w:t>NewMax</w:t>
            </w:r>
            <w:r w:rsidRPr="00141374">
              <w:rPr>
                <w:szCs w:val="22"/>
              </w:rPr>
              <w:t xml:space="preserve">, LLC dba </w:t>
            </w:r>
            <w:r w:rsidRPr="00141374">
              <w:rPr>
                <w:szCs w:val="22"/>
              </w:rPr>
              <w:t>Intermax</w:t>
            </w:r>
            <w:r w:rsidRPr="00141374">
              <w:rPr>
                <w:szCs w:val="22"/>
              </w:rPr>
              <w:t xml:space="preserve"> Networks</w:t>
            </w:r>
          </w:p>
        </w:tc>
        <w:tc>
          <w:tcPr>
            <w:tcW w:w="708" w:type="dxa"/>
            <w:hideMark/>
          </w:tcPr>
          <w:p w:rsidR="007601CE" w:rsidRPr="00141374" w:rsidP="00B338D1" w14:paraId="5767D01A" w14:textId="77777777">
            <w:pPr>
              <w:keepLines/>
              <w:widowControl/>
              <w:jc w:val="both"/>
              <w:rPr>
                <w:szCs w:val="22"/>
              </w:rPr>
            </w:pPr>
            <w:r w:rsidRPr="00141374">
              <w:rPr>
                <w:szCs w:val="22"/>
              </w:rPr>
              <w:t>WA</w:t>
            </w:r>
          </w:p>
        </w:tc>
        <w:tc>
          <w:tcPr>
            <w:tcW w:w="886" w:type="dxa"/>
            <w:hideMark/>
          </w:tcPr>
          <w:p w:rsidR="007601CE" w:rsidRPr="00141374" w:rsidP="00B338D1" w14:paraId="44A74D43" w14:textId="77777777">
            <w:pPr>
              <w:keepLines/>
              <w:widowControl/>
              <w:jc w:val="both"/>
              <w:rPr>
                <w:szCs w:val="22"/>
              </w:rPr>
            </w:pPr>
            <w:r w:rsidRPr="00141374">
              <w:rPr>
                <w:szCs w:val="22"/>
              </w:rPr>
              <w:t>529027</w:t>
            </w:r>
          </w:p>
        </w:tc>
        <w:tc>
          <w:tcPr>
            <w:tcW w:w="1145" w:type="dxa"/>
            <w:hideMark/>
          </w:tcPr>
          <w:p w:rsidR="007601CE" w:rsidRPr="00141374" w:rsidP="00B338D1" w14:paraId="614BD8AE" w14:textId="77777777">
            <w:pPr>
              <w:keepLines/>
              <w:widowControl/>
              <w:jc w:val="both"/>
              <w:rPr>
                <w:szCs w:val="22"/>
              </w:rPr>
            </w:pPr>
            <w:r w:rsidRPr="00141374">
              <w:rPr>
                <w:szCs w:val="22"/>
              </w:rPr>
              <w:t>823</w:t>
            </w:r>
          </w:p>
        </w:tc>
        <w:tc>
          <w:tcPr>
            <w:tcW w:w="1728" w:type="dxa"/>
            <w:hideMark/>
          </w:tcPr>
          <w:p w:rsidR="007601CE" w:rsidRPr="00141374" w:rsidP="00B338D1" w14:paraId="35C48725" w14:textId="77777777">
            <w:pPr>
              <w:keepLines/>
              <w:widowControl/>
              <w:jc w:val="both"/>
              <w:rPr>
                <w:szCs w:val="22"/>
              </w:rPr>
            </w:pPr>
            <w:r w:rsidRPr="00141374">
              <w:rPr>
                <w:szCs w:val="22"/>
              </w:rPr>
              <w:t xml:space="preserve">$2,160,450.60 </w:t>
            </w:r>
          </w:p>
        </w:tc>
        <w:tc>
          <w:tcPr>
            <w:tcW w:w="1152" w:type="dxa"/>
            <w:hideMark/>
          </w:tcPr>
          <w:p w:rsidR="007601CE" w:rsidRPr="00141374" w:rsidP="00B338D1" w14:paraId="4F815A8D" w14:textId="77777777">
            <w:pPr>
              <w:keepLines/>
              <w:widowControl/>
              <w:jc w:val="both"/>
              <w:rPr>
                <w:szCs w:val="22"/>
              </w:rPr>
            </w:pPr>
            <w:r w:rsidRPr="00141374">
              <w:rPr>
                <w:szCs w:val="22"/>
              </w:rPr>
              <w:t>635</w:t>
            </w:r>
          </w:p>
        </w:tc>
        <w:tc>
          <w:tcPr>
            <w:tcW w:w="1718" w:type="dxa"/>
            <w:hideMark/>
          </w:tcPr>
          <w:p w:rsidR="007601CE" w:rsidRPr="00141374" w:rsidP="00B338D1" w14:paraId="307BB155" w14:textId="77777777">
            <w:pPr>
              <w:keepLines/>
              <w:widowControl/>
              <w:jc w:val="both"/>
              <w:rPr>
                <w:szCs w:val="22"/>
              </w:rPr>
            </w:pPr>
            <w:r w:rsidRPr="00141374">
              <w:rPr>
                <w:szCs w:val="22"/>
              </w:rPr>
              <w:t xml:space="preserve">$1,666,933.33 </w:t>
            </w:r>
          </w:p>
        </w:tc>
      </w:tr>
      <w:tr w14:paraId="10E6BC76" w14:textId="77777777" w:rsidTr="00B338D1">
        <w:tblPrEx>
          <w:tblW w:w="0" w:type="auto"/>
          <w:tblLook w:val="04A0"/>
        </w:tblPrEx>
        <w:trPr>
          <w:cantSplit/>
          <w:trHeight w:val="300"/>
        </w:trPr>
        <w:tc>
          <w:tcPr>
            <w:tcW w:w="2013" w:type="dxa"/>
            <w:hideMark/>
          </w:tcPr>
          <w:p w:rsidR="007601CE" w:rsidRPr="00141374" w:rsidP="00B338D1" w14:paraId="3251D235" w14:textId="77777777">
            <w:pPr>
              <w:keepLines/>
              <w:widowControl/>
              <w:rPr>
                <w:szCs w:val="22"/>
              </w:rPr>
            </w:pPr>
            <w:r w:rsidRPr="00141374">
              <w:rPr>
                <w:szCs w:val="22"/>
              </w:rPr>
              <w:t xml:space="preserve">PC </w:t>
            </w:r>
            <w:r w:rsidRPr="00141374">
              <w:rPr>
                <w:szCs w:val="22"/>
              </w:rPr>
              <w:t>Telecorp</w:t>
            </w:r>
            <w:r w:rsidRPr="00141374">
              <w:rPr>
                <w:szCs w:val="22"/>
              </w:rPr>
              <w:t>, Inc.</w:t>
            </w:r>
          </w:p>
        </w:tc>
        <w:tc>
          <w:tcPr>
            <w:tcW w:w="708" w:type="dxa"/>
            <w:hideMark/>
          </w:tcPr>
          <w:p w:rsidR="007601CE" w:rsidRPr="00141374" w:rsidP="00B338D1" w14:paraId="07F9F879" w14:textId="77777777">
            <w:pPr>
              <w:keepLines/>
              <w:widowControl/>
              <w:jc w:val="both"/>
              <w:rPr>
                <w:szCs w:val="22"/>
              </w:rPr>
            </w:pPr>
            <w:r w:rsidRPr="00141374">
              <w:rPr>
                <w:szCs w:val="22"/>
              </w:rPr>
              <w:t>CO</w:t>
            </w:r>
          </w:p>
        </w:tc>
        <w:tc>
          <w:tcPr>
            <w:tcW w:w="886" w:type="dxa"/>
            <w:hideMark/>
          </w:tcPr>
          <w:p w:rsidR="007601CE" w:rsidRPr="00141374" w:rsidP="00B338D1" w14:paraId="1BBDFCCC" w14:textId="77777777">
            <w:pPr>
              <w:keepLines/>
              <w:widowControl/>
              <w:jc w:val="both"/>
              <w:rPr>
                <w:szCs w:val="22"/>
              </w:rPr>
            </w:pPr>
            <w:r w:rsidRPr="00141374">
              <w:rPr>
                <w:szCs w:val="22"/>
              </w:rPr>
              <w:t>469032</w:t>
            </w:r>
          </w:p>
        </w:tc>
        <w:tc>
          <w:tcPr>
            <w:tcW w:w="1145" w:type="dxa"/>
            <w:hideMark/>
          </w:tcPr>
          <w:p w:rsidR="007601CE" w:rsidRPr="00141374" w:rsidP="00B338D1" w14:paraId="6297D27C" w14:textId="77777777">
            <w:pPr>
              <w:keepLines/>
              <w:widowControl/>
              <w:jc w:val="both"/>
              <w:rPr>
                <w:szCs w:val="22"/>
              </w:rPr>
            </w:pPr>
            <w:r w:rsidRPr="00141374">
              <w:rPr>
                <w:szCs w:val="22"/>
              </w:rPr>
              <w:t>33</w:t>
            </w:r>
          </w:p>
        </w:tc>
        <w:tc>
          <w:tcPr>
            <w:tcW w:w="1728" w:type="dxa"/>
            <w:hideMark/>
          </w:tcPr>
          <w:p w:rsidR="007601CE" w:rsidRPr="00141374" w:rsidP="00B338D1" w14:paraId="7572B79C" w14:textId="77777777">
            <w:pPr>
              <w:keepLines/>
              <w:widowControl/>
              <w:jc w:val="both"/>
              <w:rPr>
                <w:szCs w:val="22"/>
              </w:rPr>
            </w:pPr>
            <w:r w:rsidRPr="00141374">
              <w:rPr>
                <w:szCs w:val="22"/>
              </w:rPr>
              <w:t xml:space="preserve">$387,303.00 </w:t>
            </w:r>
          </w:p>
        </w:tc>
        <w:tc>
          <w:tcPr>
            <w:tcW w:w="1152" w:type="dxa"/>
            <w:hideMark/>
          </w:tcPr>
          <w:p w:rsidR="007601CE" w:rsidRPr="00141374" w:rsidP="00B338D1" w14:paraId="4CFAD056" w14:textId="77777777">
            <w:pPr>
              <w:keepLines/>
              <w:widowControl/>
              <w:jc w:val="both"/>
              <w:rPr>
                <w:szCs w:val="22"/>
              </w:rPr>
            </w:pPr>
            <w:r w:rsidRPr="00141374">
              <w:rPr>
                <w:szCs w:val="22"/>
              </w:rPr>
              <w:t>21</w:t>
            </w:r>
          </w:p>
        </w:tc>
        <w:tc>
          <w:tcPr>
            <w:tcW w:w="1718" w:type="dxa"/>
            <w:hideMark/>
          </w:tcPr>
          <w:p w:rsidR="007601CE" w:rsidRPr="00141374" w:rsidP="00B338D1" w14:paraId="4D17460A" w14:textId="77777777">
            <w:pPr>
              <w:keepLines/>
              <w:widowControl/>
              <w:jc w:val="both"/>
              <w:rPr>
                <w:szCs w:val="22"/>
              </w:rPr>
            </w:pPr>
            <w:r w:rsidRPr="00141374">
              <w:rPr>
                <w:szCs w:val="22"/>
              </w:rPr>
              <w:t xml:space="preserve">$246,465.55 </w:t>
            </w:r>
          </w:p>
        </w:tc>
      </w:tr>
      <w:tr w14:paraId="49484AF2" w14:textId="77777777" w:rsidTr="00B338D1">
        <w:tblPrEx>
          <w:tblW w:w="0" w:type="auto"/>
          <w:tblLook w:val="04A0"/>
        </w:tblPrEx>
        <w:trPr>
          <w:cantSplit/>
          <w:trHeight w:val="300"/>
        </w:trPr>
        <w:tc>
          <w:tcPr>
            <w:tcW w:w="2013" w:type="dxa"/>
            <w:hideMark/>
          </w:tcPr>
          <w:p w:rsidR="007601CE" w:rsidRPr="00141374" w:rsidP="00B338D1" w14:paraId="7ED8B1A3" w14:textId="77777777">
            <w:pPr>
              <w:keepLines/>
              <w:widowControl/>
              <w:rPr>
                <w:szCs w:val="22"/>
              </w:rPr>
            </w:pPr>
            <w:r w:rsidRPr="00141374">
              <w:rPr>
                <w:szCs w:val="22"/>
              </w:rPr>
              <w:t>Point Broadband Fiber Holding, LLC</w:t>
            </w:r>
          </w:p>
        </w:tc>
        <w:tc>
          <w:tcPr>
            <w:tcW w:w="708" w:type="dxa"/>
            <w:hideMark/>
          </w:tcPr>
          <w:p w:rsidR="007601CE" w:rsidRPr="00141374" w:rsidP="00B338D1" w14:paraId="5A23B1F3" w14:textId="77777777">
            <w:pPr>
              <w:keepLines/>
              <w:widowControl/>
              <w:jc w:val="both"/>
              <w:rPr>
                <w:szCs w:val="22"/>
              </w:rPr>
            </w:pPr>
            <w:r w:rsidRPr="00141374">
              <w:rPr>
                <w:szCs w:val="22"/>
              </w:rPr>
              <w:t>MI</w:t>
            </w:r>
          </w:p>
        </w:tc>
        <w:tc>
          <w:tcPr>
            <w:tcW w:w="886" w:type="dxa"/>
            <w:hideMark/>
          </w:tcPr>
          <w:p w:rsidR="007601CE" w:rsidRPr="00141374" w:rsidP="00B338D1" w14:paraId="266E9B4F" w14:textId="77777777">
            <w:pPr>
              <w:keepLines/>
              <w:widowControl/>
              <w:jc w:val="both"/>
              <w:rPr>
                <w:szCs w:val="22"/>
              </w:rPr>
            </w:pPr>
            <w:r w:rsidRPr="00141374">
              <w:rPr>
                <w:szCs w:val="22"/>
              </w:rPr>
              <w:t>319050</w:t>
            </w:r>
          </w:p>
        </w:tc>
        <w:tc>
          <w:tcPr>
            <w:tcW w:w="1145" w:type="dxa"/>
            <w:hideMark/>
          </w:tcPr>
          <w:p w:rsidR="007601CE" w:rsidRPr="00141374" w:rsidP="00B338D1" w14:paraId="7C48EBFB" w14:textId="77777777">
            <w:pPr>
              <w:keepLines/>
              <w:widowControl/>
              <w:jc w:val="both"/>
              <w:rPr>
                <w:szCs w:val="22"/>
              </w:rPr>
            </w:pPr>
            <w:r w:rsidRPr="00141374">
              <w:rPr>
                <w:szCs w:val="22"/>
              </w:rPr>
              <w:t>17,610</w:t>
            </w:r>
          </w:p>
        </w:tc>
        <w:tc>
          <w:tcPr>
            <w:tcW w:w="1728" w:type="dxa"/>
            <w:hideMark/>
          </w:tcPr>
          <w:p w:rsidR="007601CE" w:rsidRPr="00141374" w:rsidP="00B338D1" w14:paraId="1491E490" w14:textId="77777777">
            <w:pPr>
              <w:keepLines/>
              <w:widowControl/>
              <w:jc w:val="both"/>
              <w:rPr>
                <w:szCs w:val="22"/>
              </w:rPr>
            </w:pPr>
            <w:r w:rsidRPr="00141374">
              <w:rPr>
                <w:szCs w:val="22"/>
              </w:rPr>
              <w:t xml:space="preserve">$27,299,086.90 </w:t>
            </w:r>
          </w:p>
        </w:tc>
        <w:tc>
          <w:tcPr>
            <w:tcW w:w="1152" w:type="dxa"/>
            <w:hideMark/>
          </w:tcPr>
          <w:p w:rsidR="007601CE" w:rsidRPr="00141374" w:rsidP="00B338D1" w14:paraId="3BFA1CD6" w14:textId="77777777">
            <w:pPr>
              <w:keepLines/>
              <w:widowControl/>
              <w:jc w:val="both"/>
              <w:rPr>
                <w:szCs w:val="22"/>
              </w:rPr>
            </w:pPr>
            <w:r w:rsidRPr="00141374">
              <w:rPr>
                <w:szCs w:val="22"/>
              </w:rPr>
              <w:t>15,830</w:t>
            </w:r>
            <w:r>
              <w:rPr>
                <w:rStyle w:val="FootnoteReference"/>
                <w:szCs w:val="22"/>
              </w:rPr>
              <w:footnoteReference w:id="53"/>
            </w:r>
          </w:p>
        </w:tc>
        <w:tc>
          <w:tcPr>
            <w:tcW w:w="1718" w:type="dxa"/>
            <w:hideMark/>
          </w:tcPr>
          <w:p w:rsidR="007601CE" w:rsidRPr="00141374" w:rsidP="00B338D1" w14:paraId="0531243F" w14:textId="77777777">
            <w:pPr>
              <w:keepLines/>
              <w:widowControl/>
              <w:jc w:val="both"/>
              <w:rPr>
                <w:szCs w:val="22"/>
              </w:rPr>
            </w:pPr>
            <w:r w:rsidRPr="00141374">
              <w:rPr>
                <w:szCs w:val="22"/>
              </w:rPr>
              <w:t xml:space="preserve">$24,539,724.34 </w:t>
            </w:r>
          </w:p>
        </w:tc>
      </w:tr>
      <w:tr w14:paraId="31BE8FAF" w14:textId="77777777" w:rsidTr="00B338D1">
        <w:tblPrEx>
          <w:tblW w:w="0" w:type="auto"/>
          <w:tblLook w:val="04A0"/>
        </w:tblPrEx>
        <w:trPr>
          <w:cantSplit/>
          <w:trHeight w:val="300"/>
        </w:trPr>
        <w:tc>
          <w:tcPr>
            <w:tcW w:w="2013" w:type="dxa"/>
            <w:hideMark/>
          </w:tcPr>
          <w:p w:rsidR="007601CE" w:rsidRPr="00141374" w:rsidP="00B338D1" w14:paraId="756FF962" w14:textId="77777777">
            <w:pPr>
              <w:keepLines/>
              <w:widowControl/>
              <w:rPr>
                <w:szCs w:val="22"/>
              </w:rPr>
            </w:pPr>
            <w:r w:rsidRPr="00141374">
              <w:rPr>
                <w:szCs w:val="22"/>
              </w:rPr>
              <w:t>Slic</w:t>
            </w:r>
            <w:r w:rsidRPr="00141374">
              <w:rPr>
                <w:szCs w:val="22"/>
              </w:rPr>
              <w:t xml:space="preserve"> Network Solutions</w:t>
            </w:r>
            <w:r>
              <w:rPr>
                <w:szCs w:val="22"/>
              </w:rPr>
              <w:t>, Inc.</w:t>
            </w:r>
            <w:r w:rsidRPr="00141374">
              <w:rPr>
                <w:szCs w:val="22"/>
              </w:rPr>
              <w:t xml:space="preserve"> </w:t>
            </w:r>
          </w:p>
        </w:tc>
        <w:tc>
          <w:tcPr>
            <w:tcW w:w="708" w:type="dxa"/>
            <w:hideMark/>
          </w:tcPr>
          <w:p w:rsidR="007601CE" w:rsidRPr="00141374" w:rsidP="00B338D1" w14:paraId="63BF0BC7" w14:textId="77777777">
            <w:pPr>
              <w:keepLines/>
              <w:widowControl/>
              <w:jc w:val="both"/>
              <w:rPr>
                <w:szCs w:val="22"/>
              </w:rPr>
            </w:pPr>
            <w:r w:rsidRPr="00141374">
              <w:rPr>
                <w:szCs w:val="22"/>
              </w:rPr>
              <w:t>NY</w:t>
            </w:r>
          </w:p>
        </w:tc>
        <w:tc>
          <w:tcPr>
            <w:tcW w:w="886" w:type="dxa"/>
            <w:hideMark/>
          </w:tcPr>
          <w:p w:rsidR="007601CE" w:rsidRPr="00141374" w:rsidP="00B338D1" w14:paraId="3333AFC7" w14:textId="77777777">
            <w:pPr>
              <w:keepLines/>
              <w:widowControl/>
              <w:jc w:val="both"/>
              <w:rPr>
                <w:szCs w:val="22"/>
              </w:rPr>
            </w:pPr>
            <w:r w:rsidRPr="00141374">
              <w:rPr>
                <w:szCs w:val="22"/>
              </w:rPr>
              <w:t>159038</w:t>
            </w:r>
          </w:p>
        </w:tc>
        <w:tc>
          <w:tcPr>
            <w:tcW w:w="1145" w:type="dxa"/>
            <w:hideMark/>
          </w:tcPr>
          <w:p w:rsidR="007601CE" w:rsidRPr="00141374" w:rsidP="00B338D1" w14:paraId="60EB4101" w14:textId="77777777">
            <w:pPr>
              <w:keepLines/>
              <w:widowControl/>
              <w:jc w:val="both"/>
              <w:rPr>
                <w:szCs w:val="22"/>
              </w:rPr>
            </w:pPr>
            <w:r w:rsidRPr="00141374">
              <w:rPr>
                <w:szCs w:val="22"/>
              </w:rPr>
              <w:t>5,516</w:t>
            </w:r>
          </w:p>
        </w:tc>
        <w:tc>
          <w:tcPr>
            <w:tcW w:w="1728" w:type="dxa"/>
            <w:hideMark/>
          </w:tcPr>
          <w:p w:rsidR="007601CE" w:rsidRPr="00141374" w:rsidP="00B338D1" w14:paraId="3C29A9CA" w14:textId="77777777">
            <w:pPr>
              <w:keepLines/>
              <w:widowControl/>
              <w:jc w:val="both"/>
              <w:rPr>
                <w:szCs w:val="22"/>
              </w:rPr>
            </w:pPr>
            <w:r w:rsidRPr="00141374">
              <w:rPr>
                <w:szCs w:val="22"/>
              </w:rPr>
              <w:t xml:space="preserve">$13,695,349.00 </w:t>
            </w:r>
          </w:p>
        </w:tc>
        <w:tc>
          <w:tcPr>
            <w:tcW w:w="1152" w:type="dxa"/>
            <w:hideMark/>
          </w:tcPr>
          <w:p w:rsidR="007601CE" w:rsidRPr="00141374" w:rsidP="00B338D1" w14:paraId="25638FD6" w14:textId="77777777">
            <w:pPr>
              <w:keepLines/>
              <w:widowControl/>
              <w:jc w:val="both"/>
              <w:rPr>
                <w:szCs w:val="22"/>
              </w:rPr>
            </w:pPr>
            <w:r w:rsidRPr="00141374">
              <w:rPr>
                <w:szCs w:val="22"/>
              </w:rPr>
              <w:t>5,286</w:t>
            </w:r>
          </w:p>
        </w:tc>
        <w:tc>
          <w:tcPr>
            <w:tcW w:w="1718" w:type="dxa"/>
            <w:hideMark/>
          </w:tcPr>
          <w:p w:rsidR="007601CE" w:rsidRPr="00141374" w:rsidP="00B338D1" w14:paraId="7791DC55" w14:textId="77777777">
            <w:pPr>
              <w:keepLines/>
              <w:widowControl/>
              <w:jc w:val="both"/>
              <w:rPr>
                <w:szCs w:val="22"/>
              </w:rPr>
            </w:pPr>
            <w:r w:rsidRPr="00141374">
              <w:rPr>
                <w:szCs w:val="22"/>
              </w:rPr>
              <w:t xml:space="preserve">$13,124,295.65 </w:t>
            </w:r>
          </w:p>
        </w:tc>
      </w:tr>
      <w:tr w14:paraId="36B20AFB" w14:textId="77777777" w:rsidTr="00B338D1">
        <w:tblPrEx>
          <w:tblW w:w="0" w:type="auto"/>
          <w:tblLook w:val="04A0"/>
        </w:tblPrEx>
        <w:trPr>
          <w:cantSplit/>
          <w:trHeight w:val="300"/>
        </w:trPr>
        <w:tc>
          <w:tcPr>
            <w:tcW w:w="2013" w:type="dxa"/>
            <w:hideMark/>
          </w:tcPr>
          <w:p w:rsidR="007601CE" w:rsidRPr="00141374" w:rsidP="00B338D1" w14:paraId="769AE824" w14:textId="77777777">
            <w:pPr>
              <w:keepLines/>
              <w:widowControl/>
              <w:rPr>
                <w:szCs w:val="22"/>
              </w:rPr>
            </w:pPr>
            <w:r w:rsidRPr="00141374">
              <w:rPr>
                <w:szCs w:val="22"/>
              </w:rPr>
              <w:t>Sunset Digital Communications, LLC</w:t>
            </w:r>
          </w:p>
        </w:tc>
        <w:tc>
          <w:tcPr>
            <w:tcW w:w="708" w:type="dxa"/>
            <w:hideMark/>
          </w:tcPr>
          <w:p w:rsidR="007601CE" w:rsidRPr="00141374" w:rsidP="00B338D1" w14:paraId="2FC8966E" w14:textId="77777777">
            <w:pPr>
              <w:keepLines/>
              <w:widowControl/>
              <w:jc w:val="both"/>
              <w:rPr>
                <w:szCs w:val="22"/>
              </w:rPr>
            </w:pPr>
            <w:r w:rsidRPr="00141374">
              <w:rPr>
                <w:szCs w:val="22"/>
              </w:rPr>
              <w:t>VA</w:t>
            </w:r>
          </w:p>
        </w:tc>
        <w:tc>
          <w:tcPr>
            <w:tcW w:w="886" w:type="dxa"/>
            <w:hideMark/>
          </w:tcPr>
          <w:p w:rsidR="007601CE" w:rsidRPr="00141374" w:rsidP="00B338D1" w14:paraId="3D3FBC6C" w14:textId="77777777">
            <w:pPr>
              <w:keepLines/>
              <w:widowControl/>
              <w:jc w:val="both"/>
              <w:rPr>
                <w:szCs w:val="22"/>
              </w:rPr>
            </w:pPr>
            <w:r w:rsidRPr="00141374">
              <w:rPr>
                <w:szCs w:val="22"/>
              </w:rPr>
              <w:t>199025</w:t>
            </w:r>
          </w:p>
        </w:tc>
        <w:tc>
          <w:tcPr>
            <w:tcW w:w="1145" w:type="dxa"/>
            <w:hideMark/>
          </w:tcPr>
          <w:p w:rsidR="007601CE" w:rsidRPr="00141374" w:rsidP="00B338D1" w14:paraId="512C597E" w14:textId="77777777">
            <w:pPr>
              <w:keepLines/>
              <w:widowControl/>
              <w:jc w:val="both"/>
              <w:rPr>
                <w:szCs w:val="22"/>
              </w:rPr>
            </w:pPr>
            <w:r w:rsidRPr="00141374">
              <w:rPr>
                <w:szCs w:val="22"/>
              </w:rPr>
              <w:t>6,998</w:t>
            </w:r>
          </w:p>
        </w:tc>
        <w:tc>
          <w:tcPr>
            <w:tcW w:w="1728" w:type="dxa"/>
            <w:hideMark/>
          </w:tcPr>
          <w:p w:rsidR="007601CE" w:rsidRPr="00141374" w:rsidP="00B338D1" w14:paraId="2D7223F2" w14:textId="77777777">
            <w:pPr>
              <w:keepLines/>
              <w:widowControl/>
              <w:jc w:val="both"/>
              <w:rPr>
                <w:szCs w:val="22"/>
              </w:rPr>
            </w:pPr>
            <w:r w:rsidRPr="00141374">
              <w:rPr>
                <w:szCs w:val="22"/>
              </w:rPr>
              <w:t xml:space="preserve">$23,979,452.60 </w:t>
            </w:r>
          </w:p>
        </w:tc>
        <w:tc>
          <w:tcPr>
            <w:tcW w:w="1152" w:type="dxa"/>
            <w:hideMark/>
          </w:tcPr>
          <w:p w:rsidR="007601CE" w:rsidRPr="00141374" w:rsidP="00B338D1" w14:paraId="0ED9C758" w14:textId="77777777">
            <w:pPr>
              <w:keepLines/>
              <w:widowControl/>
              <w:jc w:val="both"/>
              <w:rPr>
                <w:szCs w:val="22"/>
              </w:rPr>
            </w:pPr>
            <w:r w:rsidRPr="00141374">
              <w:rPr>
                <w:szCs w:val="22"/>
              </w:rPr>
              <w:t>6,942</w:t>
            </w:r>
          </w:p>
        </w:tc>
        <w:tc>
          <w:tcPr>
            <w:tcW w:w="1718" w:type="dxa"/>
            <w:hideMark/>
          </w:tcPr>
          <w:p w:rsidR="007601CE" w:rsidRPr="00141374" w:rsidP="00B338D1" w14:paraId="53C138EF" w14:textId="77777777">
            <w:pPr>
              <w:keepLines/>
              <w:widowControl/>
              <w:jc w:val="both"/>
              <w:rPr>
                <w:szCs w:val="22"/>
              </w:rPr>
            </w:pPr>
            <w:r w:rsidRPr="00141374">
              <w:rPr>
                <w:szCs w:val="22"/>
              </w:rPr>
              <w:t xml:space="preserve">$23,787,562.15 </w:t>
            </w:r>
          </w:p>
        </w:tc>
      </w:tr>
      <w:tr w14:paraId="199F84E6" w14:textId="77777777" w:rsidTr="00B338D1">
        <w:tblPrEx>
          <w:tblW w:w="0" w:type="auto"/>
          <w:tblLook w:val="04A0"/>
        </w:tblPrEx>
        <w:trPr>
          <w:cantSplit/>
          <w:trHeight w:val="300"/>
        </w:trPr>
        <w:tc>
          <w:tcPr>
            <w:tcW w:w="2013" w:type="dxa"/>
            <w:hideMark/>
          </w:tcPr>
          <w:p w:rsidR="007601CE" w:rsidRPr="00141374" w:rsidP="00B338D1" w14:paraId="675C1713" w14:textId="77777777">
            <w:pPr>
              <w:keepLines/>
              <w:widowControl/>
              <w:rPr>
                <w:szCs w:val="22"/>
              </w:rPr>
            </w:pPr>
            <w:r w:rsidRPr="00141374">
              <w:rPr>
                <w:szCs w:val="22"/>
              </w:rPr>
              <w:t>Sunset Digital Communications, LLC</w:t>
            </w:r>
          </w:p>
        </w:tc>
        <w:tc>
          <w:tcPr>
            <w:tcW w:w="708" w:type="dxa"/>
            <w:hideMark/>
          </w:tcPr>
          <w:p w:rsidR="007601CE" w:rsidRPr="00141374" w:rsidP="00B338D1" w14:paraId="52EE1037" w14:textId="77777777">
            <w:pPr>
              <w:keepLines/>
              <w:widowControl/>
              <w:jc w:val="both"/>
              <w:rPr>
                <w:szCs w:val="22"/>
              </w:rPr>
            </w:pPr>
            <w:r w:rsidRPr="00141374">
              <w:rPr>
                <w:szCs w:val="22"/>
              </w:rPr>
              <w:t>TN</w:t>
            </w:r>
          </w:p>
        </w:tc>
        <w:tc>
          <w:tcPr>
            <w:tcW w:w="886" w:type="dxa"/>
            <w:hideMark/>
          </w:tcPr>
          <w:p w:rsidR="007601CE" w:rsidRPr="00141374" w:rsidP="00B338D1" w14:paraId="11F0DF6E" w14:textId="77777777">
            <w:pPr>
              <w:keepLines/>
              <w:widowControl/>
              <w:jc w:val="both"/>
              <w:rPr>
                <w:szCs w:val="22"/>
              </w:rPr>
            </w:pPr>
            <w:r w:rsidRPr="00141374">
              <w:rPr>
                <w:szCs w:val="22"/>
              </w:rPr>
              <w:t>299033</w:t>
            </w:r>
          </w:p>
        </w:tc>
        <w:tc>
          <w:tcPr>
            <w:tcW w:w="1145" w:type="dxa"/>
            <w:hideMark/>
          </w:tcPr>
          <w:p w:rsidR="007601CE" w:rsidRPr="00141374" w:rsidP="00B338D1" w14:paraId="60B84372" w14:textId="77777777">
            <w:pPr>
              <w:keepLines/>
              <w:widowControl/>
              <w:jc w:val="both"/>
              <w:rPr>
                <w:szCs w:val="22"/>
              </w:rPr>
            </w:pPr>
            <w:r w:rsidRPr="00141374">
              <w:rPr>
                <w:szCs w:val="22"/>
              </w:rPr>
              <w:t>2,095</w:t>
            </w:r>
          </w:p>
        </w:tc>
        <w:tc>
          <w:tcPr>
            <w:tcW w:w="1728" w:type="dxa"/>
            <w:hideMark/>
          </w:tcPr>
          <w:p w:rsidR="007601CE" w:rsidRPr="00141374" w:rsidP="00B338D1" w14:paraId="18004701" w14:textId="77777777">
            <w:pPr>
              <w:keepLines/>
              <w:widowControl/>
              <w:jc w:val="both"/>
              <w:rPr>
                <w:szCs w:val="22"/>
              </w:rPr>
            </w:pPr>
            <w:r w:rsidRPr="00141374">
              <w:rPr>
                <w:szCs w:val="22"/>
              </w:rPr>
              <w:t xml:space="preserve">$5,595,554.80 </w:t>
            </w:r>
          </w:p>
        </w:tc>
        <w:tc>
          <w:tcPr>
            <w:tcW w:w="1152" w:type="dxa"/>
            <w:hideMark/>
          </w:tcPr>
          <w:p w:rsidR="007601CE" w:rsidRPr="00141374" w:rsidP="00B338D1" w14:paraId="5DB0BBFE" w14:textId="77777777">
            <w:pPr>
              <w:keepLines/>
              <w:widowControl/>
              <w:jc w:val="both"/>
              <w:rPr>
                <w:szCs w:val="22"/>
              </w:rPr>
            </w:pPr>
            <w:r w:rsidRPr="00141374">
              <w:rPr>
                <w:szCs w:val="22"/>
              </w:rPr>
              <w:t>2,049</w:t>
            </w:r>
          </w:p>
        </w:tc>
        <w:tc>
          <w:tcPr>
            <w:tcW w:w="1718" w:type="dxa"/>
            <w:hideMark/>
          </w:tcPr>
          <w:p w:rsidR="007601CE" w:rsidRPr="00141374" w:rsidP="00B338D1" w14:paraId="6028D5D0" w14:textId="77777777">
            <w:pPr>
              <w:keepLines/>
              <w:widowControl/>
              <w:jc w:val="both"/>
              <w:rPr>
                <w:szCs w:val="22"/>
              </w:rPr>
            </w:pPr>
            <w:r w:rsidRPr="00141374">
              <w:rPr>
                <w:szCs w:val="22"/>
              </w:rPr>
              <w:t xml:space="preserve">$5,472,692.98 </w:t>
            </w:r>
          </w:p>
        </w:tc>
      </w:tr>
      <w:tr w14:paraId="5831766B" w14:textId="77777777" w:rsidTr="00B338D1">
        <w:tblPrEx>
          <w:tblW w:w="0" w:type="auto"/>
          <w:tblLook w:val="04A0"/>
        </w:tblPrEx>
        <w:trPr>
          <w:cantSplit/>
          <w:trHeight w:val="300"/>
        </w:trPr>
        <w:tc>
          <w:tcPr>
            <w:tcW w:w="2013" w:type="dxa"/>
            <w:hideMark/>
          </w:tcPr>
          <w:p w:rsidR="007601CE" w:rsidRPr="00141374" w:rsidP="00B338D1" w14:paraId="17BA3A75" w14:textId="77777777">
            <w:pPr>
              <w:keepLines/>
              <w:widowControl/>
              <w:rPr>
                <w:szCs w:val="22"/>
              </w:rPr>
            </w:pPr>
            <w:r w:rsidRPr="00141374">
              <w:rPr>
                <w:szCs w:val="22"/>
              </w:rPr>
              <w:t>Valley Communications Association, LLC</w:t>
            </w:r>
          </w:p>
        </w:tc>
        <w:tc>
          <w:tcPr>
            <w:tcW w:w="708" w:type="dxa"/>
            <w:hideMark/>
          </w:tcPr>
          <w:p w:rsidR="007601CE" w:rsidRPr="00141374" w:rsidP="00B338D1" w14:paraId="5E61583E" w14:textId="77777777">
            <w:pPr>
              <w:keepLines/>
              <w:widowControl/>
              <w:jc w:val="both"/>
              <w:rPr>
                <w:szCs w:val="22"/>
              </w:rPr>
            </w:pPr>
            <w:r w:rsidRPr="00141374">
              <w:rPr>
                <w:szCs w:val="22"/>
              </w:rPr>
              <w:t>NV</w:t>
            </w:r>
          </w:p>
        </w:tc>
        <w:tc>
          <w:tcPr>
            <w:tcW w:w="886" w:type="dxa"/>
            <w:hideMark/>
          </w:tcPr>
          <w:p w:rsidR="007601CE" w:rsidRPr="00141374" w:rsidP="00B338D1" w14:paraId="57833623" w14:textId="77777777">
            <w:pPr>
              <w:keepLines/>
              <w:widowControl/>
              <w:jc w:val="both"/>
              <w:rPr>
                <w:szCs w:val="22"/>
              </w:rPr>
            </w:pPr>
            <w:r w:rsidRPr="00141374">
              <w:rPr>
                <w:szCs w:val="22"/>
              </w:rPr>
              <w:t>559030</w:t>
            </w:r>
          </w:p>
        </w:tc>
        <w:tc>
          <w:tcPr>
            <w:tcW w:w="1145" w:type="dxa"/>
            <w:hideMark/>
          </w:tcPr>
          <w:p w:rsidR="007601CE" w:rsidRPr="00141374" w:rsidP="00B338D1" w14:paraId="5FC0C0F8" w14:textId="77777777">
            <w:pPr>
              <w:keepLines/>
              <w:widowControl/>
              <w:jc w:val="both"/>
              <w:rPr>
                <w:szCs w:val="22"/>
              </w:rPr>
            </w:pPr>
            <w:r w:rsidRPr="00141374">
              <w:rPr>
                <w:szCs w:val="22"/>
              </w:rPr>
              <w:t>153</w:t>
            </w:r>
          </w:p>
        </w:tc>
        <w:tc>
          <w:tcPr>
            <w:tcW w:w="1728" w:type="dxa"/>
            <w:hideMark/>
          </w:tcPr>
          <w:p w:rsidR="007601CE" w:rsidRPr="00141374" w:rsidP="00B338D1" w14:paraId="00B7C549" w14:textId="77777777">
            <w:pPr>
              <w:keepLines/>
              <w:widowControl/>
              <w:jc w:val="both"/>
              <w:rPr>
                <w:szCs w:val="22"/>
              </w:rPr>
            </w:pPr>
            <w:r w:rsidRPr="00141374">
              <w:rPr>
                <w:szCs w:val="22"/>
              </w:rPr>
              <w:t xml:space="preserve">$404,753.70 </w:t>
            </w:r>
          </w:p>
        </w:tc>
        <w:tc>
          <w:tcPr>
            <w:tcW w:w="1152" w:type="dxa"/>
            <w:hideMark/>
          </w:tcPr>
          <w:p w:rsidR="007601CE" w:rsidRPr="00141374" w:rsidP="00B338D1" w14:paraId="2518372C" w14:textId="77777777">
            <w:pPr>
              <w:keepLines/>
              <w:widowControl/>
              <w:jc w:val="both"/>
              <w:rPr>
                <w:szCs w:val="22"/>
              </w:rPr>
            </w:pPr>
            <w:r w:rsidRPr="00141374">
              <w:rPr>
                <w:szCs w:val="22"/>
              </w:rPr>
              <w:t>152</w:t>
            </w:r>
          </w:p>
        </w:tc>
        <w:tc>
          <w:tcPr>
            <w:tcW w:w="1718" w:type="dxa"/>
            <w:hideMark/>
          </w:tcPr>
          <w:p w:rsidR="007601CE" w:rsidRPr="00141374" w:rsidP="00B338D1" w14:paraId="2D094890" w14:textId="77777777">
            <w:pPr>
              <w:keepLines/>
              <w:widowControl/>
              <w:jc w:val="both"/>
              <w:rPr>
                <w:szCs w:val="22"/>
              </w:rPr>
            </w:pPr>
            <w:r w:rsidRPr="00141374">
              <w:rPr>
                <w:szCs w:val="22"/>
              </w:rPr>
              <w:t xml:space="preserve">$402,108.25 </w:t>
            </w:r>
          </w:p>
        </w:tc>
      </w:tr>
      <w:tr w14:paraId="2922D977" w14:textId="77777777" w:rsidTr="00B338D1">
        <w:tblPrEx>
          <w:tblW w:w="0" w:type="auto"/>
          <w:tblLook w:val="04A0"/>
        </w:tblPrEx>
        <w:trPr>
          <w:cantSplit/>
          <w:trHeight w:val="300"/>
        </w:trPr>
        <w:tc>
          <w:tcPr>
            <w:tcW w:w="2013" w:type="dxa"/>
            <w:hideMark/>
          </w:tcPr>
          <w:p w:rsidR="007601CE" w:rsidRPr="00141374" w:rsidP="00B338D1" w14:paraId="7C98CE9B" w14:textId="77777777">
            <w:pPr>
              <w:keepLines/>
              <w:widowControl/>
              <w:rPr>
                <w:szCs w:val="22"/>
              </w:rPr>
            </w:pPr>
            <w:r w:rsidRPr="00141374">
              <w:rPr>
                <w:szCs w:val="22"/>
              </w:rPr>
              <w:t>Verizon New England Inc.</w:t>
            </w:r>
          </w:p>
        </w:tc>
        <w:tc>
          <w:tcPr>
            <w:tcW w:w="708" w:type="dxa"/>
            <w:hideMark/>
          </w:tcPr>
          <w:p w:rsidR="007601CE" w:rsidRPr="00141374" w:rsidP="00B338D1" w14:paraId="0D3B0FD7" w14:textId="77777777">
            <w:pPr>
              <w:keepLines/>
              <w:widowControl/>
              <w:jc w:val="both"/>
              <w:rPr>
                <w:szCs w:val="22"/>
              </w:rPr>
            </w:pPr>
            <w:r w:rsidRPr="00141374">
              <w:rPr>
                <w:szCs w:val="22"/>
              </w:rPr>
              <w:t xml:space="preserve">MA </w:t>
            </w:r>
          </w:p>
        </w:tc>
        <w:tc>
          <w:tcPr>
            <w:tcW w:w="886" w:type="dxa"/>
            <w:hideMark/>
          </w:tcPr>
          <w:p w:rsidR="007601CE" w:rsidRPr="00141374" w:rsidP="00B338D1" w14:paraId="2DDB6494" w14:textId="77777777">
            <w:pPr>
              <w:keepLines/>
              <w:widowControl/>
              <w:jc w:val="both"/>
              <w:rPr>
                <w:szCs w:val="22"/>
              </w:rPr>
            </w:pPr>
            <w:r w:rsidRPr="00141374">
              <w:rPr>
                <w:szCs w:val="22"/>
              </w:rPr>
              <w:t>115112</w:t>
            </w:r>
          </w:p>
        </w:tc>
        <w:tc>
          <w:tcPr>
            <w:tcW w:w="1145" w:type="dxa"/>
            <w:hideMark/>
          </w:tcPr>
          <w:p w:rsidR="007601CE" w:rsidRPr="00141374" w:rsidP="00B338D1" w14:paraId="54AE4174" w14:textId="77777777">
            <w:pPr>
              <w:keepLines/>
              <w:widowControl/>
              <w:jc w:val="both"/>
              <w:rPr>
                <w:szCs w:val="22"/>
              </w:rPr>
            </w:pPr>
            <w:r w:rsidRPr="00141374">
              <w:rPr>
                <w:szCs w:val="22"/>
              </w:rPr>
              <w:t>305</w:t>
            </w:r>
          </w:p>
        </w:tc>
        <w:tc>
          <w:tcPr>
            <w:tcW w:w="1728" w:type="dxa"/>
            <w:hideMark/>
          </w:tcPr>
          <w:p w:rsidR="007601CE" w:rsidRPr="00141374" w:rsidP="00B338D1" w14:paraId="3C11E81E" w14:textId="77777777">
            <w:pPr>
              <w:keepLines/>
              <w:widowControl/>
              <w:jc w:val="both"/>
              <w:rPr>
                <w:szCs w:val="22"/>
              </w:rPr>
            </w:pPr>
            <w:r w:rsidRPr="00141374">
              <w:rPr>
                <w:szCs w:val="22"/>
              </w:rPr>
              <w:t xml:space="preserve">$948,305.20 </w:t>
            </w:r>
          </w:p>
        </w:tc>
        <w:tc>
          <w:tcPr>
            <w:tcW w:w="1152" w:type="dxa"/>
            <w:hideMark/>
          </w:tcPr>
          <w:p w:rsidR="007601CE" w:rsidRPr="00141374" w:rsidP="00B338D1" w14:paraId="16028CBC" w14:textId="77777777">
            <w:pPr>
              <w:keepLines/>
              <w:widowControl/>
              <w:jc w:val="both"/>
              <w:rPr>
                <w:szCs w:val="22"/>
              </w:rPr>
            </w:pPr>
            <w:r w:rsidRPr="00141374">
              <w:rPr>
                <w:szCs w:val="22"/>
              </w:rPr>
              <w:t>247</w:t>
            </w:r>
          </w:p>
        </w:tc>
        <w:tc>
          <w:tcPr>
            <w:tcW w:w="1718" w:type="dxa"/>
            <w:hideMark/>
          </w:tcPr>
          <w:p w:rsidR="007601CE" w:rsidRPr="00141374" w:rsidP="00B338D1" w14:paraId="7ADDC6DC" w14:textId="77777777">
            <w:pPr>
              <w:keepLines/>
              <w:widowControl/>
              <w:jc w:val="both"/>
              <w:rPr>
                <w:szCs w:val="22"/>
              </w:rPr>
            </w:pPr>
            <w:r w:rsidRPr="00141374">
              <w:rPr>
                <w:szCs w:val="22"/>
              </w:rPr>
              <w:t xml:space="preserve">$767,971.75 </w:t>
            </w:r>
          </w:p>
        </w:tc>
      </w:tr>
      <w:tr w14:paraId="27B4FBEF" w14:textId="77777777" w:rsidTr="00B338D1">
        <w:tblPrEx>
          <w:tblW w:w="0" w:type="auto"/>
          <w:tblLook w:val="04A0"/>
        </w:tblPrEx>
        <w:trPr>
          <w:cantSplit/>
          <w:trHeight w:val="300"/>
        </w:trPr>
        <w:tc>
          <w:tcPr>
            <w:tcW w:w="2013" w:type="dxa"/>
            <w:hideMark/>
          </w:tcPr>
          <w:p w:rsidR="007601CE" w:rsidRPr="00141374" w:rsidP="00B338D1" w14:paraId="38FD614E" w14:textId="77777777">
            <w:pPr>
              <w:keepLines/>
              <w:widowControl/>
              <w:rPr>
                <w:szCs w:val="22"/>
              </w:rPr>
            </w:pPr>
            <w:r w:rsidRPr="00141374">
              <w:rPr>
                <w:szCs w:val="22"/>
              </w:rPr>
              <w:t>Verizon New England Inc.</w:t>
            </w:r>
          </w:p>
        </w:tc>
        <w:tc>
          <w:tcPr>
            <w:tcW w:w="708" w:type="dxa"/>
            <w:hideMark/>
          </w:tcPr>
          <w:p w:rsidR="007601CE" w:rsidRPr="00141374" w:rsidP="00B338D1" w14:paraId="6B8AB437" w14:textId="77777777">
            <w:pPr>
              <w:keepLines/>
              <w:widowControl/>
              <w:jc w:val="both"/>
              <w:rPr>
                <w:szCs w:val="22"/>
              </w:rPr>
            </w:pPr>
            <w:r w:rsidRPr="00141374">
              <w:rPr>
                <w:szCs w:val="22"/>
              </w:rPr>
              <w:t>RI</w:t>
            </w:r>
          </w:p>
        </w:tc>
        <w:tc>
          <w:tcPr>
            <w:tcW w:w="886" w:type="dxa"/>
            <w:hideMark/>
          </w:tcPr>
          <w:p w:rsidR="007601CE" w:rsidRPr="00141374" w:rsidP="00B338D1" w14:paraId="43309BBD" w14:textId="77777777">
            <w:pPr>
              <w:keepLines/>
              <w:widowControl/>
              <w:jc w:val="both"/>
              <w:rPr>
                <w:szCs w:val="22"/>
              </w:rPr>
            </w:pPr>
            <w:r w:rsidRPr="00141374">
              <w:rPr>
                <w:szCs w:val="22"/>
              </w:rPr>
              <w:t>585114</w:t>
            </w:r>
          </w:p>
        </w:tc>
        <w:tc>
          <w:tcPr>
            <w:tcW w:w="1145" w:type="dxa"/>
            <w:hideMark/>
          </w:tcPr>
          <w:p w:rsidR="007601CE" w:rsidRPr="00141374" w:rsidP="00B338D1" w14:paraId="3AD381F2" w14:textId="77777777">
            <w:pPr>
              <w:keepLines/>
              <w:widowControl/>
              <w:jc w:val="both"/>
              <w:rPr>
                <w:szCs w:val="22"/>
              </w:rPr>
            </w:pPr>
            <w:r w:rsidRPr="00141374">
              <w:rPr>
                <w:szCs w:val="22"/>
              </w:rPr>
              <w:t>165</w:t>
            </w:r>
          </w:p>
        </w:tc>
        <w:tc>
          <w:tcPr>
            <w:tcW w:w="1728" w:type="dxa"/>
            <w:hideMark/>
          </w:tcPr>
          <w:p w:rsidR="007601CE" w:rsidRPr="00141374" w:rsidP="00B338D1" w14:paraId="5F2CE40C" w14:textId="77777777">
            <w:pPr>
              <w:keepLines/>
              <w:widowControl/>
              <w:jc w:val="both"/>
              <w:rPr>
                <w:szCs w:val="22"/>
              </w:rPr>
            </w:pPr>
            <w:r w:rsidRPr="00141374">
              <w:rPr>
                <w:szCs w:val="22"/>
              </w:rPr>
              <w:t xml:space="preserve">$475,302.70 </w:t>
            </w:r>
          </w:p>
        </w:tc>
        <w:tc>
          <w:tcPr>
            <w:tcW w:w="1152" w:type="dxa"/>
            <w:hideMark/>
          </w:tcPr>
          <w:p w:rsidR="007601CE" w:rsidRPr="00141374" w:rsidP="00B338D1" w14:paraId="583596F8" w14:textId="77777777">
            <w:pPr>
              <w:keepLines/>
              <w:widowControl/>
              <w:jc w:val="both"/>
              <w:rPr>
                <w:szCs w:val="22"/>
              </w:rPr>
            </w:pPr>
            <w:r w:rsidRPr="00141374">
              <w:rPr>
                <w:szCs w:val="22"/>
              </w:rPr>
              <w:t>150</w:t>
            </w:r>
          </w:p>
        </w:tc>
        <w:tc>
          <w:tcPr>
            <w:tcW w:w="1718" w:type="dxa"/>
            <w:hideMark/>
          </w:tcPr>
          <w:p w:rsidR="007601CE" w:rsidRPr="00141374" w:rsidP="00B338D1" w14:paraId="1AED968A" w14:textId="77777777">
            <w:pPr>
              <w:keepLines/>
              <w:widowControl/>
              <w:jc w:val="both"/>
              <w:rPr>
                <w:szCs w:val="22"/>
              </w:rPr>
            </w:pPr>
            <w:r w:rsidRPr="00141374">
              <w:rPr>
                <w:szCs w:val="22"/>
              </w:rPr>
              <w:t xml:space="preserve">$432,093.36 </w:t>
            </w:r>
          </w:p>
        </w:tc>
      </w:tr>
      <w:tr w14:paraId="1DE134FC" w14:textId="77777777" w:rsidTr="00B338D1">
        <w:tblPrEx>
          <w:tblW w:w="0" w:type="auto"/>
          <w:tblLook w:val="04A0"/>
        </w:tblPrEx>
        <w:trPr>
          <w:cantSplit/>
          <w:trHeight w:val="300"/>
        </w:trPr>
        <w:tc>
          <w:tcPr>
            <w:tcW w:w="2013" w:type="dxa"/>
            <w:hideMark/>
          </w:tcPr>
          <w:p w:rsidR="007601CE" w:rsidRPr="00141374" w:rsidP="00B338D1" w14:paraId="6531C475" w14:textId="77777777">
            <w:pPr>
              <w:keepLines/>
              <w:widowControl/>
              <w:rPr>
                <w:szCs w:val="22"/>
              </w:rPr>
            </w:pPr>
            <w:r w:rsidRPr="00141374">
              <w:rPr>
                <w:szCs w:val="22"/>
              </w:rPr>
              <w:t>Verizon New Jersey Inc.</w:t>
            </w:r>
          </w:p>
        </w:tc>
        <w:tc>
          <w:tcPr>
            <w:tcW w:w="708" w:type="dxa"/>
            <w:hideMark/>
          </w:tcPr>
          <w:p w:rsidR="007601CE" w:rsidRPr="00141374" w:rsidP="00B338D1" w14:paraId="414AA507" w14:textId="77777777">
            <w:pPr>
              <w:keepLines/>
              <w:widowControl/>
              <w:jc w:val="both"/>
              <w:rPr>
                <w:szCs w:val="22"/>
              </w:rPr>
            </w:pPr>
            <w:r w:rsidRPr="00141374">
              <w:rPr>
                <w:szCs w:val="22"/>
              </w:rPr>
              <w:t>NJ</w:t>
            </w:r>
          </w:p>
        </w:tc>
        <w:tc>
          <w:tcPr>
            <w:tcW w:w="886" w:type="dxa"/>
            <w:hideMark/>
          </w:tcPr>
          <w:p w:rsidR="007601CE" w:rsidRPr="00141374" w:rsidP="00B338D1" w14:paraId="67A9E64A" w14:textId="77777777">
            <w:pPr>
              <w:keepLines/>
              <w:widowControl/>
              <w:jc w:val="both"/>
              <w:rPr>
                <w:szCs w:val="22"/>
              </w:rPr>
            </w:pPr>
            <w:r w:rsidRPr="00141374">
              <w:rPr>
                <w:szCs w:val="22"/>
              </w:rPr>
              <w:t>165120</w:t>
            </w:r>
          </w:p>
        </w:tc>
        <w:tc>
          <w:tcPr>
            <w:tcW w:w="1145" w:type="dxa"/>
            <w:hideMark/>
          </w:tcPr>
          <w:p w:rsidR="007601CE" w:rsidRPr="00141374" w:rsidP="00B338D1" w14:paraId="7BF4A289" w14:textId="77777777">
            <w:pPr>
              <w:keepLines/>
              <w:widowControl/>
              <w:jc w:val="both"/>
              <w:rPr>
                <w:szCs w:val="22"/>
              </w:rPr>
            </w:pPr>
            <w:r w:rsidRPr="00141374">
              <w:rPr>
                <w:szCs w:val="22"/>
              </w:rPr>
              <w:t>510</w:t>
            </w:r>
          </w:p>
        </w:tc>
        <w:tc>
          <w:tcPr>
            <w:tcW w:w="1728" w:type="dxa"/>
            <w:hideMark/>
          </w:tcPr>
          <w:p w:rsidR="007601CE" w:rsidRPr="00141374" w:rsidP="00B338D1" w14:paraId="730C530F" w14:textId="77777777">
            <w:pPr>
              <w:keepLines/>
              <w:widowControl/>
              <w:jc w:val="both"/>
              <w:rPr>
                <w:szCs w:val="22"/>
              </w:rPr>
            </w:pPr>
            <w:r w:rsidRPr="00141374">
              <w:rPr>
                <w:szCs w:val="22"/>
              </w:rPr>
              <w:t xml:space="preserve">$1,621,782.20 </w:t>
            </w:r>
          </w:p>
        </w:tc>
        <w:tc>
          <w:tcPr>
            <w:tcW w:w="1152" w:type="dxa"/>
            <w:hideMark/>
          </w:tcPr>
          <w:p w:rsidR="007601CE" w:rsidRPr="00141374" w:rsidP="00B338D1" w14:paraId="3ADB58DE" w14:textId="77777777">
            <w:pPr>
              <w:keepLines/>
              <w:widowControl/>
              <w:jc w:val="both"/>
              <w:rPr>
                <w:szCs w:val="22"/>
              </w:rPr>
            </w:pPr>
            <w:r w:rsidRPr="00141374">
              <w:rPr>
                <w:szCs w:val="22"/>
              </w:rPr>
              <w:t>427</w:t>
            </w:r>
          </w:p>
        </w:tc>
        <w:tc>
          <w:tcPr>
            <w:tcW w:w="1718" w:type="dxa"/>
            <w:hideMark/>
          </w:tcPr>
          <w:p w:rsidR="007601CE" w:rsidRPr="00141374" w:rsidP="00B338D1" w14:paraId="0BECFE37" w14:textId="77777777">
            <w:pPr>
              <w:keepLines/>
              <w:widowControl/>
              <w:jc w:val="both"/>
              <w:rPr>
                <w:szCs w:val="22"/>
              </w:rPr>
            </w:pPr>
            <w:r w:rsidRPr="00141374">
              <w:rPr>
                <w:szCs w:val="22"/>
              </w:rPr>
              <w:t>$1,357,845.10</w:t>
            </w:r>
          </w:p>
        </w:tc>
      </w:tr>
      <w:tr w14:paraId="0E2CBDAE" w14:textId="77777777" w:rsidTr="00B338D1">
        <w:tblPrEx>
          <w:tblW w:w="0" w:type="auto"/>
          <w:tblLook w:val="04A0"/>
        </w:tblPrEx>
        <w:trPr>
          <w:cantSplit/>
          <w:trHeight w:val="300"/>
        </w:trPr>
        <w:tc>
          <w:tcPr>
            <w:tcW w:w="2013" w:type="dxa"/>
            <w:hideMark/>
          </w:tcPr>
          <w:p w:rsidR="007601CE" w:rsidRPr="00141374" w:rsidP="00B338D1" w14:paraId="63BA7971" w14:textId="0E2E28EA">
            <w:pPr>
              <w:keepLines/>
              <w:widowControl/>
              <w:rPr>
                <w:szCs w:val="22"/>
                <w:u w:val="single"/>
              </w:rPr>
            </w:pPr>
            <w:bookmarkStart w:id="6" w:name="RANGE!A24"/>
            <w:r w:rsidRPr="00141374">
              <w:t>Verizon Pennsylvania LLC</w:t>
            </w:r>
            <w:bookmarkEnd w:id="6"/>
            <w:r>
              <w:rPr>
                <w:rStyle w:val="FootnoteReference"/>
                <w:szCs w:val="22"/>
              </w:rPr>
              <w:footnoteReference w:id="54"/>
            </w:r>
          </w:p>
        </w:tc>
        <w:tc>
          <w:tcPr>
            <w:tcW w:w="708" w:type="dxa"/>
            <w:hideMark/>
          </w:tcPr>
          <w:p w:rsidR="007601CE" w:rsidRPr="00141374" w:rsidP="00B338D1" w14:paraId="03D1D259" w14:textId="77777777">
            <w:pPr>
              <w:keepLines/>
              <w:widowControl/>
              <w:jc w:val="both"/>
              <w:rPr>
                <w:szCs w:val="22"/>
              </w:rPr>
            </w:pPr>
            <w:r w:rsidRPr="00141374">
              <w:rPr>
                <w:szCs w:val="22"/>
              </w:rPr>
              <w:t>PA</w:t>
            </w:r>
          </w:p>
        </w:tc>
        <w:tc>
          <w:tcPr>
            <w:tcW w:w="886" w:type="dxa"/>
            <w:hideMark/>
          </w:tcPr>
          <w:p w:rsidR="007601CE" w:rsidRPr="00141374" w:rsidP="00B338D1" w14:paraId="237F6232" w14:textId="77777777">
            <w:pPr>
              <w:keepLines/>
              <w:widowControl/>
              <w:jc w:val="both"/>
              <w:rPr>
                <w:szCs w:val="22"/>
              </w:rPr>
            </w:pPr>
            <w:r w:rsidRPr="00141374">
              <w:rPr>
                <w:szCs w:val="22"/>
              </w:rPr>
              <w:t>175000</w:t>
            </w:r>
          </w:p>
        </w:tc>
        <w:tc>
          <w:tcPr>
            <w:tcW w:w="1145" w:type="dxa"/>
            <w:hideMark/>
          </w:tcPr>
          <w:p w:rsidR="007601CE" w:rsidRPr="00141374" w:rsidP="00B338D1" w14:paraId="68E6E50A" w14:textId="77777777">
            <w:pPr>
              <w:keepLines/>
              <w:widowControl/>
              <w:jc w:val="both"/>
              <w:rPr>
                <w:szCs w:val="22"/>
              </w:rPr>
            </w:pPr>
            <w:r w:rsidRPr="00141374">
              <w:rPr>
                <w:szCs w:val="22"/>
              </w:rPr>
              <w:t>709</w:t>
            </w:r>
          </w:p>
        </w:tc>
        <w:tc>
          <w:tcPr>
            <w:tcW w:w="1728" w:type="dxa"/>
            <w:hideMark/>
          </w:tcPr>
          <w:p w:rsidR="007601CE" w:rsidRPr="00141374" w:rsidP="00B338D1" w14:paraId="7CED9868" w14:textId="77777777">
            <w:pPr>
              <w:keepLines/>
              <w:widowControl/>
              <w:jc w:val="both"/>
              <w:rPr>
                <w:szCs w:val="22"/>
              </w:rPr>
            </w:pPr>
            <w:r w:rsidRPr="00141374">
              <w:rPr>
                <w:szCs w:val="22"/>
              </w:rPr>
              <w:t xml:space="preserve">$1,687,283.80 </w:t>
            </w:r>
          </w:p>
        </w:tc>
        <w:tc>
          <w:tcPr>
            <w:tcW w:w="1152" w:type="dxa"/>
            <w:hideMark/>
          </w:tcPr>
          <w:p w:rsidR="007601CE" w:rsidRPr="00141374" w:rsidP="00B338D1" w14:paraId="41FCBD93" w14:textId="77777777">
            <w:pPr>
              <w:keepLines/>
              <w:widowControl/>
              <w:jc w:val="both"/>
              <w:rPr>
                <w:szCs w:val="22"/>
              </w:rPr>
            </w:pPr>
            <w:r w:rsidRPr="00141374">
              <w:rPr>
                <w:szCs w:val="22"/>
              </w:rPr>
              <w:t>626</w:t>
            </w:r>
          </w:p>
        </w:tc>
        <w:tc>
          <w:tcPr>
            <w:tcW w:w="1718" w:type="dxa"/>
            <w:hideMark/>
          </w:tcPr>
          <w:p w:rsidR="007601CE" w:rsidRPr="00141374" w:rsidP="00B338D1" w14:paraId="18018A8B" w14:textId="77777777">
            <w:pPr>
              <w:keepLines/>
              <w:widowControl/>
              <w:jc w:val="both"/>
              <w:rPr>
                <w:szCs w:val="22"/>
              </w:rPr>
            </w:pPr>
            <w:r w:rsidRPr="00141374">
              <w:rPr>
                <w:szCs w:val="22"/>
              </w:rPr>
              <w:t>$1,489,759.74</w:t>
            </w:r>
          </w:p>
        </w:tc>
      </w:tr>
      <w:tr w14:paraId="4D8CD6DA" w14:textId="77777777" w:rsidTr="00B338D1">
        <w:tblPrEx>
          <w:tblW w:w="0" w:type="auto"/>
          <w:tblLook w:val="04A0"/>
        </w:tblPrEx>
        <w:trPr>
          <w:cantSplit/>
          <w:trHeight w:val="300"/>
        </w:trPr>
        <w:tc>
          <w:tcPr>
            <w:tcW w:w="2013" w:type="dxa"/>
            <w:hideMark/>
          </w:tcPr>
          <w:p w:rsidR="007601CE" w:rsidRPr="00141374" w:rsidP="00B338D1" w14:paraId="6575851D" w14:textId="77777777">
            <w:pPr>
              <w:keepLines/>
              <w:widowControl/>
              <w:rPr>
                <w:szCs w:val="22"/>
              </w:rPr>
            </w:pPr>
            <w:r w:rsidRPr="00141374">
              <w:rPr>
                <w:szCs w:val="22"/>
              </w:rPr>
              <w:t>Verizon Maryland LLC</w:t>
            </w:r>
          </w:p>
        </w:tc>
        <w:tc>
          <w:tcPr>
            <w:tcW w:w="708" w:type="dxa"/>
            <w:hideMark/>
          </w:tcPr>
          <w:p w:rsidR="007601CE" w:rsidRPr="00141374" w:rsidP="00B338D1" w14:paraId="68809F9F" w14:textId="77777777">
            <w:pPr>
              <w:keepLines/>
              <w:widowControl/>
              <w:jc w:val="both"/>
              <w:rPr>
                <w:szCs w:val="22"/>
              </w:rPr>
            </w:pPr>
            <w:r w:rsidRPr="00141374">
              <w:rPr>
                <w:szCs w:val="22"/>
              </w:rPr>
              <w:t>MD</w:t>
            </w:r>
          </w:p>
        </w:tc>
        <w:tc>
          <w:tcPr>
            <w:tcW w:w="886" w:type="dxa"/>
            <w:hideMark/>
          </w:tcPr>
          <w:p w:rsidR="007601CE" w:rsidRPr="00141374" w:rsidP="00B338D1" w14:paraId="29787ACB" w14:textId="77777777">
            <w:pPr>
              <w:keepLines/>
              <w:widowControl/>
              <w:jc w:val="both"/>
              <w:rPr>
                <w:szCs w:val="22"/>
              </w:rPr>
            </w:pPr>
            <w:r w:rsidRPr="00141374">
              <w:rPr>
                <w:szCs w:val="22"/>
              </w:rPr>
              <w:t>185030</w:t>
            </w:r>
          </w:p>
        </w:tc>
        <w:tc>
          <w:tcPr>
            <w:tcW w:w="1145" w:type="dxa"/>
            <w:hideMark/>
          </w:tcPr>
          <w:p w:rsidR="007601CE" w:rsidRPr="00141374" w:rsidP="00B338D1" w14:paraId="0E0B8408" w14:textId="77777777">
            <w:pPr>
              <w:keepLines/>
              <w:widowControl/>
              <w:jc w:val="both"/>
              <w:rPr>
                <w:szCs w:val="22"/>
              </w:rPr>
            </w:pPr>
            <w:r w:rsidRPr="00141374">
              <w:rPr>
                <w:szCs w:val="22"/>
              </w:rPr>
              <w:t>1,194</w:t>
            </w:r>
          </w:p>
        </w:tc>
        <w:tc>
          <w:tcPr>
            <w:tcW w:w="1728" w:type="dxa"/>
            <w:hideMark/>
          </w:tcPr>
          <w:p w:rsidR="007601CE" w:rsidRPr="00141374" w:rsidP="00B338D1" w14:paraId="6AD4E8EA" w14:textId="77777777">
            <w:pPr>
              <w:keepLines/>
              <w:widowControl/>
              <w:jc w:val="both"/>
              <w:rPr>
                <w:szCs w:val="22"/>
              </w:rPr>
            </w:pPr>
            <w:r w:rsidRPr="00141374">
              <w:rPr>
                <w:szCs w:val="22"/>
              </w:rPr>
              <w:t xml:space="preserve">$3,058,921.30 </w:t>
            </w:r>
          </w:p>
        </w:tc>
        <w:tc>
          <w:tcPr>
            <w:tcW w:w="1152" w:type="dxa"/>
            <w:hideMark/>
          </w:tcPr>
          <w:p w:rsidR="007601CE" w:rsidRPr="00141374" w:rsidP="00B338D1" w14:paraId="04F85A30" w14:textId="77777777">
            <w:pPr>
              <w:keepLines/>
              <w:widowControl/>
              <w:jc w:val="both"/>
              <w:rPr>
                <w:szCs w:val="22"/>
              </w:rPr>
            </w:pPr>
            <w:r w:rsidRPr="00141374">
              <w:rPr>
                <w:szCs w:val="22"/>
              </w:rPr>
              <w:t>940</w:t>
            </w:r>
          </w:p>
        </w:tc>
        <w:tc>
          <w:tcPr>
            <w:tcW w:w="1718" w:type="dxa"/>
            <w:hideMark/>
          </w:tcPr>
          <w:p w:rsidR="007601CE" w:rsidRPr="00141374" w:rsidP="00B338D1" w14:paraId="46A89C9C" w14:textId="77777777">
            <w:pPr>
              <w:keepLines/>
              <w:widowControl/>
              <w:jc w:val="both"/>
              <w:rPr>
                <w:szCs w:val="22"/>
              </w:rPr>
            </w:pPr>
            <w:r w:rsidRPr="00141374">
              <w:rPr>
                <w:szCs w:val="22"/>
              </w:rPr>
              <w:t>$2,408,196.00</w:t>
            </w:r>
          </w:p>
        </w:tc>
      </w:tr>
      <w:tr w14:paraId="32D9A911" w14:textId="77777777" w:rsidTr="00B338D1">
        <w:tblPrEx>
          <w:tblW w:w="0" w:type="auto"/>
          <w:tblLook w:val="04A0"/>
        </w:tblPrEx>
        <w:trPr>
          <w:cantSplit/>
          <w:trHeight w:val="300"/>
        </w:trPr>
        <w:tc>
          <w:tcPr>
            <w:tcW w:w="2013" w:type="dxa"/>
            <w:hideMark/>
          </w:tcPr>
          <w:p w:rsidR="007601CE" w:rsidRPr="00141374" w:rsidP="00B338D1" w14:paraId="2F1B3C4B" w14:textId="3AFE05F4">
            <w:pPr>
              <w:keepLines/>
              <w:widowControl/>
              <w:rPr>
                <w:szCs w:val="22"/>
                <w:u w:val="single"/>
              </w:rPr>
            </w:pPr>
            <w:bookmarkStart w:id="7" w:name="RANGE!A26"/>
            <w:r w:rsidRPr="00141374">
              <w:t>Verizon Virginia LLC</w:t>
            </w:r>
            <w:bookmarkEnd w:id="7"/>
            <w:r>
              <w:rPr>
                <w:rStyle w:val="FootnoteReference"/>
                <w:szCs w:val="22"/>
              </w:rPr>
              <w:footnoteReference w:id="55"/>
            </w:r>
          </w:p>
        </w:tc>
        <w:tc>
          <w:tcPr>
            <w:tcW w:w="708" w:type="dxa"/>
            <w:hideMark/>
          </w:tcPr>
          <w:p w:rsidR="007601CE" w:rsidRPr="00141374" w:rsidP="00B338D1" w14:paraId="42E4CD95" w14:textId="77777777">
            <w:pPr>
              <w:keepLines/>
              <w:widowControl/>
              <w:jc w:val="both"/>
              <w:rPr>
                <w:szCs w:val="22"/>
              </w:rPr>
            </w:pPr>
            <w:r w:rsidRPr="00141374">
              <w:rPr>
                <w:szCs w:val="22"/>
              </w:rPr>
              <w:t>VA</w:t>
            </w:r>
          </w:p>
        </w:tc>
        <w:tc>
          <w:tcPr>
            <w:tcW w:w="886" w:type="dxa"/>
            <w:hideMark/>
          </w:tcPr>
          <w:p w:rsidR="007601CE" w:rsidRPr="00141374" w:rsidP="00B338D1" w14:paraId="5EAF99C7" w14:textId="77777777">
            <w:pPr>
              <w:keepLines/>
              <w:widowControl/>
              <w:jc w:val="both"/>
              <w:rPr>
                <w:szCs w:val="22"/>
              </w:rPr>
            </w:pPr>
            <w:r w:rsidRPr="00141374">
              <w:rPr>
                <w:szCs w:val="22"/>
              </w:rPr>
              <w:t>195040</w:t>
            </w:r>
          </w:p>
        </w:tc>
        <w:tc>
          <w:tcPr>
            <w:tcW w:w="1145" w:type="dxa"/>
            <w:hideMark/>
          </w:tcPr>
          <w:p w:rsidR="007601CE" w:rsidRPr="00141374" w:rsidP="00B338D1" w14:paraId="11AB6088" w14:textId="77777777">
            <w:pPr>
              <w:keepLines/>
              <w:widowControl/>
              <w:jc w:val="both"/>
              <w:rPr>
                <w:szCs w:val="22"/>
              </w:rPr>
            </w:pPr>
            <w:r w:rsidRPr="00141374">
              <w:rPr>
                <w:szCs w:val="22"/>
              </w:rPr>
              <w:t>456</w:t>
            </w:r>
          </w:p>
        </w:tc>
        <w:tc>
          <w:tcPr>
            <w:tcW w:w="1728" w:type="dxa"/>
            <w:hideMark/>
          </w:tcPr>
          <w:p w:rsidR="007601CE" w:rsidRPr="00141374" w:rsidP="00B338D1" w14:paraId="76A2F0D5" w14:textId="77777777">
            <w:pPr>
              <w:keepLines/>
              <w:widowControl/>
              <w:jc w:val="both"/>
              <w:rPr>
                <w:szCs w:val="22"/>
              </w:rPr>
            </w:pPr>
            <w:r w:rsidRPr="00141374">
              <w:rPr>
                <w:szCs w:val="22"/>
              </w:rPr>
              <w:t xml:space="preserve">$1,537,248.90 </w:t>
            </w:r>
          </w:p>
        </w:tc>
        <w:tc>
          <w:tcPr>
            <w:tcW w:w="1152" w:type="dxa"/>
            <w:hideMark/>
          </w:tcPr>
          <w:p w:rsidR="007601CE" w:rsidRPr="00141374" w:rsidP="00B338D1" w14:paraId="63FE1AC1" w14:textId="77777777">
            <w:pPr>
              <w:keepLines/>
              <w:widowControl/>
              <w:jc w:val="both"/>
              <w:rPr>
                <w:szCs w:val="22"/>
              </w:rPr>
            </w:pPr>
            <w:r w:rsidRPr="00141374">
              <w:rPr>
                <w:szCs w:val="22"/>
              </w:rPr>
              <w:t>41</w:t>
            </w:r>
            <w:r>
              <w:rPr>
                <w:szCs w:val="22"/>
              </w:rPr>
              <w:t>5</w:t>
            </w:r>
          </w:p>
        </w:tc>
        <w:tc>
          <w:tcPr>
            <w:tcW w:w="1718" w:type="dxa"/>
            <w:hideMark/>
          </w:tcPr>
          <w:p w:rsidR="007601CE" w:rsidRPr="00141374" w:rsidP="00B338D1" w14:paraId="2655563A" w14:textId="77777777">
            <w:pPr>
              <w:keepLines/>
              <w:widowControl/>
              <w:jc w:val="both"/>
              <w:rPr>
                <w:szCs w:val="22"/>
              </w:rPr>
            </w:pPr>
            <w:r w:rsidRPr="00060F6B">
              <w:rPr>
                <w:szCs w:val="22"/>
              </w:rPr>
              <w:t>$1,399,031.35</w:t>
            </w:r>
          </w:p>
        </w:tc>
      </w:tr>
      <w:tr w14:paraId="4EEF0E40" w14:textId="77777777" w:rsidTr="00B338D1">
        <w:tblPrEx>
          <w:tblW w:w="0" w:type="auto"/>
          <w:tblLook w:val="04A0"/>
        </w:tblPrEx>
        <w:trPr>
          <w:cantSplit/>
          <w:trHeight w:val="300"/>
        </w:trPr>
        <w:tc>
          <w:tcPr>
            <w:tcW w:w="2013" w:type="dxa"/>
            <w:hideMark/>
          </w:tcPr>
          <w:p w:rsidR="007601CE" w:rsidRPr="00141374" w:rsidP="00B338D1" w14:paraId="6337BB47" w14:textId="77777777">
            <w:pPr>
              <w:keepLines/>
              <w:widowControl/>
              <w:rPr>
                <w:szCs w:val="22"/>
              </w:rPr>
            </w:pPr>
            <w:r w:rsidRPr="00141374">
              <w:rPr>
                <w:szCs w:val="22"/>
              </w:rPr>
              <w:t>West Central Telephone Association</w:t>
            </w:r>
          </w:p>
        </w:tc>
        <w:tc>
          <w:tcPr>
            <w:tcW w:w="708" w:type="dxa"/>
            <w:hideMark/>
          </w:tcPr>
          <w:p w:rsidR="007601CE" w:rsidRPr="00141374" w:rsidP="00B338D1" w14:paraId="6C188548" w14:textId="77777777">
            <w:pPr>
              <w:keepLines/>
              <w:widowControl/>
              <w:jc w:val="both"/>
              <w:rPr>
                <w:szCs w:val="22"/>
              </w:rPr>
            </w:pPr>
            <w:r w:rsidRPr="00141374">
              <w:rPr>
                <w:szCs w:val="22"/>
              </w:rPr>
              <w:t>MN</w:t>
            </w:r>
          </w:p>
        </w:tc>
        <w:tc>
          <w:tcPr>
            <w:tcW w:w="886" w:type="dxa"/>
            <w:hideMark/>
          </w:tcPr>
          <w:p w:rsidR="007601CE" w:rsidRPr="00141374" w:rsidP="00B338D1" w14:paraId="03BE09FB" w14:textId="77777777">
            <w:pPr>
              <w:keepLines/>
              <w:widowControl/>
              <w:jc w:val="both"/>
              <w:rPr>
                <w:szCs w:val="22"/>
              </w:rPr>
            </w:pPr>
            <w:r w:rsidRPr="00141374">
              <w:rPr>
                <w:szCs w:val="22"/>
              </w:rPr>
              <w:t>369042</w:t>
            </w:r>
          </w:p>
        </w:tc>
        <w:tc>
          <w:tcPr>
            <w:tcW w:w="1145" w:type="dxa"/>
            <w:hideMark/>
          </w:tcPr>
          <w:p w:rsidR="007601CE" w:rsidRPr="00141374" w:rsidP="00B338D1" w14:paraId="2C91882C" w14:textId="77777777">
            <w:pPr>
              <w:keepLines/>
              <w:widowControl/>
              <w:jc w:val="both"/>
              <w:rPr>
                <w:szCs w:val="22"/>
              </w:rPr>
            </w:pPr>
            <w:r w:rsidRPr="00141374">
              <w:rPr>
                <w:szCs w:val="22"/>
              </w:rPr>
              <w:t>532</w:t>
            </w:r>
          </w:p>
        </w:tc>
        <w:tc>
          <w:tcPr>
            <w:tcW w:w="1728" w:type="dxa"/>
            <w:hideMark/>
          </w:tcPr>
          <w:p w:rsidR="007601CE" w:rsidRPr="00141374" w:rsidP="00B338D1" w14:paraId="6621DD58" w14:textId="77777777">
            <w:pPr>
              <w:keepLines/>
              <w:widowControl/>
              <w:jc w:val="both"/>
              <w:rPr>
                <w:szCs w:val="22"/>
              </w:rPr>
            </w:pPr>
            <w:r w:rsidRPr="00141374">
              <w:rPr>
                <w:szCs w:val="22"/>
              </w:rPr>
              <w:t xml:space="preserve">$611,934.40 </w:t>
            </w:r>
          </w:p>
        </w:tc>
        <w:tc>
          <w:tcPr>
            <w:tcW w:w="1152" w:type="dxa"/>
            <w:hideMark/>
          </w:tcPr>
          <w:p w:rsidR="007601CE" w:rsidRPr="00141374" w:rsidP="00B338D1" w14:paraId="3C355F3F" w14:textId="77777777">
            <w:pPr>
              <w:keepLines/>
              <w:widowControl/>
              <w:jc w:val="both"/>
              <w:rPr>
                <w:szCs w:val="22"/>
              </w:rPr>
            </w:pPr>
            <w:r w:rsidRPr="00141374">
              <w:rPr>
                <w:szCs w:val="22"/>
              </w:rPr>
              <w:t>4</w:t>
            </w:r>
            <w:r>
              <w:rPr>
                <w:szCs w:val="22"/>
              </w:rPr>
              <w:t>94</w:t>
            </w:r>
          </w:p>
        </w:tc>
        <w:tc>
          <w:tcPr>
            <w:tcW w:w="1718" w:type="dxa"/>
            <w:hideMark/>
          </w:tcPr>
          <w:p w:rsidR="007601CE" w:rsidRPr="00141374" w:rsidP="00B338D1" w14:paraId="6693CB67" w14:textId="77777777">
            <w:pPr>
              <w:keepLines/>
              <w:widowControl/>
              <w:jc w:val="both"/>
              <w:rPr>
                <w:szCs w:val="22"/>
              </w:rPr>
            </w:pPr>
            <w:r w:rsidRPr="00903E48">
              <w:rPr>
                <w:szCs w:val="22"/>
              </w:rPr>
              <w:t>$568,224.80</w:t>
            </w:r>
          </w:p>
        </w:tc>
      </w:tr>
      <w:tr w14:paraId="3B5355B4" w14:textId="77777777" w:rsidTr="00B338D1">
        <w:tblPrEx>
          <w:tblW w:w="0" w:type="auto"/>
          <w:tblLook w:val="04A0"/>
        </w:tblPrEx>
        <w:trPr>
          <w:cantSplit/>
          <w:trHeight w:val="300"/>
        </w:trPr>
        <w:tc>
          <w:tcPr>
            <w:tcW w:w="2013" w:type="dxa"/>
            <w:hideMark/>
          </w:tcPr>
          <w:p w:rsidR="007601CE" w:rsidRPr="00141374" w:rsidP="00B338D1" w14:paraId="4402934D" w14:textId="77777777">
            <w:pPr>
              <w:keepLines/>
              <w:widowControl/>
              <w:rPr>
                <w:szCs w:val="22"/>
              </w:rPr>
            </w:pPr>
            <w:r w:rsidRPr="00141374">
              <w:rPr>
                <w:szCs w:val="22"/>
              </w:rPr>
              <w:t>Wisper ISP, Inc</w:t>
            </w:r>
          </w:p>
        </w:tc>
        <w:tc>
          <w:tcPr>
            <w:tcW w:w="708" w:type="dxa"/>
            <w:hideMark/>
          </w:tcPr>
          <w:p w:rsidR="007601CE" w:rsidRPr="00141374" w:rsidP="00B338D1" w14:paraId="31D9D9F3" w14:textId="77777777">
            <w:pPr>
              <w:keepLines/>
              <w:widowControl/>
              <w:jc w:val="both"/>
              <w:rPr>
                <w:szCs w:val="22"/>
              </w:rPr>
            </w:pPr>
            <w:r w:rsidRPr="00141374">
              <w:rPr>
                <w:szCs w:val="22"/>
              </w:rPr>
              <w:t>IN</w:t>
            </w:r>
          </w:p>
        </w:tc>
        <w:tc>
          <w:tcPr>
            <w:tcW w:w="886" w:type="dxa"/>
            <w:hideMark/>
          </w:tcPr>
          <w:p w:rsidR="007601CE" w:rsidRPr="00141374" w:rsidP="00B338D1" w14:paraId="0D8B051D" w14:textId="77777777">
            <w:pPr>
              <w:keepLines/>
              <w:widowControl/>
              <w:jc w:val="both"/>
              <w:rPr>
                <w:szCs w:val="22"/>
              </w:rPr>
            </w:pPr>
            <w:r w:rsidRPr="00141374">
              <w:rPr>
                <w:szCs w:val="22"/>
              </w:rPr>
              <w:t>329031</w:t>
            </w:r>
          </w:p>
        </w:tc>
        <w:tc>
          <w:tcPr>
            <w:tcW w:w="1145" w:type="dxa"/>
            <w:hideMark/>
          </w:tcPr>
          <w:p w:rsidR="007601CE" w:rsidRPr="00141374" w:rsidP="00B338D1" w14:paraId="294FE81A" w14:textId="77777777">
            <w:pPr>
              <w:keepLines/>
              <w:widowControl/>
              <w:jc w:val="both"/>
              <w:rPr>
                <w:szCs w:val="22"/>
              </w:rPr>
            </w:pPr>
            <w:r w:rsidRPr="00141374">
              <w:rPr>
                <w:szCs w:val="22"/>
              </w:rPr>
              <w:t>14</w:t>
            </w:r>
          </w:p>
        </w:tc>
        <w:tc>
          <w:tcPr>
            <w:tcW w:w="1728" w:type="dxa"/>
            <w:hideMark/>
          </w:tcPr>
          <w:p w:rsidR="007601CE" w:rsidRPr="00141374" w:rsidP="00B338D1" w14:paraId="7987FA9E" w14:textId="77777777">
            <w:pPr>
              <w:keepLines/>
              <w:widowControl/>
              <w:jc w:val="both"/>
              <w:rPr>
                <w:szCs w:val="22"/>
              </w:rPr>
            </w:pPr>
            <w:r w:rsidRPr="00141374">
              <w:rPr>
                <w:szCs w:val="22"/>
              </w:rPr>
              <w:t xml:space="preserve">$123,648.00 </w:t>
            </w:r>
          </w:p>
        </w:tc>
        <w:tc>
          <w:tcPr>
            <w:tcW w:w="1152" w:type="dxa"/>
            <w:hideMark/>
          </w:tcPr>
          <w:p w:rsidR="007601CE" w:rsidRPr="00141374" w:rsidP="00B338D1" w14:paraId="70A6830B" w14:textId="77777777">
            <w:pPr>
              <w:keepLines/>
              <w:widowControl/>
              <w:jc w:val="both"/>
              <w:rPr>
                <w:szCs w:val="22"/>
              </w:rPr>
            </w:pPr>
            <w:r w:rsidRPr="00141374">
              <w:rPr>
                <w:szCs w:val="22"/>
              </w:rPr>
              <w:t>9</w:t>
            </w:r>
          </w:p>
        </w:tc>
        <w:tc>
          <w:tcPr>
            <w:tcW w:w="1718" w:type="dxa"/>
            <w:hideMark/>
          </w:tcPr>
          <w:p w:rsidR="007601CE" w:rsidRPr="00141374" w:rsidP="00B338D1" w14:paraId="3EFE42BE" w14:textId="77777777">
            <w:pPr>
              <w:keepLines/>
              <w:widowControl/>
              <w:jc w:val="both"/>
              <w:rPr>
                <w:szCs w:val="22"/>
              </w:rPr>
            </w:pPr>
            <w:r w:rsidRPr="00141374">
              <w:rPr>
                <w:szCs w:val="22"/>
              </w:rPr>
              <w:t xml:space="preserve">$79,488.00 </w:t>
            </w:r>
          </w:p>
        </w:tc>
      </w:tr>
      <w:tr w14:paraId="3CEF7FB5" w14:textId="77777777" w:rsidTr="00B338D1">
        <w:tblPrEx>
          <w:tblW w:w="0" w:type="auto"/>
          <w:tblLook w:val="04A0"/>
        </w:tblPrEx>
        <w:trPr>
          <w:cantSplit/>
          <w:trHeight w:val="300"/>
        </w:trPr>
        <w:tc>
          <w:tcPr>
            <w:tcW w:w="2013" w:type="dxa"/>
            <w:hideMark/>
          </w:tcPr>
          <w:p w:rsidR="007601CE" w:rsidRPr="00141374" w:rsidP="00B338D1" w14:paraId="070BBCB3" w14:textId="77777777">
            <w:pPr>
              <w:keepLines/>
              <w:widowControl/>
              <w:rPr>
                <w:szCs w:val="22"/>
              </w:rPr>
            </w:pPr>
            <w:r w:rsidRPr="00141374">
              <w:rPr>
                <w:szCs w:val="22"/>
              </w:rPr>
              <w:t>Wisper ISP, Inc</w:t>
            </w:r>
          </w:p>
        </w:tc>
        <w:tc>
          <w:tcPr>
            <w:tcW w:w="708" w:type="dxa"/>
            <w:hideMark/>
          </w:tcPr>
          <w:p w:rsidR="007601CE" w:rsidRPr="00141374" w:rsidP="00B338D1" w14:paraId="6852DE7D" w14:textId="77777777">
            <w:pPr>
              <w:keepLines/>
              <w:widowControl/>
              <w:jc w:val="both"/>
              <w:rPr>
                <w:szCs w:val="22"/>
              </w:rPr>
            </w:pPr>
            <w:r w:rsidRPr="00141374">
              <w:rPr>
                <w:szCs w:val="22"/>
              </w:rPr>
              <w:t>IL</w:t>
            </w:r>
          </w:p>
        </w:tc>
        <w:tc>
          <w:tcPr>
            <w:tcW w:w="886" w:type="dxa"/>
            <w:hideMark/>
          </w:tcPr>
          <w:p w:rsidR="007601CE" w:rsidRPr="00141374" w:rsidP="00B338D1" w14:paraId="4E2E5BD8" w14:textId="77777777">
            <w:pPr>
              <w:keepLines/>
              <w:widowControl/>
              <w:jc w:val="both"/>
              <w:rPr>
                <w:szCs w:val="22"/>
              </w:rPr>
            </w:pPr>
            <w:r w:rsidRPr="00141374">
              <w:rPr>
                <w:szCs w:val="22"/>
              </w:rPr>
              <w:t>349045</w:t>
            </w:r>
          </w:p>
        </w:tc>
        <w:tc>
          <w:tcPr>
            <w:tcW w:w="1145" w:type="dxa"/>
            <w:hideMark/>
          </w:tcPr>
          <w:p w:rsidR="007601CE" w:rsidRPr="00141374" w:rsidP="00B338D1" w14:paraId="63863FAA" w14:textId="77777777">
            <w:pPr>
              <w:keepLines/>
              <w:widowControl/>
              <w:jc w:val="both"/>
              <w:rPr>
                <w:szCs w:val="22"/>
              </w:rPr>
            </w:pPr>
            <w:r w:rsidRPr="00141374">
              <w:rPr>
                <w:szCs w:val="22"/>
              </w:rPr>
              <w:t>8,907</w:t>
            </w:r>
          </w:p>
        </w:tc>
        <w:tc>
          <w:tcPr>
            <w:tcW w:w="1728" w:type="dxa"/>
            <w:hideMark/>
          </w:tcPr>
          <w:p w:rsidR="007601CE" w:rsidRPr="00141374" w:rsidP="00B338D1" w14:paraId="30454090" w14:textId="77777777">
            <w:pPr>
              <w:keepLines/>
              <w:widowControl/>
              <w:jc w:val="both"/>
              <w:rPr>
                <w:szCs w:val="22"/>
              </w:rPr>
            </w:pPr>
            <w:r w:rsidRPr="00141374">
              <w:rPr>
                <w:szCs w:val="22"/>
              </w:rPr>
              <w:t xml:space="preserve">$35,079,137.70 </w:t>
            </w:r>
          </w:p>
        </w:tc>
        <w:tc>
          <w:tcPr>
            <w:tcW w:w="1152" w:type="dxa"/>
            <w:hideMark/>
          </w:tcPr>
          <w:p w:rsidR="007601CE" w:rsidRPr="00141374" w:rsidP="00B338D1" w14:paraId="6BCAAC0D" w14:textId="77777777">
            <w:pPr>
              <w:keepLines/>
              <w:widowControl/>
              <w:jc w:val="both"/>
              <w:rPr>
                <w:szCs w:val="22"/>
              </w:rPr>
            </w:pPr>
            <w:r w:rsidRPr="00141374">
              <w:rPr>
                <w:szCs w:val="22"/>
              </w:rPr>
              <w:t>8,236</w:t>
            </w:r>
          </w:p>
        </w:tc>
        <w:tc>
          <w:tcPr>
            <w:tcW w:w="1718" w:type="dxa"/>
            <w:hideMark/>
          </w:tcPr>
          <w:p w:rsidR="007601CE" w:rsidRPr="00141374" w:rsidP="00B338D1" w14:paraId="59376376" w14:textId="77777777">
            <w:pPr>
              <w:keepLines/>
              <w:widowControl/>
              <w:jc w:val="both"/>
              <w:rPr>
                <w:szCs w:val="22"/>
              </w:rPr>
            </w:pPr>
            <w:r w:rsidRPr="00141374">
              <w:rPr>
                <w:szCs w:val="22"/>
              </w:rPr>
              <w:t>$32,436,485.70</w:t>
            </w:r>
          </w:p>
        </w:tc>
      </w:tr>
      <w:tr w14:paraId="255AAD21" w14:textId="77777777" w:rsidTr="00B338D1">
        <w:tblPrEx>
          <w:tblW w:w="0" w:type="auto"/>
          <w:tblLook w:val="04A0"/>
        </w:tblPrEx>
        <w:trPr>
          <w:cantSplit/>
          <w:trHeight w:val="300"/>
        </w:trPr>
        <w:tc>
          <w:tcPr>
            <w:tcW w:w="2013" w:type="dxa"/>
            <w:hideMark/>
          </w:tcPr>
          <w:p w:rsidR="007601CE" w:rsidRPr="00141374" w:rsidP="00B338D1" w14:paraId="4B03146D" w14:textId="77777777">
            <w:pPr>
              <w:keepLines/>
              <w:widowControl/>
              <w:rPr>
                <w:szCs w:val="22"/>
              </w:rPr>
            </w:pPr>
            <w:r w:rsidRPr="00141374">
              <w:rPr>
                <w:szCs w:val="22"/>
              </w:rPr>
              <w:t>Wisper ISP, Inc</w:t>
            </w:r>
          </w:p>
        </w:tc>
        <w:tc>
          <w:tcPr>
            <w:tcW w:w="708" w:type="dxa"/>
            <w:hideMark/>
          </w:tcPr>
          <w:p w:rsidR="007601CE" w:rsidRPr="00141374" w:rsidP="00B338D1" w14:paraId="503372FD" w14:textId="77777777">
            <w:pPr>
              <w:keepLines/>
              <w:widowControl/>
              <w:jc w:val="both"/>
              <w:rPr>
                <w:szCs w:val="22"/>
              </w:rPr>
            </w:pPr>
            <w:r w:rsidRPr="00141374">
              <w:rPr>
                <w:szCs w:val="22"/>
              </w:rPr>
              <w:t>AR</w:t>
            </w:r>
          </w:p>
        </w:tc>
        <w:tc>
          <w:tcPr>
            <w:tcW w:w="886" w:type="dxa"/>
            <w:hideMark/>
          </w:tcPr>
          <w:p w:rsidR="007601CE" w:rsidRPr="00141374" w:rsidP="00B338D1" w14:paraId="60CF2222" w14:textId="77777777">
            <w:pPr>
              <w:keepLines/>
              <w:widowControl/>
              <w:jc w:val="both"/>
              <w:rPr>
                <w:szCs w:val="22"/>
              </w:rPr>
            </w:pPr>
            <w:r w:rsidRPr="00141374">
              <w:rPr>
                <w:szCs w:val="22"/>
              </w:rPr>
              <w:t>409047</w:t>
            </w:r>
          </w:p>
        </w:tc>
        <w:tc>
          <w:tcPr>
            <w:tcW w:w="1145" w:type="dxa"/>
            <w:hideMark/>
          </w:tcPr>
          <w:p w:rsidR="007601CE" w:rsidRPr="00141374" w:rsidP="00B338D1" w14:paraId="055D6479" w14:textId="77777777">
            <w:pPr>
              <w:keepLines/>
              <w:widowControl/>
              <w:jc w:val="both"/>
              <w:rPr>
                <w:szCs w:val="22"/>
              </w:rPr>
            </w:pPr>
            <w:r w:rsidRPr="00141374">
              <w:rPr>
                <w:szCs w:val="22"/>
              </w:rPr>
              <w:t>102</w:t>
            </w:r>
          </w:p>
        </w:tc>
        <w:tc>
          <w:tcPr>
            <w:tcW w:w="1728" w:type="dxa"/>
            <w:hideMark/>
          </w:tcPr>
          <w:p w:rsidR="007601CE" w:rsidRPr="00141374" w:rsidP="00B338D1" w14:paraId="6AE41B92" w14:textId="77777777">
            <w:pPr>
              <w:keepLines/>
              <w:widowControl/>
              <w:jc w:val="both"/>
              <w:rPr>
                <w:szCs w:val="22"/>
              </w:rPr>
            </w:pPr>
            <w:r w:rsidRPr="00141374">
              <w:rPr>
                <w:szCs w:val="22"/>
              </w:rPr>
              <w:t xml:space="preserve">$399,565.60 </w:t>
            </w:r>
          </w:p>
        </w:tc>
        <w:tc>
          <w:tcPr>
            <w:tcW w:w="1152" w:type="dxa"/>
            <w:hideMark/>
          </w:tcPr>
          <w:p w:rsidR="007601CE" w:rsidRPr="00141374" w:rsidP="00B338D1" w14:paraId="4C0290EC" w14:textId="77777777">
            <w:pPr>
              <w:keepLines/>
              <w:widowControl/>
              <w:jc w:val="both"/>
              <w:rPr>
                <w:szCs w:val="22"/>
              </w:rPr>
            </w:pPr>
            <w:r w:rsidRPr="00141374">
              <w:rPr>
                <w:szCs w:val="22"/>
              </w:rPr>
              <w:t>97</w:t>
            </w:r>
          </w:p>
        </w:tc>
        <w:tc>
          <w:tcPr>
            <w:tcW w:w="1718" w:type="dxa"/>
            <w:hideMark/>
          </w:tcPr>
          <w:p w:rsidR="007601CE" w:rsidRPr="00141374" w:rsidP="00B338D1" w14:paraId="197E8255" w14:textId="77777777">
            <w:pPr>
              <w:keepLines/>
              <w:widowControl/>
              <w:jc w:val="both"/>
              <w:rPr>
                <w:szCs w:val="22"/>
              </w:rPr>
            </w:pPr>
            <w:r w:rsidRPr="00141374">
              <w:rPr>
                <w:szCs w:val="22"/>
              </w:rPr>
              <w:t xml:space="preserve">$379,979.05 </w:t>
            </w:r>
          </w:p>
        </w:tc>
      </w:tr>
      <w:tr w14:paraId="367DBD8B" w14:textId="77777777" w:rsidTr="00B338D1">
        <w:tblPrEx>
          <w:tblW w:w="0" w:type="auto"/>
          <w:tblLook w:val="04A0"/>
        </w:tblPrEx>
        <w:trPr>
          <w:cantSplit/>
          <w:trHeight w:val="300"/>
        </w:trPr>
        <w:tc>
          <w:tcPr>
            <w:tcW w:w="2013" w:type="dxa"/>
            <w:hideMark/>
          </w:tcPr>
          <w:p w:rsidR="007601CE" w:rsidRPr="00141374" w:rsidP="00B338D1" w14:paraId="22B091F3" w14:textId="77777777">
            <w:pPr>
              <w:keepLines/>
              <w:widowControl/>
              <w:rPr>
                <w:szCs w:val="22"/>
              </w:rPr>
            </w:pPr>
            <w:r w:rsidRPr="00141374">
              <w:rPr>
                <w:szCs w:val="22"/>
              </w:rPr>
              <w:t>Wisper ISP, Inc</w:t>
            </w:r>
          </w:p>
        </w:tc>
        <w:tc>
          <w:tcPr>
            <w:tcW w:w="708" w:type="dxa"/>
            <w:hideMark/>
          </w:tcPr>
          <w:p w:rsidR="007601CE" w:rsidRPr="00141374" w:rsidP="00B338D1" w14:paraId="6ADBCB46" w14:textId="77777777">
            <w:pPr>
              <w:keepLines/>
              <w:widowControl/>
              <w:jc w:val="both"/>
              <w:rPr>
                <w:szCs w:val="22"/>
              </w:rPr>
            </w:pPr>
            <w:r w:rsidRPr="00141374">
              <w:rPr>
                <w:szCs w:val="22"/>
              </w:rPr>
              <w:t>MO</w:t>
            </w:r>
          </w:p>
        </w:tc>
        <w:tc>
          <w:tcPr>
            <w:tcW w:w="886" w:type="dxa"/>
            <w:hideMark/>
          </w:tcPr>
          <w:p w:rsidR="007601CE" w:rsidRPr="00141374" w:rsidP="00B338D1" w14:paraId="0D123EE2" w14:textId="77777777">
            <w:pPr>
              <w:keepLines/>
              <w:widowControl/>
              <w:jc w:val="both"/>
              <w:rPr>
                <w:szCs w:val="22"/>
              </w:rPr>
            </w:pPr>
            <w:r w:rsidRPr="00141374">
              <w:rPr>
                <w:szCs w:val="22"/>
              </w:rPr>
              <w:t>429045</w:t>
            </w:r>
          </w:p>
        </w:tc>
        <w:tc>
          <w:tcPr>
            <w:tcW w:w="1145" w:type="dxa"/>
            <w:hideMark/>
          </w:tcPr>
          <w:p w:rsidR="007601CE" w:rsidRPr="00141374" w:rsidP="00B338D1" w14:paraId="100320B9" w14:textId="77777777">
            <w:pPr>
              <w:keepLines/>
              <w:widowControl/>
              <w:jc w:val="both"/>
              <w:rPr>
                <w:szCs w:val="22"/>
              </w:rPr>
            </w:pPr>
            <w:r w:rsidRPr="00141374">
              <w:rPr>
                <w:szCs w:val="22"/>
              </w:rPr>
              <w:t>68,269</w:t>
            </w:r>
          </w:p>
        </w:tc>
        <w:tc>
          <w:tcPr>
            <w:tcW w:w="1728" w:type="dxa"/>
            <w:hideMark/>
          </w:tcPr>
          <w:p w:rsidR="007601CE" w:rsidRPr="00141374" w:rsidP="00B338D1" w14:paraId="630B0AA8" w14:textId="77777777">
            <w:pPr>
              <w:keepLines/>
              <w:widowControl/>
              <w:jc w:val="both"/>
              <w:rPr>
                <w:szCs w:val="22"/>
              </w:rPr>
            </w:pPr>
            <w:r w:rsidRPr="00141374">
              <w:rPr>
                <w:szCs w:val="22"/>
              </w:rPr>
              <w:t xml:space="preserve">$176,319,409.30 </w:t>
            </w:r>
          </w:p>
        </w:tc>
        <w:tc>
          <w:tcPr>
            <w:tcW w:w="1152" w:type="dxa"/>
            <w:hideMark/>
          </w:tcPr>
          <w:p w:rsidR="007601CE" w:rsidRPr="00141374" w:rsidP="00B338D1" w14:paraId="39A4CABD" w14:textId="77777777">
            <w:pPr>
              <w:keepLines/>
              <w:widowControl/>
              <w:jc w:val="both"/>
              <w:rPr>
                <w:szCs w:val="22"/>
              </w:rPr>
            </w:pPr>
            <w:r w:rsidRPr="00141374">
              <w:rPr>
                <w:szCs w:val="22"/>
              </w:rPr>
              <w:t>63,053</w:t>
            </w:r>
            <w:r>
              <w:rPr>
                <w:rStyle w:val="FootnoteReference"/>
                <w:szCs w:val="22"/>
              </w:rPr>
              <w:footnoteReference w:id="56"/>
            </w:r>
          </w:p>
        </w:tc>
        <w:tc>
          <w:tcPr>
            <w:tcW w:w="1718" w:type="dxa"/>
            <w:hideMark/>
          </w:tcPr>
          <w:p w:rsidR="007601CE" w:rsidRPr="00141374" w:rsidP="00B338D1" w14:paraId="02028A3B" w14:textId="77777777">
            <w:pPr>
              <w:keepLines/>
              <w:widowControl/>
              <w:jc w:val="both"/>
              <w:rPr>
                <w:szCs w:val="22"/>
              </w:rPr>
            </w:pPr>
            <w:r w:rsidRPr="00141374">
              <w:rPr>
                <w:szCs w:val="22"/>
              </w:rPr>
              <w:t xml:space="preserve">$162,847,964.88 </w:t>
            </w:r>
          </w:p>
        </w:tc>
      </w:tr>
      <w:tr w14:paraId="4B6BD17F" w14:textId="77777777" w:rsidTr="00B338D1">
        <w:tblPrEx>
          <w:tblW w:w="0" w:type="auto"/>
          <w:tblLook w:val="04A0"/>
        </w:tblPrEx>
        <w:trPr>
          <w:cantSplit/>
          <w:trHeight w:val="300"/>
        </w:trPr>
        <w:tc>
          <w:tcPr>
            <w:tcW w:w="2013" w:type="dxa"/>
            <w:hideMark/>
          </w:tcPr>
          <w:p w:rsidR="007601CE" w:rsidRPr="00141374" w:rsidP="00B338D1" w14:paraId="10DD5B9D" w14:textId="77777777">
            <w:pPr>
              <w:keepLines/>
              <w:widowControl/>
              <w:rPr>
                <w:szCs w:val="22"/>
              </w:rPr>
            </w:pPr>
            <w:r w:rsidRPr="00141374">
              <w:rPr>
                <w:szCs w:val="22"/>
              </w:rPr>
              <w:t>Wisper ISP, Inc</w:t>
            </w:r>
          </w:p>
        </w:tc>
        <w:tc>
          <w:tcPr>
            <w:tcW w:w="708" w:type="dxa"/>
            <w:hideMark/>
          </w:tcPr>
          <w:p w:rsidR="007601CE" w:rsidRPr="00141374" w:rsidP="00B338D1" w14:paraId="17103F8C" w14:textId="77777777">
            <w:pPr>
              <w:keepLines/>
              <w:widowControl/>
              <w:jc w:val="both"/>
              <w:rPr>
                <w:szCs w:val="22"/>
              </w:rPr>
            </w:pPr>
            <w:r w:rsidRPr="00141374">
              <w:rPr>
                <w:szCs w:val="22"/>
              </w:rPr>
              <w:t>OK</w:t>
            </w:r>
          </w:p>
        </w:tc>
        <w:tc>
          <w:tcPr>
            <w:tcW w:w="886" w:type="dxa"/>
            <w:hideMark/>
          </w:tcPr>
          <w:p w:rsidR="007601CE" w:rsidRPr="00141374" w:rsidP="00B338D1" w14:paraId="6562A976" w14:textId="77777777">
            <w:pPr>
              <w:keepLines/>
              <w:widowControl/>
              <w:jc w:val="both"/>
              <w:rPr>
                <w:szCs w:val="22"/>
              </w:rPr>
            </w:pPr>
            <w:r w:rsidRPr="00141374">
              <w:rPr>
                <w:szCs w:val="22"/>
              </w:rPr>
              <w:t>439082</w:t>
            </w:r>
          </w:p>
        </w:tc>
        <w:tc>
          <w:tcPr>
            <w:tcW w:w="1145" w:type="dxa"/>
            <w:hideMark/>
          </w:tcPr>
          <w:p w:rsidR="007601CE" w:rsidRPr="00141374" w:rsidP="00B338D1" w14:paraId="150BF846" w14:textId="77777777">
            <w:pPr>
              <w:keepLines/>
              <w:widowControl/>
              <w:jc w:val="both"/>
              <w:rPr>
                <w:szCs w:val="22"/>
              </w:rPr>
            </w:pPr>
            <w:r w:rsidRPr="00141374">
              <w:rPr>
                <w:szCs w:val="22"/>
              </w:rPr>
              <w:t>2,443</w:t>
            </w:r>
          </w:p>
        </w:tc>
        <w:tc>
          <w:tcPr>
            <w:tcW w:w="1728" w:type="dxa"/>
            <w:hideMark/>
          </w:tcPr>
          <w:p w:rsidR="007601CE" w:rsidRPr="00141374" w:rsidP="00B338D1" w14:paraId="07405832" w14:textId="77777777">
            <w:pPr>
              <w:keepLines/>
              <w:widowControl/>
              <w:jc w:val="both"/>
              <w:rPr>
                <w:szCs w:val="22"/>
              </w:rPr>
            </w:pPr>
            <w:r w:rsidRPr="00141374">
              <w:rPr>
                <w:szCs w:val="22"/>
              </w:rPr>
              <w:t xml:space="preserve">$6,790,089.80 </w:t>
            </w:r>
          </w:p>
        </w:tc>
        <w:tc>
          <w:tcPr>
            <w:tcW w:w="1152" w:type="dxa"/>
            <w:hideMark/>
          </w:tcPr>
          <w:p w:rsidR="007601CE" w:rsidRPr="00141374" w:rsidP="00B338D1" w14:paraId="4A842392" w14:textId="77777777">
            <w:pPr>
              <w:keepLines/>
              <w:widowControl/>
              <w:jc w:val="both"/>
              <w:rPr>
                <w:szCs w:val="22"/>
              </w:rPr>
            </w:pPr>
            <w:r w:rsidRPr="00141374">
              <w:rPr>
                <w:szCs w:val="22"/>
              </w:rPr>
              <w:t>2,135</w:t>
            </w:r>
          </w:p>
        </w:tc>
        <w:tc>
          <w:tcPr>
            <w:tcW w:w="1718" w:type="dxa"/>
            <w:hideMark/>
          </w:tcPr>
          <w:p w:rsidR="007601CE" w:rsidRPr="00141374" w:rsidP="00B338D1" w14:paraId="4A5574BA" w14:textId="77777777">
            <w:pPr>
              <w:keepLines/>
              <w:widowControl/>
              <w:jc w:val="both"/>
              <w:rPr>
                <w:szCs w:val="22"/>
              </w:rPr>
            </w:pPr>
            <w:r w:rsidRPr="00141374">
              <w:rPr>
                <w:szCs w:val="22"/>
              </w:rPr>
              <w:t xml:space="preserve">$5,934,032.63 </w:t>
            </w:r>
          </w:p>
        </w:tc>
      </w:tr>
    </w:tbl>
    <w:p w:rsidR="007601CE" w:rsidRPr="00B86E79" w:rsidP="007601CE" w14:paraId="0250CB62" w14:textId="77777777">
      <w:pPr>
        <w:keepNext/>
        <w:keepLines/>
        <w:widowControl/>
        <w:jc w:val="both"/>
        <w:rPr>
          <w:b/>
          <w:bCs/>
          <w:szCs w:val="22"/>
        </w:rPr>
      </w:pPr>
    </w:p>
    <w:p w:rsidR="007601CE" w:rsidRPr="007601CE" w:rsidP="007601CE" w14:paraId="771E94DA" w14:textId="77777777">
      <w:pPr>
        <w:keepNext/>
        <w:keepLines/>
        <w:widowControl/>
        <w:rPr>
          <w:szCs w:val="22"/>
        </w:rPr>
      </w:pPr>
    </w:p>
    <w:sectPr w:rsidSect="007601CE">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B4EE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3F7A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F4F699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6E316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DCE2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E83AA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4722E" w14:paraId="5BA023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FCEB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1CE" w14:paraId="6282FFED" w14:textId="77777777">
      <w:r>
        <w:separator/>
      </w:r>
    </w:p>
  </w:footnote>
  <w:footnote w:type="continuationSeparator" w:id="1">
    <w:p w:rsidR="007601CE" w:rsidP="00C721AC" w14:paraId="7A827F49" w14:textId="77777777">
      <w:pPr>
        <w:spacing w:before="120"/>
        <w:rPr>
          <w:sz w:val="20"/>
        </w:rPr>
      </w:pPr>
      <w:r>
        <w:rPr>
          <w:sz w:val="20"/>
        </w:rPr>
        <w:t xml:space="preserve">(Continued from previous page)  </w:t>
      </w:r>
      <w:r>
        <w:rPr>
          <w:sz w:val="20"/>
        </w:rPr>
        <w:separator/>
      </w:r>
    </w:p>
  </w:footnote>
  <w:footnote w:type="continuationNotice" w:id="2">
    <w:p w:rsidR="007601CE" w:rsidP="00C721AC" w14:paraId="49ECEF5E" w14:textId="77777777">
      <w:pPr>
        <w:jc w:val="right"/>
        <w:rPr>
          <w:sz w:val="20"/>
        </w:rPr>
      </w:pPr>
      <w:r>
        <w:rPr>
          <w:sz w:val="20"/>
        </w:rPr>
        <w:t>(continued….)</w:t>
      </w:r>
    </w:p>
  </w:footnote>
  <w:footnote w:id="3">
    <w:p w:rsidR="007601CE" w:rsidP="007601CE" w14:paraId="7CE4C2A0" w14:textId="77777777">
      <w:pPr>
        <w:pStyle w:val="FootnoteText"/>
      </w:pPr>
      <w:r>
        <w:rPr>
          <w:rStyle w:val="FootnoteReference"/>
        </w:rPr>
        <w:footnoteRef/>
      </w:r>
      <w:r>
        <w:t xml:space="preserve"> </w:t>
      </w:r>
      <w:r w:rsidRPr="00396936">
        <w:rPr>
          <w:i/>
          <w:iCs/>
        </w:rPr>
        <w:t>See</w:t>
      </w:r>
      <w:r>
        <w:t xml:space="preserve"> Connect America Fund Douglas Services, Inc., d/b/a Douglas Fast Net, Petition for Waiver to Permit Its Making Submissions to the Connect America Fund Phase II Eligible Locations Adjustment Process Module, Docket No. 10-90 (filed Aug. 23, 2022) (Douglas Services Waiver Petition).</w:t>
      </w:r>
    </w:p>
  </w:footnote>
  <w:footnote w:id="4">
    <w:p w:rsidR="007601CE" w:rsidRPr="002F6CC1" w:rsidP="007601CE" w14:paraId="2A5933B6" w14:textId="77777777">
      <w:pPr>
        <w:pStyle w:val="FootnoteText"/>
      </w:pPr>
      <w:r w:rsidRPr="002F6CC1">
        <w:rPr>
          <w:rStyle w:val="FootnoteReference"/>
        </w:rPr>
        <w:footnoteRef/>
      </w:r>
      <w:r w:rsidRPr="002F6CC1">
        <w:t xml:space="preserve"> </w:t>
      </w:r>
      <w:r w:rsidRPr="002F6CC1">
        <w:rPr>
          <w:i/>
          <w:color w:val="000000"/>
        </w:rPr>
        <w:t>Connect America Fund et al</w:t>
      </w:r>
      <w:r w:rsidRPr="002F6CC1">
        <w:rPr>
          <w:color w:val="000000"/>
        </w:rPr>
        <w:t xml:space="preserve">., WC Docket No. 10-90 et al., Report and Order and Further Notice of Proposed Rulemaking, 31 FCC </w:t>
      </w:r>
      <w:r w:rsidRPr="002F6CC1">
        <w:rPr>
          <w:color w:val="000000"/>
        </w:rPr>
        <w:t>Rcd</w:t>
      </w:r>
      <w:r w:rsidRPr="002F6CC1">
        <w:rPr>
          <w:color w:val="000000"/>
        </w:rPr>
        <w:t xml:space="preserve"> 5949, 5968-74, </w:t>
      </w:r>
      <w:r>
        <w:rPr>
          <w:color w:val="000000"/>
        </w:rPr>
        <w:t xml:space="preserve">5974-79, </w:t>
      </w:r>
      <w:r w:rsidRPr="002F6CC1">
        <w:rPr>
          <w:color w:val="000000"/>
        </w:rPr>
        <w:t xml:space="preserve">paras. 51-73, </w:t>
      </w:r>
      <w:r>
        <w:rPr>
          <w:color w:val="000000"/>
        </w:rPr>
        <w:t>82-</w:t>
      </w:r>
      <w:r w:rsidRPr="002F6CC1">
        <w:rPr>
          <w:color w:val="000000"/>
        </w:rPr>
        <w:t xml:space="preserve">90 (2016) </w:t>
      </w:r>
      <w:r>
        <w:rPr>
          <w:color w:val="000000"/>
        </w:rPr>
        <w:t xml:space="preserve">(excluding from eligibility areas served by unsubsidized providers offering at least 10/1 Mbps, </w:t>
      </w:r>
      <w:r w:rsidRPr="008E29F4">
        <w:rPr>
          <w:color w:val="000000"/>
        </w:rPr>
        <w:t>with a minimum usage allowance of 150 GBs at a rate meeting the Commission</w:t>
      </w:r>
      <w:r>
        <w:rPr>
          <w:color w:val="000000"/>
        </w:rPr>
        <w:t>’</w:t>
      </w:r>
      <w:r w:rsidRPr="008E29F4">
        <w:rPr>
          <w:color w:val="000000"/>
        </w:rPr>
        <w:t xml:space="preserve">s reasonable comparability benchmark, with latency not exceeding 100 </w:t>
      </w:r>
      <w:r w:rsidRPr="008E29F4">
        <w:rPr>
          <w:color w:val="000000"/>
        </w:rPr>
        <w:t>ms</w:t>
      </w:r>
      <w:r>
        <w:rPr>
          <w:color w:val="000000"/>
        </w:rPr>
        <w:t xml:space="preserve"> and establishing a challenge process for determining these areas) </w:t>
      </w:r>
      <w:r w:rsidRPr="002F6CC1">
        <w:rPr>
          <w:color w:val="000000"/>
        </w:rPr>
        <w:t>(</w:t>
      </w:r>
      <w:r w:rsidRPr="002F6CC1">
        <w:rPr>
          <w:i/>
          <w:color w:val="000000"/>
        </w:rPr>
        <w:t>Phase II Auction Order</w:t>
      </w:r>
      <w:r w:rsidRPr="002F6CC1">
        <w:rPr>
          <w:color w:val="000000"/>
        </w:rPr>
        <w:t xml:space="preserve">); </w:t>
      </w:r>
      <w:r w:rsidRPr="002F6CC1">
        <w:rPr>
          <w:i/>
          <w:color w:val="000000"/>
        </w:rPr>
        <w:t>see also</w:t>
      </w:r>
      <w:r w:rsidRPr="002F6CC1">
        <w:rPr>
          <w:color w:val="000000"/>
        </w:rPr>
        <w:t xml:space="preserve"> </w:t>
      </w:r>
      <w:r w:rsidRPr="002F6CC1">
        <w:rPr>
          <w:i/>
          <w:color w:val="000000"/>
        </w:rPr>
        <w:t xml:space="preserve">Wireline Competition Bureau Releases List and Map of Eligible Census Blocks for the Connect America </w:t>
      </w:r>
      <w:r>
        <w:rPr>
          <w:i/>
          <w:color w:val="000000"/>
        </w:rPr>
        <w:t xml:space="preserve">Fund </w:t>
      </w:r>
      <w:r w:rsidRPr="002F6CC1">
        <w:rPr>
          <w:i/>
          <w:color w:val="000000"/>
        </w:rPr>
        <w:t>Phase II Auction (Auction 903)</w:t>
      </w:r>
      <w:r w:rsidRPr="002F6CC1">
        <w:rPr>
          <w:color w:val="000000"/>
        </w:rPr>
        <w:t xml:space="preserve">, </w:t>
      </w:r>
      <w:r>
        <w:rPr>
          <w:color w:val="000000"/>
        </w:rPr>
        <w:t xml:space="preserve">AU Docket No. 17-182 et al., </w:t>
      </w:r>
      <w:r w:rsidRPr="002F6CC1">
        <w:rPr>
          <w:color w:val="000000"/>
        </w:rPr>
        <w:t xml:space="preserve">Public Notice, 32 FCC </w:t>
      </w:r>
      <w:r w:rsidRPr="002F6CC1">
        <w:rPr>
          <w:color w:val="000000"/>
        </w:rPr>
        <w:t>Rcd</w:t>
      </w:r>
      <w:r w:rsidRPr="002F6CC1">
        <w:rPr>
          <w:color w:val="000000"/>
        </w:rPr>
        <w:t xml:space="preserve"> 10381 (WCB 2017)</w:t>
      </w:r>
      <w:r>
        <w:rPr>
          <w:color w:val="000000"/>
        </w:rPr>
        <w:t xml:space="preserve"> (explaining that “[a]</w:t>
      </w:r>
      <w:r w:rsidRPr="00A304D9">
        <w:rPr>
          <w:color w:val="000000"/>
        </w:rPr>
        <w:t>s a general matter, census blocks eligible for the Phase II auction include those in price cap study areas where the price cap carriers declined the statewide offers of model-based support</w:t>
      </w:r>
      <w:r>
        <w:rPr>
          <w:color w:val="000000"/>
        </w:rPr>
        <w:t>”).</w:t>
      </w:r>
    </w:p>
  </w:footnote>
  <w:footnote w:id="5">
    <w:p w:rsidR="007601CE" w:rsidRPr="002F6CC1" w:rsidP="007601CE" w14:paraId="3B21A250" w14:textId="77777777">
      <w:pPr>
        <w:pStyle w:val="FootnoteText"/>
        <w:rPr>
          <w:color w:val="000000"/>
        </w:rPr>
      </w:pPr>
      <w:r w:rsidRPr="002F6CC1">
        <w:rPr>
          <w:rStyle w:val="FootnoteReference"/>
        </w:rPr>
        <w:footnoteRef/>
      </w:r>
      <w:r w:rsidRPr="002F6CC1">
        <w:t xml:space="preserve"> </w:t>
      </w:r>
      <w:bookmarkStart w:id="0" w:name="_Hlk514778841"/>
      <w:r w:rsidRPr="002F6CC1">
        <w:rPr>
          <w:i/>
        </w:rPr>
        <w:t>Phase II Auction Order</w:t>
      </w:r>
      <w:r w:rsidRPr="002F6CC1">
        <w:t xml:space="preserve">, 31 FCC </w:t>
      </w:r>
      <w:r w:rsidRPr="002F6CC1">
        <w:t>Rcd</w:t>
      </w:r>
      <w:r w:rsidRPr="002F6CC1">
        <w:t xml:space="preserve"> at 5964, 5966, </w:t>
      </w:r>
      <w:r w:rsidRPr="002F6CC1">
        <w:rPr>
          <w:color w:val="000000"/>
        </w:rPr>
        <w:t>paras. 40, 46</w:t>
      </w:r>
      <w:r w:rsidRPr="002F6CC1">
        <w:t xml:space="preserve">; </w:t>
      </w:r>
      <w:r w:rsidRPr="002F6CC1">
        <w:rPr>
          <w:color w:val="000000"/>
        </w:rPr>
        <w:t>CostQuest</w:t>
      </w:r>
      <w:r w:rsidRPr="002F6CC1">
        <w:rPr>
          <w:color w:val="000000"/>
        </w:rPr>
        <w:t xml:space="preserve"> Associates, Inc., Connect America Cost Model: Model Methodology 12-15 (Dec. 22, 2014), https://transition.fcc.gov/wcb/CAM v.4.2 Methodology.pdf.</w:t>
      </w:r>
      <w:bookmarkEnd w:id="0"/>
    </w:p>
  </w:footnote>
  <w:footnote w:id="6">
    <w:p w:rsidR="007601CE" w:rsidRPr="002F6CC1" w:rsidP="007601CE" w14:paraId="145C9EB2" w14:textId="77777777">
      <w:pPr>
        <w:pStyle w:val="FootnoteText"/>
      </w:pPr>
      <w:r w:rsidRPr="002F6CC1">
        <w:rPr>
          <w:rStyle w:val="FootnoteReference"/>
        </w:rPr>
        <w:footnoteRef/>
      </w:r>
      <w:r w:rsidRPr="002F6CC1">
        <w:t xml:space="preserve"> </w:t>
      </w:r>
      <w:r w:rsidRPr="002F6CC1">
        <w:rPr>
          <w:i/>
        </w:rPr>
        <w:t>Phase II Auction Order</w:t>
      </w:r>
      <w:r w:rsidRPr="002F6CC1">
        <w:t xml:space="preserve">, 31 FCC </w:t>
      </w:r>
      <w:r w:rsidRPr="002F6CC1">
        <w:t>Rcd</w:t>
      </w:r>
      <w:r w:rsidRPr="002F6CC1">
        <w:t xml:space="preserve"> at 5964, 5966, </w:t>
      </w:r>
      <w:r w:rsidRPr="002F6CC1">
        <w:rPr>
          <w:color w:val="000000"/>
        </w:rPr>
        <w:t>paras. 40</w:t>
      </w:r>
      <w:r>
        <w:rPr>
          <w:color w:val="000000"/>
        </w:rPr>
        <w:t>-41</w:t>
      </w:r>
      <w:r w:rsidRPr="002F6CC1">
        <w:rPr>
          <w:color w:val="000000"/>
        </w:rPr>
        <w:t>, 46</w:t>
      </w:r>
      <w:r>
        <w:rPr>
          <w:color w:val="000000"/>
        </w:rPr>
        <w:t xml:space="preserve">; </w:t>
      </w:r>
      <w:r w:rsidRPr="00D63E03">
        <w:t xml:space="preserve">47 CFR § 54.310.  Specifically, all </w:t>
      </w:r>
      <w:r>
        <w:t>CAF Phase II auction</w:t>
      </w:r>
      <w:r w:rsidRPr="00D63E03">
        <w:t xml:space="preserve"> support recipients </w:t>
      </w:r>
      <w:r>
        <w:t>must deploy</w:t>
      </w:r>
      <w:r w:rsidRPr="00D63E03">
        <w:t xml:space="preserve"> </w:t>
      </w:r>
      <w:r>
        <w:t xml:space="preserve">service </w:t>
      </w:r>
      <w:r w:rsidRPr="00D63E03">
        <w:t xml:space="preserve">to 40% of the requisite number of locations in a state by December 31, 2022; 60% by December 31, 2023; 80% by December 31, 2024; and 100% by December 31, 2025.  </w:t>
      </w:r>
      <w:r w:rsidRPr="00D63E03">
        <w:rPr>
          <w:i/>
          <w:iCs/>
        </w:rPr>
        <w:t>Phase II Auction Order</w:t>
      </w:r>
      <w:r w:rsidRPr="00D63E03">
        <w:t xml:space="preserve">, 31 FCC </w:t>
      </w:r>
      <w:r w:rsidRPr="00D63E03">
        <w:t>Rcd</w:t>
      </w:r>
      <w:r w:rsidRPr="00D63E03">
        <w:t xml:space="preserve"> at 5964, paras. 40-41; </w:t>
      </w:r>
      <w:r w:rsidRPr="00D63E03">
        <w:rPr>
          <w:i/>
          <w:iCs/>
        </w:rPr>
        <w:t>Connect America Fund et al</w:t>
      </w:r>
      <w:r w:rsidRPr="00D63E03">
        <w:t xml:space="preserve">., WC Docket No. 10-90 et al., Order, 35 FCC </w:t>
      </w:r>
      <w:r w:rsidRPr="00D63E03">
        <w:t>Rcd</w:t>
      </w:r>
      <w:r w:rsidRPr="00D63E03">
        <w:t xml:space="preserve"> 109</w:t>
      </w:r>
      <w:r>
        <w:t xml:space="preserve">, 112, para. 9 </w:t>
      </w:r>
      <w:r w:rsidRPr="00D63E03">
        <w:t>(WCB 2020)</w:t>
      </w:r>
      <w:r>
        <w:t xml:space="preserve"> (waiving rule requirements basing milestone dates on date of authorization and </w:t>
      </w:r>
      <w:r w:rsidRPr="003A6661">
        <w:t>align</w:t>
      </w:r>
      <w:r>
        <w:t>ing</w:t>
      </w:r>
      <w:r w:rsidRPr="003A6661">
        <w:t xml:space="preserve"> </w:t>
      </w:r>
      <w:r>
        <w:t xml:space="preserve">service milestones for all </w:t>
      </w:r>
      <w:r w:rsidRPr="003A6661">
        <w:t xml:space="preserve">authorized </w:t>
      </w:r>
      <w:r>
        <w:t>CAF</w:t>
      </w:r>
      <w:r w:rsidRPr="003A6661">
        <w:t xml:space="preserve"> Phase II auction support recipients</w:t>
      </w:r>
      <w:r>
        <w:t>).</w:t>
      </w:r>
    </w:p>
  </w:footnote>
  <w:footnote w:id="7">
    <w:p w:rsidR="007601CE" w:rsidRPr="002F6CC1" w:rsidP="007601CE" w14:paraId="4040DF04" w14:textId="77777777">
      <w:pPr>
        <w:pStyle w:val="FootnoteText"/>
      </w:pPr>
      <w:r w:rsidRPr="002F6CC1">
        <w:rPr>
          <w:rStyle w:val="FootnoteReference"/>
        </w:rPr>
        <w:footnoteRef/>
      </w:r>
      <w:r w:rsidRPr="002F6CC1">
        <w:t xml:space="preserve"> </w:t>
      </w:r>
      <w:r w:rsidRPr="002F6CC1">
        <w:rPr>
          <w:i/>
        </w:rPr>
        <w:t>Phase II Auction Order</w:t>
      </w:r>
      <w:r w:rsidRPr="002F6CC1">
        <w:t xml:space="preserve">, 31 FCC </w:t>
      </w:r>
      <w:r w:rsidRPr="002F6CC1">
        <w:t>Rcd</w:t>
      </w:r>
      <w:r w:rsidRPr="002F6CC1">
        <w:rPr>
          <w:i/>
          <w:iCs/>
        </w:rPr>
        <w:t xml:space="preserve"> </w:t>
      </w:r>
      <w:r w:rsidRPr="002F6CC1">
        <w:t xml:space="preserve">at 5965-66, paras. 44-47.  To the extent that a support recipient chooses to avail itself of this 5% flexibility, the recipient must refund support, on a per location basis, as determined through one-half the average support for the top 5% of the highest cost funded locations nationwide.  </w:t>
      </w:r>
      <w:r w:rsidRPr="002F6CC1">
        <w:rPr>
          <w:i/>
          <w:iCs/>
        </w:rPr>
        <w:t>Id</w:t>
      </w:r>
      <w:r w:rsidRPr="002F6CC1">
        <w:t>. at 5966, para. 45.</w:t>
      </w:r>
    </w:p>
  </w:footnote>
  <w:footnote w:id="8">
    <w:p w:rsidR="007601CE" w:rsidP="007601CE" w14:paraId="13B879D1" w14:textId="77777777">
      <w:pPr>
        <w:pStyle w:val="FootnoteText"/>
      </w:pPr>
      <w:r>
        <w:rPr>
          <w:rStyle w:val="FootnoteReference"/>
        </w:rPr>
        <w:footnoteRef/>
      </w:r>
      <w:r>
        <w:t xml:space="preserve"> </w:t>
      </w:r>
      <w:r w:rsidRPr="00340869">
        <w:rPr>
          <w:bCs/>
          <w:i/>
          <w:iCs/>
          <w:color w:val="000000"/>
        </w:rPr>
        <w:t>Connect America Fund et al</w:t>
      </w:r>
      <w:r w:rsidRPr="00676077">
        <w:rPr>
          <w:bCs/>
          <w:color w:val="000000"/>
        </w:rPr>
        <w:t xml:space="preserve">., WC Docket No. 10-90 et al., Report and Order, 29 FCC </w:t>
      </w:r>
      <w:r w:rsidRPr="00676077">
        <w:rPr>
          <w:bCs/>
          <w:color w:val="000000"/>
        </w:rPr>
        <w:t>Rcd</w:t>
      </w:r>
      <w:r w:rsidRPr="00676077">
        <w:rPr>
          <w:bCs/>
          <w:color w:val="000000"/>
        </w:rPr>
        <w:t xml:space="preserve"> 3964, 4031-32, para. 159 (WCB 2014) </w:t>
      </w:r>
      <w:r>
        <w:rPr>
          <w:bCs/>
          <w:color w:val="000000"/>
        </w:rPr>
        <w:t>(</w:t>
      </w:r>
      <w:r w:rsidRPr="0003664E">
        <w:rPr>
          <w:bCs/>
          <w:i/>
          <w:iCs/>
          <w:color w:val="000000"/>
        </w:rPr>
        <w:t>CAM Inputs Order</w:t>
      </w:r>
      <w:r>
        <w:rPr>
          <w:bCs/>
          <w:color w:val="000000"/>
        </w:rPr>
        <w:t xml:space="preserve">) </w:t>
      </w:r>
      <w:r w:rsidRPr="00676077">
        <w:rPr>
          <w:bCs/>
          <w:color w:val="000000"/>
        </w:rPr>
        <w:t>(excluding the costs of extending fiber to community anchor locations from cost-to-serve calculations, and excluding the locations served by enterprise services from “the unitization of the total middle mile cost of a census block to avoid location counts that are a mixture of residences and small businesses intermingled with enterprise locations”);</w:t>
      </w:r>
      <w:r>
        <w:rPr>
          <w:bCs/>
          <w:color w:val="000000"/>
        </w:rPr>
        <w:t xml:space="preserve"> </w:t>
      </w:r>
      <w:r w:rsidRPr="00340869">
        <w:rPr>
          <w:bCs/>
          <w:i/>
          <w:iCs/>
          <w:color w:val="000000"/>
        </w:rPr>
        <w:t>id</w:t>
      </w:r>
      <w:r w:rsidRPr="00676077">
        <w:rPr>
          <w:bCs/>
          <w:color w:val="000000"/>
        </w:rPr>
        <w:t>. at 4032</w:t>
      </w:r>
      <w:r>
        <w:rPr>
          <w:bCs/>
          <w:color w:val="000000"/>
        </w:rPr>
        <w:t>,</w:t>
      </w:r>
      <w:r w:rsidRPr="00676077">
        <w:rPr>
          <w:bCs/>
          <w:color w:val="000000"/>
        </w:rPr>
        <w:t xml:space="preserve"> n.458 (explaining that “[w]hen the total middle mile cost of serving the census block is divided by all locations passed, the locations passed only include residential as well as those business locations assumed to receive the same type of voice and broadband services as residential customers</w:t>
      </w:r>
      <w:r w:rsidRPr="0090004F">
        <w:rPr>
          <w:bCs/>
          <w:color w:val="000000"/>
        </w:rPr>
        <w:t>”)</w:t>
      </w:r>
      <w:r>
        <w:rPr>
          <w:bCs/>
          <w:color w:val="000000"/>
        </w:rPr>
        <w:t>.</w:t>
      </w:r>
    </w:p>
  </w:footnote>
  <w:footnote w:id="9">
    <w:p w:rsidR="007601CE" w:rsidRPr="002F6CC1" w:rsidP="007601CE" w14:paraId="272606D7" w14:textId="77777777">
      <w:pPr>
        <w:pStyle w:val="FootnoteText"/>
      </w:pPr>
      <w:r w:rsidRPr="002F6CC1">
        <w:rPr>
          <w:rStyle w:val="FootnoteReference"/>
        </w:rPr>
        <w:footnoteRef/>
      </w:r>
      <w:r>
        <w:t xml:space="preserve"> </w:t>
      </w:r>
      <w:r w:rsidRPr="002E014A">
        <w:rPr>
          <w:i/>
          <w:iCs/>
        </w:rPr>
        <w:t>Connect America Fund Phase II Auction Application Review Concludes; Long-Form Applications Made Public</w:t>
      </w:r>
      <w:r>
        <w:t xml:space="preserve">, AU Docket No. 17-182 et al., Public Notice, DA 23-49 (WCB Jan. 19, 2023) (citing “Authorized Auction 903 Long-Form Applicants,” </w:t>
      </w:r>
      <w:hyperlink r:id="rId1" w:history="1">
        <w:r w:rsidRPr="004E4AA2">
          <w:rPr>
            <w:rStyle w:val="Hyperlink"/>
          </w:rPr>
          <w:t>https://www.fcc.gov/auction/903</w:t>
        </w:r>
      </w:hyperlink>
      <w:r>
        <w:t xml:space="preserve"> (under the “Data” tab)).</w:t>
      </w:r>
    </w:p>
  </w:footnote>
  <w:footnote w:id="10">
    <w:p w:rsidR="007601CE" w:rsidRPr="002F6CC1" w:rsidP="007601CE" w14:paraId="78E13D9E" w14:textId="77777777">
      <w:pPr>
        <w:pStyle w:val="FootnoteText"/>
        <w:rPr>
          <w:color w:val="000000"/>
        </w:rPr>
      </w:pPr>
      <w:r w:rsidRPr="002F6CC1">
        <w:rPr>
          <w:rStyle w:val="FootnoteReference"/>
        </w:rPr>
        <w:footnoteRef/>
      </w:r>
      <w:r w:rsidRPr="002F6CC1">
        <w:t xml:space="preserve"> </w:t>
      </w:r>
      <w:bookmarkStart w:id="2" w:name="_Hlk516047547"/>
      <w:r w:rsidRPr="002F6CC1">
        <w:rPr>
          <w:i/>
          <w:color w:val="000000"/>
        </w:rPr>
        <w:t>Connect America Fund et al</w:t>
      </w:r>
      <w:r w:rsidRPr="002F6CC1">
        <w:rPr>
          <w:color w:val="000000"/>
        </w:rPr>
        <w:t>., WC Docket No. 10-90 et al.</w:t>
      </w:r>
      <w:r w:rsidRPr="002F6CC1">
        <w:t xml:space="preserve">, Order on Reconsideration, 33 FCC </w:t>
      </w:r>
      <w:r w:rsidRPr="002F6CC1">
        <w:t>Rcd</w:t>
      </w:r>
      <w:r w:rsidRPr="002F6CC1">
        <w:t xml:space="preserve"> 1380, 1389, para. 22 (2018) (</w:t>
      </w:r>
      <w:r w:rsidRPr="002F6CC1">
        <w:rPr>
          <w:i/>
          <w:iCs/>
        </w:rPr>
        <w:t>Phase II Auction Reconsideration Order</w:t>
      </w:r>
      <w:r w:rsidRPr="002F6CC1">
        <w:t xml:space="preserve">); </w:t>
      </w:r>
      <w:bookmarkEnd w:id="2"/>
      <w:r w:rsidRPr="002F6CC1">
        <w:rPr>
          <w:i/>
        </w:rPr>
        <w:t>see also</w:t>
      </w:r>
      <w:r w:rsidRPr="002F6CC1">
        <w:t xml:space="preserve"> </w:t>
      </w:r>
      <w:r w:rsidRPr="002F6CC1">
        <w:rPr>
          <w:color w:val="000000"/>
        </w:rPr>
        <w:t>Request for Clarification or Partial Reconsideration of Southern Tier Wireless, Inc., WC Docket No. 10-90 et al., at 4</w:t>
      </w:r>
      <w:r>
        <w:rPr>
          <w:color w:val="000000"/>
        </w:rPr>
        <w:t>-5</w:t>
      </w:r>
      <w:r w:rsidRPr="002F6CC1">
        <w:rPr>
          <w:color w:val="000000"/>
        </w:rPr>
        <w:t xml:space="preserve"> (filed July 20, 2016)</w:t>
      </w:r>
      <w:r w:rsidRPr="002F6CC1">
        <w:t xml:space="preserve">; </w:t>
      </w:r>
      <w:r w:rsidRPr="002F6CC1">
        <w:rPr>
          <w:color w:val="000000"/>
        </w:rPr>
        <w:t xml:space="preserve">Petition for Reconsideration of Broad Valley Micro Fiber Networks, Inc., WC Docket No. 10-90 et al., at </w:t>
      </w:r>
      <w:r>
        <w:rPr>
          <w:color w:val="000000"/>
        </w:rPr>
        <w:t>3</w:t>
      </w:r>
      <w:r w:rsidRPr="002F6CC1">
        <w:rPr>
          <w:color w:val="000000"/>
        </w:rPr>
        <w:t xml:space="preserve"> (filed July 20, 2016); Petition for Clarification or Reconsideration of Crocker Telecommunications, LLC, WC Docket No. 10-90 et al., at </w:t>
      </w:r>
      <w:r>
        <w:rPr>
          <w:color w:val="000000"/>
        </w:rPr>
        <w:t>3-4</w:t>
      </w:r>
      <w:r w:rsidRPr="002F6CC1">
        <w:rPr>
          <w:color w:val="000000"/>
        </w:rPr>
        <w:t xml:space="preserve"> (filed July 18, 2016).</w:t>
      </w:r>
    </w:p>
  </w:footnote>
  <w:footnote w:id="11">
    <w:p w:rsidR="007601CE" w:rsidRPr="002F6CC1" w:rsidP="007601CE" w14:paraId="7405DC98" w14:textId="77777777">
      <w:pPr>
        <w:pStyle w:val="FootnoteText"/>
      </w:pPr>
      <w:r w:rsidRPr="002F6CC1">
        <w:rPr>
          <w:rStyle w:val="FootnoteReference"/>
        </w:rPr>
        <w:footnoteRef/>
      </w:r>
      <w:r w:rsidRPr="002F6CC1">
        <w:t xml:space="preserve"> </w:t>
      </w:r>
      <w:r w:rsidRPr="002F6CC1">
        <w:rPr>
          <w:i/>
          <w:color w:val="000000"/>
        </w:rPr>
        <w:t xml:space="preserve">Phase II Auction Reconsideration Order, </w:t>
      </w:r>
      <w:r w:rsidRPr="002F6CC1">
        <w:rPr>
          <w:color w:val="000000"/>
        </w:rPr>
        <w:t xml:space="preserve">33 FCC </w:t>
      </w:r>
      <w:r w:rsidRPr="002F6CC1">
        <w:rPr>
          <w:color w:val="000000"/>
        </w:rPr>
        <w:t>Rcd</w:t>
      </w:r>
      <w:r w:rsidRPr="002F6CC1">
        <w:rPr>
          <w:i/>
          <w:color w:val="000000"/>
        </w:rPr>
        <w:t xml:space="preserve"> </w:t>
      </w:r>
      <w:r w:rsidRPr="002F6CC1">
        <w:t xml:space="preserve">at </w:t>
      </w:r>
      <w:r w:rsidRPr="002F6CC1">
        <w:rPr>
          <w:bCs/>
          <w:color w:val="000000"/>
        </w:rPr>
        <w:t>1389, para. 22.</w:t>
      </w:r>
    </w:p>
  </w:footnote>
  <w:footnote w:id="12">
    <w:p w:rsidR="007601CE" w:rsidRPr="002F6CC1" w:rsidP="007601CE" w14:paraId="1FEC9959" w14:textId="77777777">
      <w:pPr>
        <w:pStyle w:val="FootnoteText"/>
        <w:rPr>
          <w:color w:val="000000"/>
        </w:rPr>
      </w:pPr>
      <w:r w:rsidRPr="002F6CC1">
        <w:rPr>
          <w:rStyle w:val="FootnoteReference"/>
        </w:rPr>
        <w:footnoteRef/>
      </w:r>
      <w:r w:rsidRPr="002F6CC1">
        <w:t xml:space="preserve"> </w:t>
      </w:r>
      <w:r w:rsidRPr="002F6CC1">
        <w:rPr>
          <w:i/>
          <w:color w:val="000000"/>
        </w:rPr>
        <w:t xml:space="preserve">Id. </w:t>
      </w:r>
      <w:r w:rsidRPr="002F6CC1">
        <w:rPr>
          <w:color w:val="000000"/>
        </w:rPr>
        <w:t>at 1389-90, paras. 23, 25-26.</w:t>
      </w:r>
      <w:r>
        <w:rPr>
          <w:color w:val="000000"/>
        </w:rPr>
        <w:t xml:space="preserve">  In creating this process, the Commission explained its intent to “prevent any cherry picking that might occur if support recipients only identify the easiest-to-serve locations and ignore harder-to-serve locations.”  </w:t>
      </w:r>
      <w:r w:rsidRPr="00141374">
        <w:rPr>
          <w:i/>
          <w:iCs/>
          <w:color w:val="000000"/>
        </w:rPr>
        <w:t>Id.</w:t>
      </w:r>
      <w:r>
        <w:rPr>
          <w:color w:val="000000"/>
        </w:rPr>
        <w:t xml:space="preserve"> at 1390, para. 25.</w:t>
      </w:r>
    </w:p>
  </w:footnote>
  <w:footnote w:id="13">
    <w:p w:rsidR="007601CE" w:rsidRPr="00B6202A" w:rsidP="007601CE" w14:paraId="52C3B4FC" w14:textId="77777777">
      <w:pPr>
        <w:pStyle w:val="FootnoteText"/>
      </w:pPr>
      <w:r w:rsidRPr="00B6202A">
        <w:rPr>
          <w:rStyle w:val="FootnoteReference"/>
        </w:rPr>
        <w:footnoteRef/>
      </w:r>
      <w:r w:rsidRPr="00B6202A">
        <w:t xml:space="preserve"> </w:t>
      </w:r>
      <w:r w:rsidRPr="00B6202A">
        <w:rPr>
          <w:i/>
        </w:rPr>
        <w:t>Id</w:t>
      </w:r>
      <w:r w:rsidRPr="00B6202A">
        <w:t>. at 1389, para. 24</w:t>
      </w:r>
      <w:r>
        <w:t xml:space="preserve"> &amp;</w:t>
      </w:r>
      <w:r w:rsidRPr="00B6202A">
        <w:t xml:space="preserve"> n.62 (explaining that the “new support amount in the state would be reduced by (total state support/model locations) x number of deficient locations”).</w:t>
      </w:r>
    </w:p>
  </w:footnote>
  <w:footnote w:id="14">
    <w:p w:rsidR="007601CE" w:rsidRPr="00B6202A" w:rsidP="007601CE" w14:paraId="39031697" w14:textId="77777777">
      <w:pPr>
        <w:pStyle w:val="FootnoteText"/>
      </w:pPr>
      <w:r w:rsidRPr="00B6202A">
        <w:rPr>
          <w:rStyle w:val="FootnoteReference"/>
        </w:rPr>
        <w:footnoteRef/>
      </w:r>
      <w:r w:rsidRPr="00B6202A">
        <w:t xml:space="preserve"> </w:t>
      </w:r>
      <w:r w:rsidRPr="00B6202A">
        <w:rPr>
          <w:i/>
        </w:rPr>
        <w:t>Id</w:t>
      </w:r>
      <w:r w:rsidRPr="00B6202A">
        <w:t>. at 1389, para. 23.</w:t>
      </w:r>
      <w:r>
        <w:t xml:space="preserve">  In the </w:t>
      </w:r>
      <w:r w:rsidRPr="009F672A">
        <w:rPr>
          <w:i/>
          <w:iCs/>
        </w:rPr>
        <w:t>Locations Adjustment Order</w:t>
      </w:r>
      <w:r>
        <w:t xml:space="preserve">, the Bureau determined that the audit process referred to by the Commission would mirror that of the verifications process adopted to confirm deployment to the requisite number of locations and would be limited to the support term plus any additional time necessary to complete verification of the associated deployment information.  </w:t>
      </w:r>
      <w:r w:rsidRPr="009F672A">
        <w:rPr>
          <w:i/>
          <w:iCs/>
        </w:rPr>
        <w:t>See Locations Adjustment Order</w:t>
      </w:r>
      <w:r>
        <w:t xml:space="preserve">, 34 FCC </w:t>
      </w:r>
      <w:r>
        <w:t>Rcd</w:t>
      </w:r>
      <w:r>
        <w:t xml:space="preserve"> at 10411, para. 46.  </w:t>
      </w:r>
    </w:p>
  </w:footnote>
  <w:footnote w:id="15">
    <w:p w:rsidR="007601CE" w:rsidRPr="002F6CC1" w:rsidP="007601CE" w14:paraId="4686800A" w14:textId="77777777">
      <w:pPr>
        <w:pStyle w:val="FootnoteText"/>
      </w:pPr>
      <w:r w:rsidRPr="002F6CC1">
        <w:rPr>
          <w:rStyle w:val="FootnoteReference"/>
        </w:rPr>
        <w:footnoteRef/>
      </w:r>
      <w:r w:rsidRPr="002F6CC1">
        <w:rPr>
          <w:rStyle w:val="FootnoteReference"/>
        </w:rPr>
        <w:t xml:space="preserve"> </w:t>
      </w:r>
      <w:r w:rsidRPr="002D71A2">
        <w:rPr>
          <w:i/>
        </w:rPr>
        <w:t>Phase II Auction Reconsideration Order</w:t>
      </w:r>
      <w:r w:rsidRPr="00FF6114">
        <w:t xml:space="preserve">, 33 FCC </w:t>
      </w:r>
      <w:r w:rsidRPr="00FF6114">
        <w:t>Rcd</w:t>
      </w:r>
      <w:r w:rsidRPr="00FF6114">
        <w:t xml:space="preserve"> at </w:t>
      </w:r>
      <w:r w:rsidRPr="002F6CC1">
        <w:t>1389, para. 24 (directing the Bureau “to implement this process, consistent with our prior direction to the Bureau concerning model location adjustments” and to “set the parameters of this review process, set the parameters for the audits, and adopt any other necessary implementation details”)</w:t>
      </w:r>
      <w:r>
        <w:t>.</w:t>
      </w:r>
    </w:p>
  </w:footnote>
  <w:footnote w:id="16">
    <w:p w:rsidR="007601CE" w:rsidRPr="002F6CC1" w:rsidP="007601CE" w14:paraId="30EAC9AA" w14:textId="77777777">
      <w:pPr>
        <w:pStyle w:val="FootnoteText"/>
      </w:pPr>
      <w:r w:rsidRPr="002F6CC1">
        <w:rPr>
          <w:rStyle w:val="FootnoteReference"/>
        </w:rPr>
        <w:footnoteRef/>
      </w:r>
      <w:r w:rsidRPr="002F6CC1">
        <w:t xml:space="preserve"> </w:t>
      </w:r>
      <w:r w:rsidRPr="002F6CC1">
        <w:rPr>
          <w:i/>
        </w:rPr>
        <w:t>Connect America Fund</w:t>
      </w:r>
      <w:r w:rsidRPr="002F6CC1">
        <w:t xml:space="preserve">, WC Docket No. 10-90, Order, 34 FCC </w:t>
      </w:r>
      <w:r w:rsidRPr="002F6CC1">
        <w:t>Rcd</w:t>
      </w:r>
      <w:r w:rsidRPr="002F6CC1">
        <w:t xml:space="preserve"> 10395, 10396-97, paras. 4-5 (2019) (</w:t>
      </w:r>
      <w:r w:rsidRPr="0011122A">
        <w:rPr>
          <w:i/>
          <w:iCs/>
        </w:rPr>
        <w:t xml:space="preserve">Locations Adjustment </w:t>
      </w:r>
      <w:r>
        <w:rPr>
          <w:i/>
          <w:iCs/>
        </w:rPr>
        <w:t>Order</w:t>
      </w:r>
      <w:r w:rsidRPr="002F6CC1">
        <w:rPr>
          <w:color w:val="000000"/>
        </w:rPr>
        <w:t>)</w:t>
      </w:r>
      <w:r w:rsidRPr="002F6CC1">
        <w:t>.</w:t>
      </w:r>
    </w:p>
  </w:footnote>
  <w:footnote w:id="17">
    <w:p w:rsidR="007601CE" w:rsidP="007601CE" w14:paraId="3A4743EB" w14:textId="77777777">
      <w:pPr>
        <w:pStyle w:val="FootnoteText"/>
      </w:pPr>
      <w:r>
        <w:rPr>
          <w:rStyle w:val="FootnoteReference"/>
        </w:rPr>
        <w:footnoteRef/>
      </w:r>
      <w:r>
        <w:t xml:space="preserve"> We note that the location information submitted as part of </w:t>
      </w:r>
      <w:r>
        <w:t>ELAP</w:t>
      </w:r>
      <w:r>
        <w:t xml:space="preserve"> was intended to help the stakeholders and the Bureau evaluate the comprehensiveness of the Participant’s review of actual locations and to facilitate overall adjustments to defined deployment obligations.  </w:t>
      </w:r>
      <w:r>
        <w:t>ELAP</w:t>
      </w:r>
      <w:r>
        <w:t xml:space="preserve"> Participants are free to serve any locations that become qualifying after the </w:t>
      </w:r>
      <w:r>
        <w:t>ELAP</w:t>
      </w:r>
      <w:r>
        <w:t xml:space="preserve"> process in lieu of the reported </w:t>
      </w:r>
      <w:r>
        <w:t>ELAP</w:t>
      </w:r>
      <w:r>
        <w:t xml:space="preserve"> locations.  </w:t>
      </w:r>
      <w:r w:rsidRPr="005238E9">
        <w:rPr>
          <w:i/>
          <w:iCs/>
        </w:rPr>
        <w:t>See Locations Adjustment Order</w:t>
      </w:r>
      <w:r>
        <w:t xml:space="preserve">, 34 FCC </w:t>
      </w:r>
      <w:r>
        <w:t>Rcd</w:t>
      </w:r>
      <w:r>
        <w:t xml:space="preserve"> at 10402-03, para. 21.</w:t>
      </w:r>
    </w:p>
  </w:footnote>
  <w:footnote w:id="18">
    <w:p w:rsidR="007601CE" w:rsidP="007601CE" w14:paraId="5B055AF2" w14:textId="77777777">
      <w:pPr>
        <w:pStyle w:val="FootnoteText"/>
      </w:pPr>
      <w:r>
        <w:rPr>
          <w:rStyle w:val="FootnoteReference"/>
        </w:rPr>
        <w:footnoteRef/>
      </w:r>
      <w:r>
        <w:t xml:space="preserve"> </w:t>
      </w:r>
      <w:r>
        <w:rPr>
          <w:i/>
          <w:iCs/>
        </w:rPr>
        <w:t>Id.</w:t>
      </w:r>
      <w:r w:rsidRPr="00A91B36">
        <w:rPr>
          <w:i/>
        </w:rPr>
        <w:t xml:space="preserve"> </w:t>
      </w:r>
      <w:r>
        <w:t>at 10402-10404, paras. 21-23.</w:t>
      </w:r>
    </w:p>
  </w:footnote>
  <w:footnote w:id="19">
    <w:p w:rsidR="007601CE" w:rsidRPr="00B6202A" w:rsidP="007601CE" w14:paraId="777EE82D" w14:textId="77777777">
      <w:pPr>
        <w:pStyle w:val="FootnoteText"/>
      </w:pPr>
      <w:r w:rsidRPr="00B6202A">
        <w:rPr>
          <w:rStyle w:val="FootnoteReference"/>
        </w:rPr>
        <w:footnoteRef/>
      </w:r>
      <w:r w:rsidRPr="00B6202A">
        <w:t xml:space="preserve"> </w:t>
      </w:r>
      <w:r>
        <w:rPr>
          <w:i/>
        </w:rPr>
        <w:t>Id.</w:t>
      </w:r>
      <w:r>
        <w:t xml:space="preserve">; </w:t>
      </w:r>
      <w:r w:rsidRPr="003D306F">
        <w:rPr>
          <w:i/>
          <w:iCs/>
        </w:rPr>
        <w:t>see also</w:t>
      </w:r>
      <w:r>
        <w:t xml:space="preserve"> </w:t>
      </w:r>
      <w:r w:rsidRPr="00B6202A">
        <w:rPr>
          <w:i/>
        </w:rPr>
        <w:t>Phase II Auction Reconsideration Order</w:t>
      </w:r>
      <w:r w:rsidRPr="00B6202A">
        <w:t xml:space="preserve">, 33 FCC </w:t>
      </w:r>
      <w:r w:rsidRPr="00B6202A">
        <w:t>Rcd</w:t>
      </w:r>
      <w:r w:rsidRPr="00B6202A">
        <w:t xml:space="preserve"> at 1390, para. 25 (declining to permit support applicants to identify additional locations to serve above their required state total with an accompanying increase in support).</w:t>
      </w:r>
      <w:r w:rsidRPr="005E15E5">
        <w:t xml:space="preserve"> </w:t>
      </w:r>
    </w:p>
  </w:footnote>
  <w:footnote w:id="20">
    <w:p w:rsidR="007601CE" w:rsidP="007601CE" w14:paraId="5A9E06A0" w14:textId="77777777">
      <w:pPr>
        <w:pStyle w:val="FootnoteText"/>
      </w:pPr>
      <w:r>
        <w:rPr>
          <w:rStyle w:val="FootnoteReference"/>
        </w:rPr>
        <w:footnoteRef/>
      </w:r>
      <w:r>
        <w:t xml:space="preserve"> </w:t>
      </w:r>
      <w:r w:rsidRPr="002F6CC1">
        <w:rPr>
          <w:i/>
          <w:color w:val="000000"/>
        </w:rPr>
        <w:t xml:space="preserve">Phase II Auction Reconsideration Order, </w:t>
      </w:r>
      <w:r w:rsidRPr="002F6CC1">
        <w:rPr>
          <w:iCs/>
          <w:color w:val="000000"/>
        </w:rPr>
        <w:t xml:space="preserve">33 FCC </w:t>
      </w:r>
      <w:r w:rsidRPr="002F6CC1">
        <w:rPr>
          <w:iCs/>
          <w:color w:val="000000"/>
        </w:rPr>
        <w:t>Rcd</w:t>
      </w:r>
      <w:r w:rsidRPr="002F6CC1">
        <w:rPr>
          <w:iCs/>
          <w:color w:val="000000"/>
        </w:rPr>
        <w:t xml:space="preserve"> at</w:t>
      </w:r>
      <w:r w:rsidRPr="002F6CC1">
        <w:rPr>
          <w:i/>
          <w:color w:val="000000"/>
        </w:rPr>
        <w:t xml:space="preserve"> </w:t>
      </w:r>
      <w:r w:rsidRPr="002F6CC1">
        <w:rPr>
          <w:color w:val="000000"/>
        </w:rPr>
        <w:t>1389-90, paras. 23, 25-26</w:t>
      </w:r>
      <w:r w:rsidRPr="002F6CC1">
        <w:rPr>
          <w:bCs/>
          <w:color w:val="000000"/>
        </w:rPr>
        <w:t xml:space="preserve">; </w:t>
      </w:r>
      <w:r w:rsidRPr="0011122A">
        <w:rPr>
          <w:i/>
          <w:iCs/>
        </w:rPr>
        <w:t xml:space="preserve">Locations Adjustment </w:t>
      </w:r>
      <w:r>
        <w:rPr>
          <w:i/>
          <w:iCs/>
        </w:rPr>
        <w:t>Order</w:t>
      </w:r>
      <w:r w:rsidRPr="002F6CC1">
        <w:rPr>
          <w:bCs/>
          <w:color w:val="000000"/>
        </w:rPr>
        <w:t xml:space="preserve">, 34 FCC </w:t>
      </w:r>
      <w:r w:rsidRPr="002F6CC1">
        <w:rPr>
          <w:bCs/>
          <w:color w:val="000000"/>
        </w:rPr>
        <w:t>Rcd</w:t>
      </w:r>
      <w:r w:rsidRPr="002F6CC1">
        <w:rPr>
          <w:bCs/>
          <w:color w:val="000000"/>
        </w:rPr>
        <w:t xml:space="preserve"> at 10402-</w:t>
      </w:r>
      <w:r>
        <w:rPr>
          <w:bCs/>
          <w:color w:val="000000"/>
        </w:rPr>
        <w:t>10</w:t>
      </w:r>
      <w:r w:rsidRPr="002F6CC1">
        <w:rPr>
          <w:bCs/>
          <w:color w:val="000000"/>
        </w:rPr>
        <w:t>404, paras. 21-23 (defining eligible locations to include prospective as well as qualifying locations)</w:t>
      </w:r>
      <w:r>
        <w:rPr>
          <w:bCs/>
          <w:color w:val="000000"/>
        </w:rPr>
        <w:t xml:space="preserve">.  </w:t>
      </w:r>
    </w:p>
  </w:footnote>
  <w:footnote w:id="21">
    <w:p w:rsidR="007601CE" w:rsidP="007601CE" w14:paraId="7B7100C3" w14:textId="77777777">
      <w:pPr>
        <w:pStyle w:val="FootnoteText"/>
      </w:pPr>
      <w:r>
        <w:rPr>
          <w:rStyle w:val="FootnoteReference"/>
        </w:rPr>
        <w:footnoteRef/>
      </w:r>
      <w:r>
        <w:t xml:space="preserve"> </w:t>
      </w:r>
      <w:r w:rsidRPr="005238E9">
        <w:rPr>
          <w:i/>
          <w:iCs/>
        </w:rPr>
        <w:t>Locations Adjustment Order</w:t>
      </w:r>
      <w:r>
        <w:t xml:space="preserve">, 34 FCC </w:t>
      </w:r>
      <w:r>
        <w:t>Rcd</w:t>
      </w:r>
      <w:r>
        <w:t xml:space="preserve"> at 10401-08, paras. 18-32.</w:t>
      </w:r>
    </w:p>
  </w:footnote>
  <w:footnote w:id="22">
    <w:p w:rsidR="007601CE" w:rsidRPr="0011122A" w:rsidP="007601CE" w14:paraId="39373479" w14:textId="77777777">
      <w:pPr>
        <w:pStyle w:val="FootnoteText"/>
      </w:pPr>
      <w:r w:rsidRPr="0011122A">
        <w:rPr>
          <w:rStyle w:val="FootnoteReference"/>
        </w:rPr>
        <w:footnoteRef/>
      </w:r>
      <w:r w:rsidRPr="0011122A">
        <w:t xml:space="preserve"> </w:t>
      </w:r>
      <w:r w:rsidRPr="00340869">
        <w:rPr>
          <w:i/>
          <w:iCs/>
        </w:rPr>
        <w:t>Wireline Competition Bureau Announces the April 1, 2021 Opening of the Connect America Fund Phase II Auction Eligible Locations Adjustment Process</w:t>
      </w:r>
      <w:r w:rsidRPr="0011122A">
        <w:t xml:space="preserve">, WC Docket 10-90, Public Notice, 36 FCC </w:t>
      </w:r>
      <w:r w:rsidRPr="0011122A">
        <w:t>Rcd</w:t>
      </w:r>
      <w:r w:rsidRPr="0011122A">
        <w:t xml:space="preserve"> 5612 (WCB 2021) (</w:t>
      </w:r>
      <w:r w:rsidRPr="0011122A">
        <w:rPr>
          <w:i/>
          <w:iCs/>
        </w:rPr>
        <w:t>ELAP</w:t>
      </w:r>
      <w:r w:rsidRPr="0011122A">
        <w:rPr>
          <w:i/>
          <w:iCs/>
        </w:rPr>
        <w:t xml:space="preserve"> Participant Window Public Notice</w:t>
      </w:r>
      <w:r w:rsidRPr="005356E9">
        <w:t>);</w:t>
      </w:r>
      <w:r w:rsidRPr="0011122A">
        <w:rPr>
          <w:b/>
          <w:bCs/>
        </w:rPr>
        <w:t xml:space="preserve"> </w:t>
      </w:r>
      <w:r w:rsidRPr="0011122A">
        <w:rPr>
          <w:i/>
          <w:iCs/>
        </w:rPr>
        <w:t xml:space="preserve">Locations Adjustment </w:t>
      </w:r>
      <w:r>
        <w:rPr>
          <w:i/>
          <w:iCs/>
        </w:rPr>
        <w:t>Order</w:t>
      </w:r>
      <w:r w:rsidRPr="0011122A">
        <w:t xml:space="preserve">, 34 FCC </w:t>
      </w:r>
      <w:r w:rsidRPr="0011122A">
        <w:t>Rcd</w:t>
      </w:r>
      <w:r w:rsidRPr="0011122A">
        <w:t xml:space="preserve"> at 10398, para. 8 (stating that the Bureau would provide Participants with at least a three-month timeframe to upload information, correct any errors identified through verification, and certify such information).  </w:t>
      </w:r>
    </w:p>
  </w:footnote>
  <w:footnote w:id="23">
    <w:p w:rsidR="007601CE" w:rsidRPr="004E464E" w:rsidP="007601CE" w14:paraId="15E4D4B6" w14:textId="77777777">
      <w:pPr>
        <w:pStyle w:val="FootnoteText"/>
        <w:rPr>
          <w:color w:val="000000"/>
        </w:rPr>
      </w:pPr>
      <w:r w:rsidRPr="002F6CC1">
        <w:rPr>
          <w:rStyle w:val="FootnoteReference"/>
        </w:rPr>
        <w:footnoteRef/>
      </w:r>
      <w:r>
        <w:t xml:space="preserve"> </w:t>
      </w:r>
      <w:r w:rsidRPr="65761A40">
        <w:rPr>
          <w:color w:val="000000"/>
        </w:rPr>
        <w:t xml:space="preserve">Connect America Fund Phase II Auction (Auction 903), “Summary of Eligible Locations Adjustment Process Prima Facie Participant Location Information by State and Study Area Code,” </w:t>
      </w:r>
      <w:hyperlink r:id="rId1" w:history="1">
        <w:r w:rsidRPr="65761A40">
          <w:rPr>
            <w:rStyle w:val="Hyperlink"/>
          </w:rPr>
          <w:t>https://www.fcc.gov/</w:t>
        </w:r>
        <w:r w:rsidRPr="008B1216">
          <w:rPr>
            <w:rStyle w:val="Hyperlink"/>
            <w:bCs/>
          </w:rPr>
          <w:br/>
        </w:r>
        <w:r w:rsidRPr="65761A40">
          <w:rPr>
            <w:rStyle w:val="Hyperlink"/>
          </w:rPr>
          <w:t>auction/903</w:t>
        </w:r>
      </w:hyperlink>
      <w:r w:rsidRPr="65761A40">
        <w:rPr>
          <w:color w:val="000000"/>
        </w:rPr>
        <w:t xml:space="preserve"> (identifying participants).  We note that this summary originally included an erroneous reference to Cherokee Telephone Company due to an incorrect association of this entity with a SAC identification number assigned to Wisper ISP, Inc., which has been corrected.</w:t>
      </w:r>
    </w:p>
  </w:footnote>
  <w:footnote w:id="24">
    <w:p w:rsidR="007601CE" w:rsidP="007601CE" w14:paraId="06C0F9ED" w14:textId="77777777">
      <w:pPr>
        <w:pStyle w:val="FootnoteText"/>
      </w:pPr>
      <w:r>
        <w:rPr>
          <w:rStyle w:val="FootnoteReference"/>
        </w:rPr>
        <w:footnoteRef/>
      </w:r>
      <w:r>
        <w:t xml:space="preserve"> </w:t>
      </w:r>
      <w:r w:rsidRPr="000C6C79">
        <w:rPr>
          <w:i/>
          <w:iCs/>
        </w:rPr>
        <w:t>WCB Announces CAF Phase II Support Recipients Meeting Standards for Continuing with the Eligible Locations Adjustment Process; the Opening of the Stakeholder Registration Period; Extension of Deadline for Stakeholders to File Challenges; Identification of Potentially Affected Tribal Authorities</w:t>
      </w:r>
      <w:r>
        <w:t xml:space="preserve">, WC Docket No. 10-90, Public Notice, </w:t>
      </w:r>
      <w:r w:rsidRPr="008B07B4">
        <w:t xml:space="preserve">36 FCC </w:t>
      </w:r>
      <w:r w:rsidRPr="008B07B4">
        <w:t>Rcd</w:t>
      </w:r>
      <w:r w:rsidRPr="008B07B4">
        <w:t xml:space="preserve"> 16493</w:t>
      </w:r>
      <w:r>
        <w:t xml:space="preserve">, 16494 (WCB 2021).  </w:t>
      </w:r>
    </w:p>
  </w:footnote>
  <w:footnote w:id="25">
    <w:p w:rsidR="007601CE" w:rsidP="007601CE" w14:paraId="3440A83B" w14:textId="77777777">
      <w:pPr>
        <w:pStyle w:val="FootnoteText"/>
      </w:pPr>
      <w:r>
        <w:rPr>
          <w:rStyle w:val="FootnoteReference"/>
        </w:rPr>
        <w:footnoteRef/>
      </w:r>
      <w:r>
        <w:t xml:space="preserve"> More specifically, the Bureau disclosed to the public the Participant’s name, the SAC where the location sits, the reported type of location (qualifying, nonqualifying, prospective), the geocoordinates of the location, the postal address (or other physical identification of location if postal address is unavailable), and the number of separate dwelling units as relevant, e.g., apartments.  </w:t>
      </w:r>
      <w:r w:rsidRPr="008B7E9A">
        <w:rPr>
          <w:i/>
          <w:iCs/>
        </w:rPr>
        <w:t>Id</w:t>
      </w:r>
      <w:r>
        <w:t>. at 16495.</w:t>
      </w:r>
    </w:p>
  </w:footnote>
  <w:footnote w:id="26">
    <w:p w:rsidR="007601CE" w:rsidRPr="002F6CC1" w:rsidP="007601CE" w14:paraId="2F829C94" w14:textId="77777777">
      <w:pPr>
        <w:pStyle w:val="FootnoteText"/>
      </w:pPr>
      <w:r w:rsidRPr="002F6CC1">
        <w:rPr>
          <w:rStyle w:val="FootnoteReference"/>
        </w:rPr>
        <w:footnoteRef/>
      </w:r>
      <w:r w:rsidRPr="002F6CC1">
        <w:t xml:space="preserve"> </w:t>
      </w:r>
      <w:r>
        <w:t xml:space="preserve">To do so, these stakeholders were required to submit within their own filing window (May 20, 2022 to August 18, 2022), information about the eligible locations that they assert were omitted from Participant’s locations as well as a brief description of their methodology and any supporting evidence.  </w:t>
      </w:r>
      <w:r w:rsidRPr="002F6CC1">
        <w:rPr>
          <w:i/>
          <w:color w:val="000000"/>
        </w:rPr>
        <w:t xml:space="preserve">Phase II Auction Reconsideration Order, </w:t>
      </w:r>
      <w:r w:rsidRPr="002F6CC1">
        <w:rPr>
          <w:iCs/>
          <w:color w:val="000000"/>
        </w:rPr>
        <w:t xml:space="preserve">33 FCC </w:t>
      </w:r>
      <w:r w:rsidRPr="002F6CC1">
        <w:rPr>
          <w:iCs/>
          <w:color w:val="000000"/>
        </w:rPr>
        <w:t>Rcd</w:t>
      </w:r>
      <w:r w:rsidRPr="002F6CC1">
        <w:rPr>
          <w:iCs/>
          <w:color w:val="000000"/>
        </w:rPr>
        <w:t xml:space="preserve"> </w:t>
      </w:r>
      <w:r w:rsidRPr="002F6CC1">
        <w:t xml:space="preserve">at 1390, para. 25; </w:t>
      </w:r>
      <w:r w:rsidRPr="0011122A">
        <w:rPr>
          <w:i/>
          <w:iCs/>
        </w:rPr>
        <w:t xml:space="preserve">Locations Adjustment </w:t>
      </w:r>
      <w:r>
        <w:rPr>
          <w:i/>
          <w:iCs/>
        </w:rPr>
        <w:t>Order</w:t>
      </w:r>
      <w:r w:rsidRPr="002F6CC1">
        <w:t xml:space="preserve">, 34 FCC </w:t>
      </w:r>
      <w:r w:rsidRPr="002F6CC1">
        <w:t>Rcd</w:t>
      </w:r>
      <w:r w:rsidRPr="002F6CC1">
        <w:t xml:space="preserve"> </w:t>
      </w:r>
      <w:r>
        <w:t xml:space="preserve">at </w:t>
      </w:r>
      <w:r w:rsidRPr="002F6CC1">
        <w:t>10399, paras. 11-12</w:t>
      </w:r>
      <w:r>
        <w:t xml:space="preserve">; </w:t>
      </w:r>
      <w:r w:rsidRPr="00193291">
        <w:rPr>
          <w:i/>
          <w:iCs/>
        </w:rPr>
        <w:t>WCB Extends the Eligible Locations Adjustment Process Registration Deadline and Modifies Other Related Deadlines and Procedures</w:t>
      </w:r>
      <w:r>
        <w:t>; WC Docket No. 10-90, Public Notice, DA 22-301, at 2 (WCB Mar. 22, 2022)</w:t>
      </w:r>
      <w:r w:rsidRPr="002F6CC1">
        <w:t>.</w:t>
      </w:r>
    </w:p>
  </w:footnote>
  <w:footnote w:id="27">
    <w:p w:rsidR="007601CE" w:rsidP="007601CE" w14:paraId="40BD95A2" w14:textId="77777777">
      <w:pPr>
        <w:pStyle w:val="FootnoteText"/>
      </w:pPr>
      <w:r>
        <w:rPr>
          <w:rStyle w:val="FootnoteReference"/>
        </w:rPr>
        <w:footnoteRef/>
      </w:r>
      <w:r>
        <w:t xml:space="preserve"> </w:t>
      </w:r>
      <w:r w:rsidRPr="00D36572">
        <w:t xml:space="preserve">If challenges had been filed, challenged Participants would have had </w:t>
      </w:r>
      <w:r>
        <w:t xml:space="preserve">the opportunity to submit replies with </w:t>
      </w:r>
      <w:r w:rsidRPr="00D36572">
        <w:t>additional data and information to oppose specific information in the challenges</w:t>
      </w:r>
      <w:r>
        <w:t xml:space="preserve">.  </w:t>
      </w:r>
      <w:r w:rsidRPr="0011122A">
        <w:rPr>
          <w:i/>
          <w:iCs/>
        </w:rPr>
        <w:t xml:space="preserve">Locations Adjustment </w:t>
      </w:r>
      <w:r>
        <w:rPr>
          <w:i/>
          <w:iCs/>
        </w:rPr>
        <w:t>Order</w:t>
      </w:r>
      <w:r w:rsidRPr="002F6CC1">
        <w:t xml:space="preserve">, 34 FCC </w:t>
      </w:r>
      <w:r w:rsidRPr="002F6CC1">
        <w:t>Rcd</w:t>
      </w:r>
      <w:r w:rsidRPr="002F6CC1">
        <w:t xml:space="preserve"> </w:t>
      </w:r>
      <w:r>
        <w:t xml:space="preserve">at </w:t>
      </w:r>
      <w:r w:rsidRPr="002F6CC1">
        <w:t>10399</w:t>
      </w:r>
      <w:r>
        <w:t>-40</w:t>
      </w:r>
      <w:r w:rsidRPr="002F6CC1">
        <w:t>, para</w:t>
      </w:r>
      <w:r>
        <w:t xml:space="preserve">s. 13-14; </w:t>
      </w:r>
      <w:r w:rsidRPr="007906C5">
        <w:rPr>
          <w:i/>
          <w:iCs/>
        </w:rPr>
        <w:t xml:space="preserve">Wireline Competition Bureau Announces the August 23, 2022 Opening of the </w:t>
      </w:r>
      <w:r w:rsidRPr="007906C5">
        <w:rPr>
          <w:i/>
          <w:iCs/>
        </w:rPr>
        <w:t>ELAP</w:t>
      </w:r>
      <w:r w:rsidRPr="007906C5">
        <w:rPr>
          <w:i/>
          <w:iCs/>
        </w:rPr>
        <w:t xml:space="preserve"> Participant Reply Filing Window</w:t>
      </w:r>
      <w:r>
        <w:t xml:space="preserve">, WC Docket No. 10-90, Public Notice, DA 22-816 (WCB Aug. 10, 2022).  </w:t>
      </w:r>
    </w:p>
  </w:footnote>
  <w:footnote w:id="28">
    <w:p w:rsidR="007601CE" w:rsidP="007601CE" w14:paraId="442246B6" w14:textId="77777777">
      <w:pPr>
        <w:pStyle w:val="FootnoteText"/>
      </w:pPr>
      <w:r>
        <w:rPr>
          <w:rStyle w:val="FootnoteReference"/>
        </w:rPr>
        <w:footnoteRef/>
      </w:r>
      <w:r>
        <w:t xml:space="preserve"> We requested that these Participants withdraw from the process.  More specifically, the following carrier/SAC combinations were withdrawn:  </w:t>
      </w:r>
      <w:r w:rsidRPr="00B35D27">
        <w:t>AMG Technology Inc.</w:t>
      </w:r>
      <w:r w:rsidRPr="00141374">
        <w:t xml:space="preserve"> (AMG) </w:t>
      </w:r>
      <w:r w:rsidRPr="00B35D27">
        <w:t>(</w:t>
      </w:r>
      <w:r w:rsidRPr="00B35D27">
        <w:t>SACs</w:t>
      </w:r>
      <w:r w:rsidRPr="00B35D27">
        <w:t xml:space="preserve"> 379035, 449089</w:t>
      </w:r>
      <w:r>
        <w:t>), Co-Mo Comm, Inc.</w:t>
      </w:r>
      <w:r w:rsidRPr="00B35D27">
        <w:t xml:space="preserve"> (429038), Verizon South LLC (SAC 190479), and Wisper ISP, Inc. (SAC 419047).</w:t>
      </w:r>
    </w:p>
  </w:footnote>
  <w:footnote w:id="29">
    <w:p w:rsidR="007601CE" w:rsidRPr="002F6CC1" w:rsidP="007601CE" w14:paraId="71FF8C4E" w14:textId="77777777">
      <w:pPr>
        <w:pStyle w:val="FootnoteText"/>
      </w:pPr>
      <w:r w:rsidRPr="002F6CC1">
        <w:rPr>
          <w:rStyle w:val="FootnoteReference"/>
        </w:rPr>
        <w:footnoteRef/>
      </w:r>
      <w:r w:rsidRPr="002F6CC1">
        <w:t xml:space="preserve"> </w:t>
      </w:r>
      <w:r w:rsidRPr="002F6CC1">
        <w:rPr>
          <w:i/>
          <w:color w:val="000000"/>
        </w:rPr>
        <w:t xml:space="preserve">Phase II Auction Reconsideration Order, </w:t>
      </w:r>
      <w:r w:rsidRPr="002F6CC1">
        <w:rPr>
          <w:iCs/>
          <w:color w:val="000000"/>
        </w:rPr>
        <w:t xml:space="preserve">33 FCC </w:t>
      </w:r>
      <w:r w:rsidRPr="002F6CC1">
        <w:rPr>
          <w:iCs/>
          <w:color w:val="000000"/>
        </w:rPr>
        <w:t>Rcd</w:t>
      </w:r>
      <w:r w:rsidRPr="002F6CC1">
        <w:rPr>
          <w:iCs/>
          <w:color w:val="000000"/>
        </w:rPr>
        <w:t xml:space="preserve"> at</w:t>
      </w:r>
      <w:r>
        <w:rPr>
          <w:iCs/>
          <w:color w:val="000000"/>
        </w:rPr>
        <w:t xml:space="preserve"> 1389</w:t>
      </w:r>
      <w:r>
        <w:t xml:space="preserve"> para. 24; </w:t>
      </w:r>
      <w:r w:rsidRPr="0011122A">
        <w:rPr>
          <w:i/>
          <w:iCs/>
        </w:rPr>
        <w:t xml:space="preserve">Locations Adjustment </w:t>
      </w:r>
      <w:r>
        <w:rPr>
          <w:i/>
          <w:iCs/>
        </w:rPr>
        <w:t>Order</w:t>
      </w:r>
      <w:r w:rsidRPr="002F6CC1">
        <w:t>, 34 FCC</w:t>
      </w:r>
      <w:r>
        <w:t xml:space="preserve"> </w:t>
      </w:r>
      <w:r>
        <w:t>Rcd</w:t>
      </w:r>
      <w:r w:rsidRPr="002F6CC1">
        <w:t xml:space="preserve"> at 10400-</w:t>
      </w:r>
      <w:r>
        <w:t>104</w:t>
      </w:r>
      <w:r w:rsidRPr="002F6CC1">
        <w:t>01, paras. 15-17.</w:t>
      </w:r>
      <w:r>
        <w:t xml:space="preserve">  </w:t>
      </w:r>
    </w:p>
  </w:footnote>
  <w:footnote w:id="30">
    <w:p w:rsidR="007601CE" w:rsidP="007601CE" w14:paraId="73B68485" w14:textId="77777777">
      <w:pPr>
        <w:pStyle w:val="FootnoteText"/>
      </w:pPr>
      <w:r>
        <w:rPr>
          <w:rStyle w:val="FootnoteReference"/>
        </w:rPr>
        <w:footnoteRef/>
      </w:r>
      <w:r>
        <w:t xml:space="preserve"> </w:t>
      </w:r>
      <w:r w:rsidRPr="005238E9">
        <w:rPr>
          <w:i/>
          <w:iCs/>
        </w:rPr>
        <w:t>Locations Adjustment Order</w:t>
      </w:r>
      <w:r>
        <w:t xml:space="preserve">, 34 FCC </w:t>
      </w:r>
      <w:r>
        <w:t>Rcd</w:t>
      </w:r>
      <w:r>
        <w:t xml:space="preserve"> at 10400, para. 15.</w:t>
      </w:r>
    </w:p>
  </w:footnote>
  <w:footnote w:id="31">
    <w:p w:rsidR="007601CE" w:rsidP="007601CE" w14:paraId="772F7800" w14:textId="77777777">
      <w:pPr>
        <w:pStyle w:val="FootnoteText"/>
      </w:pPr>
      <w:r>
        <w:rPr>
          <w:rStyle w:val="FootnoteReference"/>
        </w:rPr>
        <w:footnoteRef/>
      </w:r>
      <w:r>
        <w:t xml:space="preserve"> </w:t>
      </w:r>
      <w:r>
        <w:rPr>
          <w:i/>
          <w:iCs/>
        </w:rPr>
        <w:t>Id.</w:t>
      </w:r>
      <w:r w:rsidRPr="002F6CC1">
        <w:t xml:space="preserve"> at</w:t>
      </w:r>
      <w:r>
        <w:t xml:space="preserve"> 10400, para. 15.</w:t>
      </w:r>
    </w:p>
  </w:footnote>
  <w:footnote w:id="32">
    <w:p w:rsidR="007601CE" w:rsidRPr="00A544F4" w:rsidP="007601CE" w14:paraId="58353D78" w14:textId="77777777">
      <w:pPr>
        <w:pStyle w:val="FootnoteText"/>
      </w:pPr>
      <w:r w:rsidRPr="00A544F4">
        <w:rPr>
          <w:rStyle w:val="FootnoteReference"/>
        </w:rPr>
        <w:footnoteRef/>
      </w:r>
      <w:r w:rsidRPr="00A544F4">
        <w:t xml:space="preserve"> Geolocation information for locations reported into the HUBB toward satisfaction of defined deployment obligations is available on the CAF Broadband Map, </w:t>
      </w:r>
      <w:hyperlink r:id="rId2" w:history="1">
        <w:r w:rsidRPr="00F40793">
          <w:rPr>
            <w:rStyle w:val="Hyperlink"/>
          </w:rPr>
          <w:t>https://data.usac.org/publicreports/caf-map/</w:t>
        </w:r>
      </w:hyperlink>
      <w:r w:rsidRPr="00A544F4">
        <w:t>.  Such locations are displayed on a publicly accessible map that allows for optional overlays, including eligible areas.</w:t>
      </w:r>
    </w:p>
  </w:footnote>
  <w:footnote w:id="33">
    <w:p w:rsidR="007601CE" w:rsidP="007601CE" w14:paraId="0D840D6C" w14:textId="77777777">
      <w:pPr>
        <w:pStyle w:val="FootnoteText"/>
      </w:pPr>
      <w:r>
        <w:rPr>
          <w:rStyle w:val="FootnoteReference"/>
        </w:rPr>
        <w:footnoteRef/>
      </w:r>
      <w:r>
        <w:t xml:space="preserve"> In the </w:t>
      </w:r>
      <w:r w:rsidRPr="002F6CC1">
        <w:rPr>
          <w:i/>
          <w:color w:val="000000"/>
        </w:rPr>
        <w:t xml:space="preserve">Phase II Auction Reconsideration Order, </w:t>
      </w:r>
      <w:r>
        <w:t>the Commission explained that</w:t>
      </w:r>
      <w:r w:rsidRPr="002F6CC1">
        <w:t xml:space="preserve"> the “new support amount in the state would be reduced by (total state support/model locations) x number of deficient locations</w:t>
      </w:r>
      <w:r>
        <w:t xml:space="preserve">.”  </w:t>
      </w:r>
      <w:r w:rsidRPr="00C7049F">
        <w:rPr>
          <w:i/>
          <w:iCs/>
        </w:rPr>
        <w:t>Phase II Auction Reconsideration Order</w:t>
      </w:r>
      <w:r>
        <w:t xml:space="preserve">, </w:t>
      </w:r>
      <w:r w:rsidRPr="002F6CC1">
        <w:rPr>
          <w:iCs/>
          <w:color w:val="000000"/>
        </w:rPr>
        <w:t xml:space="preserve">33 FCC </w:t>
      </w:r>
      <w:r w:rsidRPr="002F6CC1">
        <w:rPr>
          <w:iCs/>
          <w:color w:val="000000"/>
        </w:rPr>
        <w:t>Rcd</w:t>
      </w:r>
      <w:r w:rsidRPr="002F6CC1">
        <w:rPr>
          <w:iCs/>
          <w:color w:val="000000"/>
        </w:rPr>
        <w:t xml:space="preserve"> at</w:t>
      </w:r>
      <w:r>
        <w:rPr>
          <w:iCs/>
          <w:color w:val="000000"/>
        </w:rPr>
        <w:t xml:space="preserve"> </w:t>
      </w:r>
      <w:r w:rsidRPr="002F6CC1">
        <w:t>1389, para. 24</w:t>
      </w:r>
      <w:r>
        <w:t xml:space="preserve">, </w:t>
      </w:r>
      <w:r w:rsidRPr="002F6CC1">
        <w:t>n.62</w:t>
      </w:r>
      <w:r>
        <w:t>.  In total, we have reduced the Participants’ CAF Phase II auction support by over $51 million.</w:t>
      </w:r>
    </w:p>
  </w:footnote>
  <w:footnote w:id="34">
    <w:p w:rsidR="007601CE" w:rsidP="007601CE" w14:paraId="1E03A022" w14:textId="77777777">
      <w:pPr>
        <w:pStyle w:val="FootnoteText"/>
      </w:pPr>
      <w:r>
        <w:rPr>
          <w:rStyle w:val="FootnoteReference"/>
        </w:rPr>
        <w:footnoteRef/>
      </w:r>
      <w:r>
        <w:t xml:space="preserve"> </w:t>
      </w:r>
      <w:r w:rsidRPr="002D71A2">
        <w:t>Three Participants in a total of six states were</w:t>
      </w:r>
      <w:r>
        <w:t xml:space="preserve"> authorized to receive support for multiple performance tiers in a state</w:t>
      </w:r>
      <w:r w:rsidRPr="002D71A2">
        <w:t>.  For each Participant/state combination (six in total),</w:t>
      </w:r>
      <w:r>
        <w:t xml:space="preserve"> we proportionally reduced the Participant’s required number of locations in each tier to maintain the same ratio of locations across all performance tiers under the </w:t>
      </w:r>
      <w:r>
        <w:t>ELAP</w:t>
      </w:r>
      <w:r>
        <w:t xml:space="preserve">-adjusted deployment obligation as authorized under the initial deployment obligation.  </w:t>
      </w:r>
      <w:r w:rsidRPr="00141374">
        <w:rPr>
          <w:i/>
          <w:iCs/>
        </w:rPr>
        <w:t>See</w:t>
      </w:r>
      <w:r>
        <w:t xml:space="preserve"> </w:t>
      </w:r>
      <w:r w:rsidRPr="002F6CC1">
        <w:rPr>
          <w:i/>
        </w:rPr>
        <w:t>Phase II Auction Order</w:t>
      </w:r>
      <w:r w:rsidRPr="002F6CC1">
        <w:t xml:space="preserve">, 31 FCC </w:t>
      </w:r>
      <w:r w:rsidRPr="002F6CC1">
        <w:t>Rcd</w:t>
      </w:r>
      <w:r w:rsidRPr="002F6CC1">
        <w:t xml:space="preserve"> at</w:t>
      </w:r>
      <w:r>
        <w:t xml:space="preserve"> 5956-63, paras. 14-37 (adopting performance tiers for the CAF Phase II auction); “Authorized Auction 903 Long-Form Applicants,” </w:t>
      </w:r>
      <w:hyperlink r:id="rId1" w:history="1">
        <w:r w:rsidRPr="004E4AA2">
          <w:rPr>
            <w:rStyle w:val="Hyperlink"/>
          </w:rPr>
          <w:t>https://www.fcc.gov/auction/903</w:t>
        </w:r>
      </w:hyperlink>
      <w:r>
        <w:t xml:space="preserve"> (under the “Data” tab) (identifying the performance tiers applicable to each authorized recipient).</w:t>
      </w:r>
    </w:p>
  </w:footnote>
  <w:footnote w:id="35">
    <w:p w:rsidR="007601CE" w:rsidP="007601CE" w14:paraId="0C22FF2A" w14:textId="77777777">
      <w:pPr>
        <w:pStyle w:val="FootnoteText"/>
      </w:pPr>
      <w:r>
        <w:rPr>
          <w:rStyle w:val="FootnoteReference"/>
        </w:rPr>
        <w:footnoteRef/>
      </w:r>
      <w:r>
        <w:t xml:space="preserve"> </w:t>
      </w:r>
      <w:r w:rsidRPr="0011122A">
        <w:rPr>
          <w:i/>
          <w:iCs/>
        </w:rPr>
        <w:t xml:space="preserve">Locations Adjustment </w:t>
      </w:r>
      <w:r>
        <w:rPr>
          <w:i/>
          <w:iCs/>
        </w:rPr>
        <w:t>Order</w:t>
      </w:r>
      <w:r w:rsidRPr="002F6CC1">
        <w:t>, 34 FCC</w:t>
      </w:r>
      <w:r>
        <w:t xml:space="preserve"> </w:t>
      </w:r>
      <w:r>
        <w:t>Rcd</w:t>
      </w:r>
      <w:r w:rsidRPr="002F6CC1">
        <w:t xml:space="preserve"> at</w:t>
      </w:r>
      <w:r>
        <w:t xml:space="preserve"> 10401, para. 17.  Participants may adjust the amount secured by their letters of credit according to the applicable rules.  We note that until the end of 2023, the Bureau has waived section 54.315(c) of the Commission’s rules for CAF Phase II auction recipients and directed them to comply with section 54.804(c) of the Commission’s rules with regard to their letter of credit obligations.  </w:t>
      </w:r>
      <w:r w:rsidRPr="003C27D2">
        <w:rPr>
          <w:i/>
          <w:iCs/>
        </w:rPr>
        <w:t>Connect America Fund et al.</w:t>
      </w:r>
      <w:r>
        <w:t xml:space="preserve">, WC Docket No. 10-90 et al., Order, 35 FCC </w:t>
      </w:r>
      <w:r>
        <w:t>Rcd</w:t>
      </w:r>
      <w:r>
        <w:t xml:space="preserve"> 6556 (WCB 2020) (waiving section 54.315(c) until the end of 2021); </w:t>
      </w:r>
      <w:r w:rsidRPr="00EF101B">
        <w:rPr>
          <w:i/>
          <w:iCs/>
        </w:rPr>
        <w:t>Connect America Fund et al.</w:t>
      </w:r>
      <w:r>
        <w:t xml:space="preserve">, WC Docket No. 10-90 et al., Order, 36 FCC </w:t>
      </w:r>
      <w:r>
        <w:t>Rcd</w:t>
      </w:r>
      <w:r>
        <w:t xml:space="preserve"> 16633 (WCB 2021) (extending the waiver until the end of 2022); </w:t>
      </w:r>
      <w:r w:rsidRPr="005238E9">
        <w:rPr>
          <w:i/>
          <w:iCs/>
        </w:rPr>
        <w:t>Connect America Fund et al.</w:t>
      </w:r>
      <w:r>
        <w:t>, WC Docket No. 10-90 et al., Order, DA 22-1304 (WCB Dec. 12, 2022) (extending the waiver until the end of 2023); 47 CFR §§ 54.315(c), 54.804(c).</w:t>
      </w:r>
    </w:p>
  </w:footnote>
  <w:footnote w:id="36">
    <w:p w:rsidR="007601CE" w:rsidP="007601CE" w14:paraId="35A39453" w14:textId="77777777">
      <w:pPr>
        <w:pStyle w:val="FootnoteText"/>
      </w:pPr>
      <w:r>
        <w:rPr>
          <w:rStyle w:val="FootnoteReference"/>
        </w:rPr>
        <w:footnoteRef/>
      </w:r>
      <w:r>
        <w:t xml:space="preserve"> </w:t>
      </w:r>
      <w:r w:rsidRPr="00141374">
        <w:rPr>
          <w:i/>
          <w:iCs/>
        </w:rPr>
        <w:t>Phase II Auction Reconsideration Order</w:t>
      </w:r>
      <w:r>
        <w:t xml:space="preserve">, 33 FCC </w:t>
      </w:r>
      <w:r>
        <w:t>Rcd</w:t>
      </w:r>
      <w:r>
        <w:t xml:space="preserve"> at </w:t>
      </w:r>
      <w:r w:rsidRPr="00B6202A">
        <w:t>1389, para. 23</w:t>
      </w:r>
      <w:r>
        <w:t xml:space="preserve">; </w:t>
      </w:r>
      <w:r w:rsidRPr="0011122A">
        <w:rPr>
          <w:i/>
          <w:iCs/>
        </w:rPr>
        <w:t xml:space="preserve">Locations Adjustment </w:t>
      </w:r>
      <w:r>
        <w:rPr>
          <w:i/>
          <w:iCs/>
        </w:rPr>
        <w:t>Order</w:t>
      </w:r>
      <w:r w:rsidRPr="002F6CC1">
        <w:t>, 34 FCC</w:t>
      </w:r>
      <w:r>
        <w:t xml:space="preserve"> </w:t>
      </w:r>
      <w:r>
        <w:t>Rcd</w:t>
      </w:r>
      <w:r w:rsidRPr="002F6CC1">
        <w:t xml:space="preserve"> </w:t>
      </w:r>
      <w:r w:rsidRPr="003A5B76">
        <w:t>at 10412, para. 4</w:t>
      </w:r>
      <w:r>
        <w:t>9</w:t>
      </w:r>
      <w:r w:rsidRPr="005238E9">
        <w:rPr>
          <w:rFonts w:ascii="TimesNewRomanPSMT" w:hAnsi="TimesNewRomanPSMT" w:cs="TimesNewRomanPSMT"/>
        </w:rPr>
        <w:t>.</w:t>
      </w:r>
      <w:r>
        <w:rPr>
          <w:rFonts w:ascii="TimesNewRomanPSMT" w:hAnsi="TimesNewRomanPSMT" w:cs="TimesNewRomanPSMT"/>
        </w:rPr>
        <w:t xml:space="preserve">  </w:t>
      </w:r>
    </w:p>
  </w:footnote>
  <w:footnote w:id="37">
    <w:p w:rsidR="007601CE" w:rsidP="007601CE" w14:paraId="5F7DF21E" w14:textId="77777777">
      <w:pPr>
        <w:pStyle w:val="FootnoteText"/>
      </w:pPr>
      <w:r>
        <w:rPr>
          <w:rStyle w:val="FootnoteReference"/>
        </w:rPr>
        <w:footnoteRef/>
      </w:r>
      <w:r>
        <w:t xml:space="preserve"> </w:t>
      </w:r>
      <w:r>
        <w:rPr>
          <w:i/>
          <w:iCs/>
        </w:rPr>
        <w:t>Id</w:t>
      </w:r>
      <w:r w:rsidRPr="005238E9">
        <w:rPr>
          <w:rFonts w:ascii="TimesNewRomanPSMT" w:hAnsi="TimesNewRomanPSMT" w:cs="TimesNewRomanPSMT"/>
        </w:rPr>
        <w:t>.</w:t>
      </w:r>
      <w:r>
        <w:rPr>
          <w:rFonts w:ascii="TimesNewRomanPSMT" w:hAnsi="TimesNewRomanPSMT" w:cs="TimesNewRomanPSMT"/>
        </w:rPr>
        <w:t xml:space="preserve">  </w:t>
      </w:r>
    </w:p>
  </w:footnote>
  <w:footnote w:id="38">
    <w:p w:rsidR="007601CE" w:rsidRPr="00340869" w:rsidP="007601CE" w14:paraId="7DBE4B0D" w14:textId="77777777">
      <w:pPr>
        <w:pStyle w:val="FootnoteText"/>
      </w:pPr>
      <w:r>
        <w:rPr>
          <w:rStyle w:val="FootnoteReference"/>
        </w:rPr>
        <w:footnoteRef/>
      </w:r>
      <w:r>
        <w:t xml:space="preserve"> </w:t>
      </w:r>
      <w:r w:rsidRPr="005238E9">
        <w:rPr>
          <w:i/>
          <w:iCs/>
        </w:rPr>
        <w:t xml:space="preserve">See generally, </w:t>
      </w:r>
      <w:r>
        <w:t>Douglas</w:t>
      </w:r>
      <w:r w:rsidRPr="005238E9">
        <w:rPr>
          <w:i/>
          <w:iCs/>
        </w:rPr>
        <w:t xml:space="preserve"> </w:t>
      </w:r>
      <w:r>
        <w:t xml:space="preserve">Services </w:t>
      </w:r>
      <w:r w:rsidRPr="005238E9">
        <w:t>Waiver</w:t>
      </w:r>
      <w:r w:rsidRPr="00340869">
        <w:t xml:space="preserve"> Petition.</w:t>
      </w:r>
    </w:p>
  </w:footnote>
  <w:footnote w:id="39">
    <w:p w:rsidR="007601CE" w:rsidP="007601CE" w14:paraId="08522FFB" w14:textId="77777777">
      <w:pPr>
        <w:pStyle w:val="FootnoteText"/>
      </w:pPr>
      <w:r>
        <w:rPr>
          <w:rStyle w:val="FootnoteReference"/>
        </w:rPr>
        <w:footnoteRef/>
      </w:r>
      <w:r>
        <w:t xml:space="preserve"> </w:t>
      </w:r>
      <w:r w:rsidRPr="005238E9">
        <w:rPr>
          <w:i/>
          <w:iCs/>
        </w:rPr>
        <w:t>Id</w:t>
      </w:r>
      <w:r>
        <w:t>. at 3-4.</w:t>
      </w:r>
    </w:p>
  </w:footnote>
  <w:footnote w:id="40">
    <w:p w:rsidR="007601CE" w:rsidP="007601CE" w14:paraId="54076635" w14:textId="77777777">
      <w:pPr>
        <w:pStyle w:val="FootnoteText"/>
      </w:pPr>
      <w:r>
        <w:rPr>
          <w:rStyle w:val="FootnoteReference"/>
        </w:rPr>
        <w:footnoteRef/>
      </w:r>
      <w:r>
        <w:t xml:space="preserve"> </w:t>
      </w:r>
      <w:r w:rsidRPr="005238E9">
        <w:rPr>
          <w:i/>
          <w:iCs/>
        </w:rPr>
        <w:t>See id</w:t>
      </w:r>
      <w:r>
        <w:t>. at 4.</w:t>
      </w:r>
    </w:p>
  </w:footnote>
  <w:footnote w:id="41">
    <w:p w:rsidR="007601CE" w:rsidP="007601CE" w14:paraId="3AE8D7AC" w14:textId="77777777">
      <w:pPr>
        <w:pStyle w:val="FootnoteText"/>
      </w:pPr>
      <w:r>
        <w:rPr>
          <w:rStyle w:val="FootnoteReference"/>
        </w:rPr>
        <w:footnoteRef/>
      </w:r>
      <w:r>
        <w:t xml:space="preserve"> Generally, the Commission’s rules may be waived for good cause shown.  47 CFR § 1.3 (“</w:t>
      </w:r>
      <w:r>
        <w:rPr>
          <w:snapToGrid w:val="0"/>
          <w:kern w:val="28"/>
        </w:rPr>
        <w:t>Any provision of the rules may be waived by the</w:t>
      </w:r>
      <w:r>
        <w:t xml:space="preserve"> Commission</w:t>
      </w:r>
      <w:r>
        <w:rPr>
          <w:snapToGrid w:val="0"/>
          <w:kern w:val="28"/>
        </w:rPr>
        <w:t xml:space="preserve"> on its own motion or on petition if good cause therefor is shown.”)</w:t>
      </w:r>
      <w:r>
        <w:t xml:space="preserve">.  The Commission may exercise its discretion to waive a rule where the particular facts make strict compliance inconsistent with the public interest.  </w:t>
      </w:r>
      <w:r>
        <w:rPr>
          <w:i/>
        </w:rPr>
        <w:t>Ne. Cellular Tel. Co. v. FCC</w:t>
      </w:r>
      <w:r>
        <w:t xml:space="preserve">, 897 F.2d 1164, 1166 (D.C. Cir. 1990).  In addition, the Commission may take into account considerations of hardship, equity, or more effective implementation of overall policy on an individual basis.  </w:t>
      </w:r>
      <w:r w:rsidRPr="005238E9">
        <w:rPr>
          <w:i/>
          <w:iCs/>
        </w:rPr>
        <w:t>WAIT Radio v. FCC</w:t>
      </w:r>
      <w:r>
        <w:t xml:space="preserve">, 418 F.2d 1153, 1159 (D.C. Cir. 1969).  Waiver of the Commission’s rules is appropriate only if both (i) special circumstances warrant a deviation from the general rule, and (ii) such deviation will serve the public interest.  </w:t>
      </w:r>
      <w:r w:rsidRPr="005238E9">
        <w:rPr>
          <w:i/>
          <w:iCs/>
        </w:rPr>
        <w:t>NetworkIP</w:t>
      </w:r>
      <w:r w:rsidRPr="005238E9">
        <w:rPr>
          <w:i/>
          <w:iCs/>
        </w:rPr>
        <w:t>, LLC v. FCC</w:t>
      </w:r>
      <w:r>
        <w:t xml:space="preserve">, 548 F.3d 116, 125-28 (D.C. Cir. 2008); </w:t>
      </w:r>
      <w:r>
        <w:rPr>
          <w:i/>
        </w:rPr>
        <w:t>Ne. Cellular Tel. Co.</w:t>
      </w:r>
      <w:r>
        <w:t xml:space="preserve">, 897 F.2d at 1166. </w:t>
      </w:r>
    </w:p>
  </w:footnote>
  <w:footnote w:id="42">
    <w:p w:rsidR="007601CE" w:rsidP="007601CE" w14:paraId="11A6A1DA" w14:textId="77777777">
      <w:pPr>
        <w:pStyle w:val="FootnoteText"/>
      </w:pPr>
      <w:r>
        <w:rPr>
          <w:rStyle w:val="FootnoteReference"/>
        </w:rPr>
        <w:footnoteRef/>
      </w:r>
      <w:r>
        <w:t xml:space="preserve"> </w:t>
      </w:r>
      <w:r w:rsidRPr="00BE5738">
        <w:rPr>
          <w:i/>
          <w:iCs/>
        </w:rPr>
        <w:t>NetworkIP</w:t>
      </w:r>
      <w:r w:rsidRPr="00BE5738">
        <w:rPr>
          <w:i/>
          <w:iCs/>
        </w:rPr>
        <w:t>, LLC v. FCC</w:t>
      </w:r>
      <w:r w:rsidRPr="0019793B">
        <w:t xml:space="preserve">, 548 F.3d 116, 126-27 (D.C. Cir. 2008) </w:t>
      </w:r>
      <w:r>
        <w:t>(explaining that</w:t>
      </w:r>
      <w:r w:rsidRPr="0019793B">
        <w:t xml:space="preserve"> </w:t>
      </w:r>
      <w:r w:rsidRPr="00BE5738">
        <w:t>Commission deadlines, particularly those related to filings, are generally waived only in “'unusual or compelling circumstances,” because absent such circumstances, the Commission risks arbitrariness in it decisions related to meritorious claims).</w:t>
      </w:r>
    </w:p>
  </w:footnote>
  <w:footnote w:id="43">
    <w:p w:rsidR="007601CE" w:rsidP="007601CE" w14:paraId="409BDCCC" w14:textId="77777777">
      <w:pPr>
        <w:pStyle w:val="FootnoteText"/>
      </w:pPr>
      <w:r>
        <w:rPr>
          <w:rStyle w:val="FootnoteReference"/>
        </w:rPr>
        <w:footnoteRef/>
      </w:r>
      <w:r>
        <w:t xml:space="preserve"> </w:t>
      </w:r>
      <w:r w:rsidRPr="00BE1195">
        <w:rPr>
          <w:i/>
          <w:iCs/>
        </w:rPr>
        <w:t>See</w:t>
      </w:r>
      <w:r w:rsidRPr="001335C0">
        <w:t xml:space="preserve"> </w:t>
      </w:r>
      <w:r w:rsidRPr="0011122A">
        <w:rPr>
          <w:i/>
          <w:iCs/>
        </w:rPr>
        <w:t>ELAP</w:t>
      </w:r>
      <w:r w:rsidRPr="0011122A">
        <w:rPr>
          <w:i/>
          <w:iCs/>
        </w:rPr>
        <w:t xml:space="preserve"> Participant Window Public Notice</w:t>
      </w:r>
      <w:r w:rsidRPr="001335C0">
        <w:t xml:space="preserve">, 36 FCC </w:t>
      </w:r>
      <w:r w:rsidRPr="001335C0">
        <w:t>Rcd</w:t>
      </w:r>
      <w:r w:rsidRPr="001335C0">
        <w:t xml:space="preserve"> </w:t>
      </w:r>
      <w:r>
        <w:t>at</w:t>
      </w:r>
      <w:r w:rsidRPr="001335C0">
        <w:t xml:space="preserve"> 561</w:t>
      </w:r>
      <w:r>
        <w:t xml:space="preserve">3 (referencing availability of recorded copy of USAC’s October 20, 2020 </w:t>
      </w:r>
      <w:r>
        <w:t>ELAP</w:t>
      </w:r>
      <w:r>
        <w:t xml:space="preserve"> webinar and associated slides available at </w:t>
      </w:r>
      <w:hyperlink r:id="rId3" w:history="1">
        <w:r w:rsidRPr="00FB5833">
          <w:rPr>
            <w:rStyle w:val="Hyperlink"/>
          </w:rPr>
          <w:t>https://www.usac.org/high-cost/funds/caf-phase-ii-auction/eligible-locations-adjustment-process-elap/</w:t>
        </w:r>
      </w:hyperlink>
      <w:r>
        <w:t xml:space="preserve">). </w:t>
      </w:r>
    </w:p>
  </w:footnote>
  <w:footnote w:id="44">
    <w:p w:rsidR="007601CE" w:rsidP="007601CE" w14:paraId="36724538" w14:textId="77777777">
      <w:pPr>
        <w:pStyle w:val="FootnoteText"/>
      </w:pPr>
      <w:r>
        <w:rPr>
          <w:rStyle w:val="FootnoteReference"/>
        </w:rPr>
        <w:footnoteRef/>
      </w:r>
      <w:r>
        <w:t xml:space="preserve"> </w:t>
      </w:r>
      <w:r w:rsidRPr="00BE1195">
        <w:rPr>
          <w:i/>
          <w:iCs/>
        </w:rPr>
        <w:t>See</w:t>
      </w:r>
      <w:r w:rsidRPr="001335C0">
        <w:t xml:space="preserve"> </w:t>
      </w:r>
      <w:r>
        <w:rPr>
          <w:i/>
          <w:iCs/>
        </w:rPr>
        <w:t>id.</w:t>
      </w:r>
      <w:r w:rsidRPr="001335C0">
        <w:t xml:space="preserve"> (</w:t>
      </w:r>
      <w:r>
        <w:t xml:space="preserve">indicating that USAC made available to carriers interested in participating in </w:t>
      </w:r>
      <w:r>
        <w:t>ELAP</w:t>
      </w:r>
      <w:r>
        <w:t xml:space="preserve">, an </w:t>
      </w:r>
      <w:r>
        <w:t>ELAP</w:t>
      </w:r>
      <w:r>
        <w:t xml:space="preserve"> Module User Guide, available for download at </w:t>
      </w:r>
      <w:hyperlink r:id="rId3" w:history="1">
        <w:r w:rsidRPr="00FB5833">
          <w:rPr>
            <w:rStyle w:val="Hyperlink"/>
          </w:rPr>
          <w:t>https://www.usac.org/high-cost/funds/caf-phase-ii-auction/eligible-locations-adjustment-process-elap/</w:t>
        </w:r>
      </w:hyperlink>
      <w:r>
        <w:t xml:space="preserve">; in addition, indicating that USAC could be contacted via direct email and phone to address any technical questions).  </w:t>
      </w:r>
    </w:p>
  </w:footnote>
  <w:footnote w:id="45">
    <w:p w:rsidR="007601CE" w:rsidP="007601CE" w14:paraId="58D63748" w14:textId="77777777">
      <w:pPr>
        <w:pStyle w:val="FootnoteText"/>
      </w:pPr>
      <w:r>
        <w:rPr>
          <w:rStyle w:val="FootnoteReference"/>
        </w:rPr>
        <w:footnoteRef/>
      </w:r>
      <w:r>
        <w:t xml:space="preserve"> Douglas Services Petition at 3-4.  </w:t>
      </w:r>
    </w:p>
  </w:footnote>
  <w:footnote w:id="46">
    <w:p w:rsidR="007601CE" w:rsidP="007601CE" w14:paraId="2D139901" w14:textId="77777777">
      <w:pPr>
        <w:pStyle w:val="FootnoteText"/>
      </w:pPr>
      <w:r>
        <w:rPr>
          <w:rStyle w:val="FootnoteReference"/>
        </w:rPr>
        <w:footnoteRef/>
      </w:r>
      <w:r>
        <w:t xml:space="preserve"> While we recognize that Douglas Services could not submit </w:t>
      </w:r>
      <w:r>
        <w:t>ELAP</w:t>
      </w:r>
      <w:r>
        <w:t xml:space="preserve"> information after the Participant filing deadline, the delay in notifying the Bureau and submitting the waiver request further reinforces concerns regarding Douglas Services lack of due diligence.  </w:t>
      </w:r>
    </w:p>
  </w:footnote>
  <w:footnote w:id="47">
    <w:p w:rsidR="007601CE" w:rsidP="007601CE" w14:paraId="63E178A7" w14:textId="77777777">
      <w:pPr>
        <w:pStyle w:val="FootnoteText"/>
      </w:pPr>
      <w:r>
        <w:rPr>
          <w:rStyle w:val="FootnoteReference"/>
        </w:rPr>
        <w:footnoteRef/>
      </w:r>
      <w:r>
        <w:t xml:space="preserve"> </w:t>
      </w:r>
      <w:r w:rsidRPr="009F672A">
        <w:rPr>
          <w:i/>
          <w:iCs/>
        </w:rPr>
        <w:t>Universal Service Contribution Methodology; Federal-State Joint Board on Universal Service; Requests for Review of Decisions of Universal Service Administrator by Airband Communications, Inc. et al</w:t>
      </w:r>
      <w:r w:rsidRPr="00C75A97">
        <w:t xml:space="preserve">., </w:t>
      </w:r>
      <w:r w:rsidRPr="002B2334">
        <w:t>WC Docket No. 06-122, CC Docket No. 96-45,</w:t>
      </w:r>
      <w:r>
        <w:t xml:space="preserve"> </w:t>
      </w:r>
      <w:r w:rsidRPr="00C75A97">
        <w:t xml:space="preserve">Order, 25 FCC </w:t>
      </w:r>
      <w:r w:rsidRPr="00C75A97">
        <w:t>Rcd</w:t>
      </w:r>
      <w:r w:rsidRPr="00C75A97">
        <w:t xml:space="preserve"> 10861, 10864, para. </w:t>
      </w:r>
      <w:r>
        <w:t>8</w:t>
      </w:r>
      <w:r w:rsidRPr="00C75A97">
        <w:t xml:space="preserve"> (WCB 2010)</w:t>
      </w:r>
      <w:r>
        <w:t xml:space="preserve"> (explaining that t</w:t>
      </w:r>
      <w:r w:rsidRPr="003B3EEA">
        <w:t>he Bureau has generally denied waivers where claims of good cause rest</w:t>
      </w:r>
      <w:r>
        <w:t xml:space="preserve"> on</w:t>
      </w:r>
      <w:r w:rsidRPr="003B3EEA">
        <w:t xml:space="preserve"> </w:t>
      </w:r>
      <w:r>
        <w:t xml:space="preserve">the petitioner’s error or negligence, or </w:t>
      </w:r>
      <w:r w:rsidRPr="003B3EEA">
        <w:t xml:space="preserve">circumstances </w:t>
      </w:r>
      <w:r>
        <w:t>“</w:t>
      </w:r>
      <w:r w:rsidRPr="003B3EEA">
        <w:t>squarely within the petitioner's control</w:t>
      </w:r>
      <w:r>
        <w:t>”).</w:t>
      </w:r>
    </w:p>
  </w:footnote>
  <w:footnote w:id="48">
    <w:p w:rsidR="007601CE" w:rsidP="007601CE" w14:paraId="5BDE8ED6" w14:textId="77777777">
      <w:pPr>
        <w:pStyle w:val="FootnoteText"/>
      </w:pPr>
      <w:r>
        <w:rPr>
          <w:rStyle w:val="FootnoteReference"/>
        </w:rPr>
        <w:footnoteRef/>
      </w:r>
      <w:r>
        <w:t xml:space="preserve"> </w:t>
      </w:r>
      <w:r w:rsidRPr="005238E9">
        <w:rPr>
          <w:i/>
          <w:iCs/>
        </w:rPr>
        <w:t>Phase II Auction Order</w:t>
      </w:r>
      <w:r>
        <w:t xml:space="preserve">, </w:t>
      </w:r>
      <w:r w:rsidRPr="00676822">
        <w:t xml:space="preserve">31 FCC </w:t>
      </w:r>
      <w:r>
        <w:t xml:space="preserve">at 6017-18, paras. 190-193; 47 CFR § 54.320(d). </w:t>
      </w:r>
    </w:p>
  </w:footnote>
  <w:footnote w:id="49">
    <w:p w:rsidR="007601CE" w:rsidP="007601CE" w14:paraId="709724B2" w14:textId="77777777">
      <w:pPr>
        <w:pStyle w:val="FootnoteText"/>
      </w:pPr>
      <w:r>
        <w:rPr>
          <w:rStyle w:val="FootnoteReference"/>
        </w:rPr>
        <w:footnoteRef/>
      </w:r>
      <w:r>
        <w:t xml:space="preserve"> AMG’s adjusted eligible location total for SAC </w:t>
      </w:r>
      <w:r w:rsidRPr="00A84A54">
        <w:t>349039</w:t>
      </w:r>
      <w:r>
        <w:t xml:space="preserve"> </w:t>
      </w:r>
      <w:r w:rsidRPr="001B16AE">
        <w:t>includes</w:t>
      </w:r>
      <w:r>
        <w:t xml:space="preserve"> offering service to</w:t>
      </w:r>
      <w:r w:rsidRPr="001B16AE">
        <w:t xml:space="preserve"> </w:t>
      </w:r>
      <w:r>
        <w:rPr>
          <w:szCs w:val="22"/>
        </w:rPr>
        <w:t xml:space="preserve">9,175 </w:t>
      </w:r>
      <w:r w:rsidRPr="00141374">
        <w:rPr>
          <w:szCs w:val="22"/>
        </w:rPr>
        <w:t xml:space="preserve">locations </w:t>
      </w:r>
      <w:r>
        <w:rPr>
          <w:szCs w:val="22"/>
        </w:rPr>
        <w:t>meeting</w:t>
      </w:r>
      <w:r w:rsidRPr="00141374">
        <w:rPr>
          <w:szCs w:val="22"/>
        </w:rPr>
        <w:t xml:space="preserve"> </w:t>
      </w:r>
      <w:r>
        <w:rPr>
          <w:szCs w:val="22"/>
        </w:rPr>
        <w:t xml:space="preserve">the </w:t>
      </w:r>
      <w:r w:rsidRPr="00141374">
        <w:rPr>
          <w:szCs w:val="22"/>
        </w:rPr>
        <w:t>Above Baseline</w:t>
      </w:r>
      <w:r>
        <w:rPr>
          <w:szCs w:val="22"/>
        </w:rPr>
        <w:t xml:space="preserve"> performance tier (Above Baseline) requirements</w:t>
      </w:r>
      <w:r w:rsidRPr="00141374">
        <w:rPr>
          <w:szCs w:val="22"/>
        </w:rPr>
        <w:t xml:space="preserve"> and </w:t>
      </w:r>
      <w:r>
        <w:rPr>
          <w:szCs w:val="22"/>
        </w:rPr>
        <w:t xml:space="preserve">4,303 </w:t>
      </w:r>
      <w:r w:rsidRPr="00141374">
        <w:rPr>
          <w:szCs w:val="22"/>
        </w:rPr>
        <w:t>locations</w:t>
      </w:r>
      <w:r>
        <w:rPr>
          <w:szCs w:val="22"/>
        </w:rPr>
        <w:t xml:space="preserve"> meeting the</w:t>
      </w:r>
      <w:r w:rsidRPr="00141374">
        <w:rPr>
          <w:szCs w:val="22"/>
        </w:rPr>
        <w:t xml:space="preserve"> Baseline performance tier</w:t>
      </w:r>
      <w:r>
        <w:rPr>
          <w:szCs w:val="22"/>
        </w:rPr>
        <w:t xml:space="preserve"> (Baseline) requirements</w:t>
      </w:r>
      <w:r w:rsidRPr="00141374">
        <w:rPr>
          <w:szCs w:val="22"/>
        </w:rPr>
        <w:t>.</w:t>
      </w:r>
      <w:r>
        <w:rPr>
          <w:b/>
          <w:bCs/>
          <w:szCs w:val="22"/>
        </w:rPr>
        <w:t xml:space="preserve"> </w:t>
      </w:r>
    </w:p>
  </w:footnote>
  <w:footnote w:id="50">
    <w:p w:rsidR="007601CE" w:rsidP="007601CE" w14:paraId="7167C669" w14:textId="77777777">
      <w:pPr>
        <w:pStyle w:val="FootnoteText"/>
      </w:pPr>
      <w:r>
        <w:rPr>
          <w:rStyle w:val="FootnoteReference"/>
        </w:rPr>
        <w:footnoteRef/>
      </w:r>
      <w:r>
        <w:t xml:space="preserve"> AMG’s adjusted eligible location total for SAC </w:t>
      </w:r>
      <w:r w:rsidRPr="001B16AE">
        <w:t>359146</w:t>
      </w:r>
      <w:r>
        <w:t xml:space="preserve"> </w:t>
      </w:r>
      <w:r w:rsidRPr="001B16AE">
        <w:t>includes</w:t>
      </w:r>
      <w:r>
        <w:t xml:space="preserve"> offering service to</w:t>
      </w:r>
      <w:r w:rsidRPr="001B16AE">
        <w:t xml:space="preserve"> </w:t>
      </w:r>
      <w:r>
        <w:rPr>
          <w:szCs w:val="22"/>
        </w:rPr>
        <w:t xml:space="preserve">5,685 </w:t>
      </w:r>
      <w:r w:rsidRPr="00AB2A0E">
        <w:rPr>
          <w:szCs w:val="22"/>
        </w:rPr>
        <w:t xml:space="preserve">locations </w:t>
      </w:r>
      <w:r>
        <w:rPr>
          <w:szCs w:val="22"/>
        </w:rPr>
        <w:t>meeting</w:t>
      </w:r>
      <w:r w:rsidRPr="00AB2A0E">
        <w:rPr>
          <w:szCs w:val="22"/>
        </w:rPr>
        <w:t xml:space="preserve"> </w:t>
      </w:r>
      <w:r>
        <w:rPr>
          <w:szCs w:val="22"/>
        </w:rPr>
        <w:t xml:space="preserve">the </w:t>
      </w:r>
      <w:r w:rsidRPr="00AB2A0E">
        <w:rPr>
          <w:szCs w:val="22"/>
        </w:rPr>
        <w:t xml:space="preserve">Above Baseline </w:t>
      </w:r>
      <w:r>
        <w:rPr>
          <w:szCs w:val="22"/>
        </w:rPr>
        <w:t xml:space="preserve">requirements </w:t>
      </w:r>
      <w:r w:rsidRPr="00AB2A0E">
        <w:rPr>
          <w:szCs w:val="22"/>
        </w:rPr>
        <w:t xml:space="preserve">and </w:t>
      </w:r>
      <w:r>
        <w:rPr>
          <w:szCs w:val="22"/>
        </w:rPr>
        <w:t xml:space="preserve">5,472 </w:t>
      </w:r>
      <w:r w:rsidRPr="00AB2A0E">
        <w:rPr>
          <w:szCs w:val="22"/>
        </w:rPr>
        <w:t xml:space="preserve">locations </w:t>
      </w:r>
      <w:r>
        <w:rPr>
          <w:szCs w:val="22"/>
        </w:rPr>
        <w:t xml:space="preserve">meeting the </w:t>
      </w:r>
      <w:r w:rsidRPr="00AB2A0E">
        <w:rPr>
          <w:szCs w:val="22"/>
        </w:rPr>
        <w:t xml:space="preserve">Baseline </w:t>
      </w:r>
      <w:r>
        <w:rPr>
          <w:szCs w:val="22"/>
        </w:rPr>
        <w:t>requirements.</w:t>
      </w:r>
    </w:p>
  </w:footnote>
  <w:footnote w:id="51">
    <w:p w:rsidR="007601CE" w:rsidP="007601CE" w14:paraId="3533A3C1" w14:textId="77777777">
      <w:pPr>
        <w:pStyle w:val="FootnoteText"/>
      </w:pPr>
      <w:r>
        <w:rPr>
          <w:rStyle w:val="FootnoteReference"/>
        </w:rPr>
        <w:footnoteRef/>
      </w:r>
      <w:r>
        <w:t xml:space="preserve"> AMG’s adjusted eligible location total for SAC </w:t>
      </w:r>
      <w:r w:rsidRPr="001B16AE">
        <w:t>419044</w:t>
      </w:r>
      <w:r>
        <w:t xml:space="preserve"> </w:t>
      </w:r>
      <w:r w:rsidRPr="001B16AE">
        <w:t>includes</w:t>
      </w:r>
      <w:r>
        <w:t xml:space="preserve"> offering service to</w:t>
      </w:r>
      <w:r w:rsidRPr="001B16AE">
        <w:t xml:space="preserve"> </w:t>
      </w:r>
      <w:r>
        <w:rPr>
          <w:szCs w:val="22"/>
        </w:rPr>
        <w:t xml:space="preserve">5,134 </w:t>
      </w:r>
      <w:r w:rsidRPr="00AB2A0E">
        <w:rPr>
          <w:szCs w:val="22"/>
        </w:rPr>
        <w:t xml:space="preserve">locations </w:t>
      </w:r>
      <w:r>
        <w:rPr>
          <w:szCs w:val="22"/>
        </w:rPr>
        <w:t xml:space="preserve">meeting the </w:t>
      </w:r>
      <w:r w:rsidRPr="00AB2A0E">
        <w:rPr>
          <w:szCs w:val="22"/>
        </w:rPr>
        <w:t>Above Baseline</w:t>
      </w:r>
      <w:r>
        <w:rPr>
          <w:szCs w:val="22"/>
        </w:rPr>
        <w:t xml:space="preserve"> requirements </w:t>
      </w:r>
      <w:r w:rsidRPr="00AB2A0E">
        <w:rPr>
          <w:szCs w:val="22"/>
        </w:rPr>
        <w:t xml:space="preserve">and </w:t>
      </w:r>
      <w:r>
        <w:rPr>
          <w:szCs w:val="22"/>
        </w:rPr>
        <w:t xml:space="preserve">4,469 </w:t>
      </w:r>
      <w:r w:rsidRPr="00AB2A0E">
        <w:rPr>
          <w:szCs w:val="22"/>
        </w:rPr>
        <w:t xml:space="preserve">locations </w:t>
      </w:r>
      <w:r>
        <w:rPr>
          <w:szCs w:val="22"/>
        </w:rPr>
        <w:t>meeting the</w:t>
      </w:r>
      <w:r w:rsidRPr="00AB2A0E">
        <w:rPr>
          <w:szCs w:val="22"/>
        </w:rPr>
        <w:t xml:space="preserve"> Baseline </w:t>
      </w:r>
      <w:r>
        <w:rPr>
          <w:szCs w:val="22"/>
        </w:rPr>
        <w:t>requirements</w:t>
      </w:r>
      <w:r w:rsidRPr="00AB2A0E">
        <w:rPr>
          <w:szCs w:val="22"/>
        </w:rPr>
        <w:t>.</w:t>
      </w:r>
    </w:p>
  </w:footnote>
  <w:footnote w:id="52">
    <w:p w:rsidR="007601CE" w:rsidP="007601CE" w14:paraId="191DF576" w14:textId="77777777">
      <w:pPr>
        <w:pStyle w:val="FootnoteText"/>
      </w:pPr>
      <w:r>
        <w:rPr>
          <w:rStyle w:val="FootnoteReference"/>
        </w:rPr>
        <w:footnoteRef/>
      </w:r>
      <w:r>
        <w:t xml:space="preserve"> AMG’s adjusted eligible location total for SAC </w:t>
      </w:r>
      <w:r w:rsidRPr="001B16AE">
        <w:t>439073</w:t>
      </w:r>
      <w:r>
        <w:t xml:space="preserve"> </w:t>
      </w:r>
      <w:r w:rsidRPr="001B16AE">
        <w:t>includes</w:t>
      </w:r>
      <w:r>
        <w:t xml:space="preserve"> offering service</w:t>
      </w:r>
      <w:r w:rsidRPr="001B16AE">
        <w:t xml:space="preserve"> </w:t>
      </w:r>
      <w:r>
        <w:rPr>
          <w:szCs w:val="22"/>
        </w:rPr>
        <w:t xml:space="preserve">11,890 </w:t>
      </w:r>
      <w:r w:rsidRPr="00AB2A0E">
        <w:rPr>
          <w:szCs w:val="22"/>
        </w:rPr>
        <w:t xml:space="preserve">locations </w:t>
      </w:r>
      <w:r>
        <w:rPr>
          <w:szCs w:val="22"/>
        </w:rPr>
        <w:t xml:space="preserve">meeting the </w:t>
      </w:r>
      <w:r w:rsidRPr="00AB2A0E">
        <w:rPr>
          <w:szCs w:val="22"/>
        </w:rPr>
        <w:t>Above Baseline</w:t>
      </w:r>
      <w:r>
        <w:rPr>
          <w:szCs w:val="22"/>
        </w:rPr>
        <w:t xml:space="preserve"> requirements</w:t>
      </w:r>
      <w:r w:rsidRPr="00AB2A0E">
        <w:rPr>
          <w:szCs w:val="22"/>
        </w:rPr>
        <w:t xml:space="preserve"> and </w:t>
      </w:r>
      <w:r>
        <w:rPr>
          <w:szCs w:val="22"/>
        </w:rPr>
        <w:t xml:space="preserve">4,787 </w:t>
      </w:r>
      <w:r w:rsidRPr="00AB2A0E">
        <w:rPr>
          <w:szCs w:val="22"/>
        </w:rPr>
        <w:t xml:space="preserve">locations </w:t>
      </w:r>
      <w:r>
        <w:rPr>
          <w:szCs w:val="22"/>
        </w:rPr>
        <w:t>meeting</w:t>
      </w:r>
      <w:r w:rsidRPr="00AB2A0E">
        <w:rPr>
          <w:szCs w:val="22"/>
        </w:rPr>
        <w:t xml:space="preserve"> the Baseline</w:t>
      </w:r>
      <w:r>
        <w:rPr>
          <w:szCs w:val="22"/>
        </w:rPr>
        <w:t xml:space="preserve"> requirements</w:t>
      </w:r>
      <w:r w:rsidRPr="00AB2A0E">
        <w:rPr>
          <w:szCs w:val="22"/>
        </w:rPr>
        <w:t>.</w:t>
      </w:r>
    </w:p>
  </w:footnote>
  <w:footnote w:id="53">
    <w:p w:rsidR="007601CE" w:rsidP="007601CE" w14:paraId="2D5E7B3F" w14:textId="77777777">
      <w:pPr>
        <w:pStyle w:val="FootnoteText"/>
      </w:pPr>
      <w:r>
        <w:rPr>
          <w:rStyle w:val="FootnoteReference"/>
        </w:rPr>
        <w:footnoteRef/>
      </w:r>
      <w:r>
        <w:t xml:space="preserve"> Point Broadband Fiber Holding LLC’s adjusted eligible location total for SAC </w:t>
      </w:r>
      <w:r w:rsidRPr="002526DD">
        <w:t>319050</w:t>
      </w:r>
      <w:r>
        <w:t xml:space="preserve"> </w:t>
      </w:r>
      <w:r w:rsidRPr="001B16AE">
        <w:t xml:space="preserve">includes </w:t>
      </w:r>
      <w:r>
        <w:t xml:space="preserve">offering service to </w:t>
      </w:r>
      <w:r>
        <w:rPr>
          <w:szCs w:val="22"/>
        </w:rPr>
        <w:t xml:space="preserve">2 </w:t>
      </w:r>
      <w:r w:rsidRPr="00AB2A0E">
        <w:rPr>
          <w:szCs w:val="22"/>
        </w:rPr>
        <w:t xml:space="preserve">locations </w:t>
      </w:r>
      <w:r>
        <w:rPr>
          <w:szCs w:val="22"/>
        </w:rPr>
        <w:t xml:space="preserve">meeting the Gigabit performance tier requirements, 15,780 locations meeting the </w:t>
      </w:r>
      <w:r w:rsidRPr="00AB2A0E">
        <w:rPr>
          <w:szCs w:val="22"/>
        </w:rPr>
        <w:t>Above Baseline</w:t>
      </w:r>
      <w:r>
        <w:rPr>
          <w:szCs w:val="22"/>
        </w:rPr>
        <w:t xml:space="preserve"> requirements,</w:t>
      </w:r>
      <w:r w:rsidRPr="00AB2A0E">
        <w:rPr>
          <w:szCs w:val="22"/>
        </w:rPr>
        <w:t xml:space="preserve"> and </w:t>
      </w:r>
      <w:r>
        <w:rPr>
          <w:szCs w:val="22"/>
        </w:rPr>
        <w:t xml:space="preserve">48 </w:t>
      </w:r>
      <w:r w:rsidRPr="00AB2A0E">
        <w:rPr>
          <w:szCs w:val="22"/>
        </w:rPr>
        <w:t xml:space="preserve">locations </w:t>
      </w:r>
      <w:r>
        <w:rPr>
          <w:szCs w:val="22"/>
        </w:rPr>
        <w:t xml:space="preserve">meeting the </w:t>
      </w:r>
      <w:r w:rsidRPr="00AB2A0E">
        <w:rPr>
          <w:szCs w:val="22"/>
        </w:rPr>
        <w:t xml:space="preserve">Baseline </w:t>
      </w:r>
      <w:r>
        <w:rPr>
          <w:szCs w:val="22"/>
        </w:rPr>
        <w:t>requirements</w:t>
      </w:r>
      <w:r w:rsidRPr="00AB2A0E">
        <w:rPr>
          <w:szCs w:val="22"/>
        </w:rPr>
        <w:t>.</w:t>
      </w:r>
    </w:p>
  </w:footnote>
  <w:footnote w:id="54">
    <w:p w:rsidR="007601CE" w:rsidP="007601CE" w14:paraId="1CAAEF63" w14:textId="77777777">
      <w:pPr>
        <w:pStyle w:val="FootnoteText"/>
      </w:pPr>
      <w:r>
        <w:rPr>
          <w:rStyle w:val="FootnoteReference"/>
        </w:rPr>
        <w:footnoteRef/>
      </w:r>
      <w:r>
        <w:t xml:space="preserve"> Verizon Communications Inc. is using SAC 175000 for both Verizon Pennsylvania LLC and Verizon North LLC’s authorized winning bids in Pennsylvania.  Verizon North LLC was originally assigned 170169 as its SAC. </w:t>
      </w:r>
    </w:p>
  </w:footnote>
  <w:footnote w:id="55">
    <w:p w:rsidR="007601CE" w:rsidP="007601CE" w14:paraId="64AE7816" w14:textId="77777777">
      <w:pPr>
        <w:pStyle w:val="FootnoteText"/>
      </w:pPr>
      <w:r>
        <w:rPr>
          <w:rStyle w:val="FootnoteReference"/>
        </w:rPr>
        <w:footnoteRef/>
      </w:r>
      <w:r>
        <w:t xml:space="preserve"> Verizon Communications Inc. is using SAC 195040 for both Verizon Virginia LLC and Verizon South Inc.’s authorized winning bids in Virginia.  Verizon South Inc. was originally assigned 190479 as its SAC.</w:t>
      </w:r>
    </w:p>
  </w:footnote>
  <w:footnote w:id="56">
    <w:p w:rsidR="007601CE" w:rsidP="007601CE" w14:paraId="1441DD01" w14:textId="77777777">
      <w:pPr>
        <w:pStyle w:val="FootnoteText"/>
      </w:pPr>
      <w:r>
        <w:rPr>
          <w:rStyle w:val="FootnoteReference"/>
        </w:rPr>
        <w:footnoteRef/>
      </w:r>
      <w:r>
        <w:t xml:space="preserve"> Wisper ISP, Inc.’s adjusted eligible location total for SAC </w:t>
      </w:r>
      <w:r w:rsidRPr="0060572E">
        <w:t>429045</w:t>
      </w:r>
      <w:r>
        <w:t xml:space="preserve"> </w:t>
      </w:r>
      <w:r w:rsidRPr="001B16AE">
        <w:t xml:space="preserve">includes </w:t>
      </w:r>
      <w:r>
        <w:rPr>
          <w:szCs w:val="22"/>
        </w:rPr>
        <w:t xml:space="preserve">offering service to 62,461 locations meeting the </w:t>
      </w:r>
      <w:r w:rsidRPr="00AB2A0E">
        <w:rPr>
          <w:szCs w:val="22"/>
        </w:rPr>
        <w:t>Above Baseline</w:t>
      </w:r>
      <w:r>
        <w:rPr>
          <w:szCs w:val="22"/>
        </w:rPr>
        <w:t xml:space="preserve"> performance tier requirements</w:t>
      </w:r>
      <w:r w:rsidRPr="00AB2A0E">
        <w:rPr>
          <w:szCs w:val="22"/>
        </w:rPr>
        <w:t xml:space="preserve"> and </w:t>
      </w:r>
      <w:r>
        <w:rPr>
          <w:szCs w:val="22"/>
        </w:rPr>
        <w:t xml:space="preserve">592 </w:t>
      </w:r>
      <w:r w:rsidRPr="00AB2A0E">
        <w:rPr>
          <w:szCs w:val="22"/>
        </w:rPr>
        <w:t xml:space="preserve">locations </w:t>
      </w:r>
      <w:r>
        <w:rPr>
          <w:szCs w:val="22"/>
        </w:rPr>
        <w:t>meeting the</w:t>
      </w:r>
      <w:r w:rsidRPr="00AB2A0E">
        <w:rPr>
          <w:szCs w:val="22"/>
        </w:rPr>
        <w:t xml:space="preserve"> Baseline performance tier</w:t>
      </w:r>
      <w:r>
        <w:rPr>
          <w:szCs w:val="22"/>
        </w:rPr>
        <w:t xml:space="preserve"> requirements</w:t>
      </w:r>
      <w:r w:rsidRPr="00AB2A0E">
        <w:rPr>
          <w:szCs w:val="22"/>
        </w:rPr>
        <w:t>.</w:t>
      </w:r>
    </w:p>
    <w:p w:rsidR="007601CE" w:rsidP="007601CE" w14:paraId="3DC8304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2119FA" w14:textId="5B878847">
    <w:pPr>
      <w:pStyle w:val="Header"/>
      <w:rPr>
        <w:b w:val="0"/>
      </w:rPr>
    </w:pPr>
    <w:r>
      <w:tab/>
      <w:t>Federal Communications Commission</w:t>
    </w:r>
    <w:r>
      <w:tab/>
    </w:r>
    <w:r w:rsidR="003E2452">
      <w:t>DA 23-117</w:t>
    </w:r>
  </w:p>
  <w:p w:rsidR="00D25FB5" w14:paraId="12EE770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59B8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169E7E" w14:textId="36CD3DC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2452">
      <w:rPr>
        <w:spacing w:val="-2"/>
      </w:rPr>
      <w:t>DA 23-117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EFECA1" w14:textId="3394D4D4">
    <w:pPr>
      <w:pStyle w:val="Header"/>
      <w:rPr>
        <w:b w:val="0"/>
      </w:rPr>
    </w:pPr>
    <w:r>
      <w:tab/>
      <w:t>Federal Communications Commission</w:t>
    </w:r>
    <w:r>
      <w:tab/>
    </w:r>
    <w:r>
      <w:t>DA 2</w:t>
    </w:r>
    <w:r>
      <w:t>3</w:t>
    </w:r>
    <w:r>
      <w:t>-</w:t>
    </w:r>
    <w:r w:rsidR="003E2452">
      <w:t>117</w:t>
    </w:r>
  </w:p>
  <w:p w:rsidR="00D25FB5" w14:paraId="6655AD1C" w14:textId="388BE276">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C00C57" w14:textId="5A9AAC7D">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900A52">
      <w:tab/>
      <w:t>Federal Communications Commission</w:t>
    </w:r>
    <w:r w:rsidR="00900A52">
      <w:tab/>
    </w:r>
    <w:r w:rsidR="00900A52">
      <w:rPr>
        <w:spacing w:val="-2"/>
      </w:rPr>
      <w:t>DA 2</w:t>
    </w:r>
    <w:r w:rsidR="00900A52">
      <w:rPr>
        <w:spacing w:val="-2"/>
      </w:rPr>
      <w:t>3</w:t>
    </w:r>
    <w:r w:rsidR="00900A52">
      <w:rPr>
        <w:spacing w:val="-2"/>
      </w:rPr>
      <w:t>-</w:t>
    </w:r>
    <w:r w:rsidR="00900A52">
      <w:rPr>
        <w:spacing w:val="-2"/>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4F42E53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9FB2F83E"/>
    <w:lvl w:ilvl="0">
      <w:start w:val="1"/>
      <w:numFmt w:val="decimal"/>
      <w:pStyle w:val="ParaNum"/>
      <w:lvlText w:val="%1."/>
      <w:lvlJc w:val="left"/>
      <w:pPr>
        <w:tabs>
          <w:tab w:val="num" w:pos="1080"/>
        </w:tabs>
        <w:ind w:left="0" w:firstLine="720"/>
      </w:pPr>
      <w:rPr>
        <w:i w:val="0"/>
        <w:iCs/>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CE"/>
    <w:rsid w:val="00036039"/>
    <w:rsid w:val="0003664E"/>
    <w:rsid w:val="00037F90"/>
    <w:rsid w:val="00060F6B"/>
    <w:rsid w:val="000875BF"/>
    <w:rsid w:val="00096D8C"/>
    <w:rsid w:val="000C0B65"/>
    <w:rsid w:val="000C6C79"/>
    <w:rsid w:val="000E05FE"/>
    <w:rsid w:val="000E3D42"/>
    <w:rsid w:val="000F0DAE"/>
    <w:rsid w:val="0011122A"/>
    <w:rsid w:val="00122BD5"/>
    <w:rsid w:val="001335C0"/>
    <w:rsid w:val="00133F79"/>
    <w:rsid w:val="00141374"/>
    <w:rsid w:val="0016102E"/>
    <w:rsid w:val="00193291"/>
    <w:rsid w:val="00194A66"/>
    <w:rsid w:val="0019793B"/>
    <w:rsid w:val="001B16AE"/>
    <w:rsid w:val="001D6BCF"/>
    <w:rsid w:val="001E01CA"/>
    <w:rsid w:val="002526DD"/>
    <w:rsid w:val="00275CF5"/>
    <w:rsid w:val="0028301F"/>
    <w:rsid w:val="00285017"/>
    <w:rsid w:val="002A2D2E"/>
    <w:rsid w:val="002B2334"/>
    <w:rsid w:val="002C00E8"/>
    <w:rsid w:val="002D71A2"/>
    <w:rsid w:val="002E014A"/>
    <w:rsid w:val="002E2D54"/>
    <w:rsid w:val="002F6CC1"/>
    <w:rsid w:val="00304865"/>
    <w:rsid w:val="00321494"/>
    <w:rsid w:val="00323F75"/>
    <w:rsid w:val="00340869"/>
    <w:rsid w:val="00343749"/>
    <w:rsid w:val="003660ED"/>
    <w:rsid w:val="00380092"/>
    <w:rsid w:val="00396936"/>
    <w:rsid w:val="003A5B76"/>
    <w:rsid w:val="003A6661"/>
    <w:rsid w:val="003B0550"/>
    <w:rsid w:val="003B3EEA"/>
    <w:rsid w:val="003B694F"/>
    <w:rsid w:val="003C27D2"/>
    <w:rsid w:val="003D306F"/>
    <w:rsid w:val="003E02CE"/>
    <w:rsid w:val="003E2452"/>
    <w:rsid w:val="003F171C"/>
    <w:rsid w:val="00401DE8"/>
    <w:rsid w:val="00412FC5"/>
    <w:rsid w:val="004169CF"/>
    <w:rsid w:val="00422276"/>
    <w:rsid w:val="004242F1"/>
    <w:rsid w:val="00445A00"/>
    <w:rsid w:val="00451B0F"/>
    <w:rsid w:val="00453DA6"/>
    <w:rsid w:val="004A4D50"/>
    <w:rsid w:val="004C2EE3"/>
    <w:rsid w:val="004C2FE9"/>
    <w:rsid w:val="004E464E"/>
    <w:rsid w:val="004E4A22"/>
    <w:rsid w:val="004E4AA2"/>
    <w:rsid w:val="004E644E"/>
    <w:rsid w:val="00511968"/>
    <w:rsid w:val="005135AE"/>
    <w:rsid w:val="00522DFB"/>
    <w:rsid w:val="005238E9"/>
    <w:rsid w:val="005356E9"/>
    <w:rsid w:val="0055614C"/>
    <w:rsid w:val="00566D06"/>
    <w:rsid w:val="00570450"/>
    <w:rsid w:val="005E14C2"/>
    <w:rsid w:val="005E15E5"/>
    <w:rsid w:val="0060572E"/>
    <w:rsid w:val="00607BA5"/>
    <w:rsid w:val="0061180A"/>
    <w:rsid w:val="00626EB6"/>
    <w:rsid w:val="00655D03"/>
    <w:rsid w:val="00676077"/>
    <w:rsid w:val="00676822"/>
    <w:rsid w:val="00683388"/>
    <w:rsid w:val="00683F84"/>
    <w:rsid w:val="006867EE"/>
    <w:rsid w:val="00694488"/>
    <w:rsid w:val="006A6A81"/>
    <w:rsid w:val="006F7393"/>
    <w:rsid w:val="0070224F"/>
    <w:rsid w:val="007115F7"/>
    <w:rsid w:val="007601CE"/>
    <w:rsid w:val="00785689"/>
    <w:rsid w:val="007906C5"/>
    <w:rsid w:val="0079754B"/>
    <w:rsid w:val="007A1E6D"/>
    <w:rsid w:val="007B0EB2"/>
    <w:rsid w:val="00810B6F"/>
    <w:rsid w:val="00822CE0"/>
    <w:rsid w:val="00841AB1"/>
    <w:rsid w:val="008B07B4"/>
    <w:rsid w:val="008B1216"/>
    <w:rsid w:val="008B50EB"/>
    <w:rsid w:val="008B7E9A"/>
    <w:rsid w:val="008C68F1"/>
    <w:rsid w:val="008D4345"/>
    <w:rsid w:val="008E29F4"/>
    <w:rsid w:val="0090004F"/>
    <w:rsid w:val="00900A52"/>
    <w:rsid w:val="00903E48"/>
    <w:rsid w:val="00921803"/>
    <w:rsid w:val="00926503"/>
    <w:rsid w:val="00936232"/>
    <w:rsid w:val="00955045"/>
    <w:rsid w:val="009726D8"/>
    <w:rsid w:val="009D7308"/>
    <w:rsid w:val="009F672A"/>
    <w:rsid w:val="009F76DB"/>
    <w:rsid w:val="00A158AE"/>
    <w:rsid w:val="00A27AA4"/>
    <w:rsid w:val="00A304D9"/>
    <w:rsid w:val="00A32C3B"/>
    <w:rsid w:val="00A366EF"/>
    <w:rsid w:val="00A45F4F"/>
    <w:rsid w:val="00A4722E"/>
    <w:rsid w:val="00A544F4"/>
    <w:rsid w:val="00A600A9"/>
    <w:rsid w:val="00A84A54"/>
    <w:rsid w:val="00A91B36"/>
    <w:rsid w:val="00AA55B7"/>
    <w:rsid w:val="00AA5B9E"/>
    <w:rsid w:val="00AB2407"/>
    <w:rsid w:val="00AB2A0E"/>
    <w:rsid w:val="00AB53DF"/>
    <w:rsid w:val="00AE6A8D"/>
    <w:rsid w:val="00B07E5C"/>
    <w:rsid w:val="00B11CAC"/>
    <w:rsid w:val="00B338D1"/>
    <w:rsid w:val="00B35D27"/>
    <w:rsid w:val="00B606A1"/>
    <w:rsid w:val="00B6202A"/>
    <w:rsid w:val="00B811F7"/>
    <w:rsid w:val="00B86E79"/>
    <w:rsid w:val="00B9012D"/>
    <w:rsid w:val="00BA5DC6"/>
    <w:rsid w:val="00BA6196"/>
    <w:rsid w:val="00BC14D7"/>
    <w:rsid w:val="00BC6D8C"/>
    <w:rsid w:val="00BD763B"/>
    <w:rsid w:val="00BE1195"/>
    <w:rsid w:val="00BE3F68"/>
    <w:rsid w:val="00BE5738"/>
    <w:rsid w:val="00C34006"/>
    <w:rsid w:val="00C36B4C"/>
    <w:rsid w:val="00C426B1"/>
    <w:rsid w:val="00C548FD"/>
    <w:rsid w:val="00C66160"/>
    <w:rsid w:val="00C7049F"/>
    <w:rsid w:val="00C721AC"/>
    <w:rsid w:val="00C75A97"/>
    <w:rsid w:val="00C86124"/>
    <w:rsid w:val="00C90D6A"/>
    <w:rsid w:val="00CA247E"/>
    <w:rsid w:val="00CA6D21"/>
    <w:rsid w:val="00CC72B6"/>
    <w:rsid w:val="00CD1E11"/>
    <w:rsid w:val="00D0218D"/>
    <w:rsid w:val="00D25FB5"/>
    <w:rsid w:val="00D36572"/>
    <w:rsid w:val="00D44223"/>
    <w:rsid w:val="00D47EA7"/>
    <w:rsid w:val="00D63E03"/>
    <w:rsid w:val="00DA2529"/>
    <w:rsid w:val="00DB0BE1"/>
    <w:rsid w:val="00DB130A"/>
    <w:rsid w:val="00DB2EBB"/>
    <w:rsid w:val="00DC10A1"/>
    <w:rsid w:val="00DC655F"/>
    <w:rsid w:val="00DC712A"/>
    <w:rsid w:val="00DD0B59"/>
    <w:rsid w:val="00DD7EBD"/>
    <w:rsid w:val="00DF62B6"/>
    <w:rsid w:val="00E07225"/>
    <w:rsid w:val="00E138DD"/>
    <w:rsid w:val="00E36C1F"/>
    <w:rsid w:val="00E417CD"/>
    <w:rsid w:val="00E5409F"/>
    <w:rsid w:val="00E7762D"/>
    <w:rsid w:val="00EC7E50"/>
    <w:rsid w:val="00EE6488"/>
    <w:rsid w:val="00EF101B"/>
    <w:rsid w:val="00F021FA"/>
    <w:rsid w:val="00F40793"/>
    <w:rsid w:val="00F62E97"/>
    <w:rsid w:val="00F64209"/>
    <w:rsid w:val="00F705F2"/>
    <w:rsid w:val="00F93BF5"/>
    <w:rsid w:val="00FB5833"/>
    <w:rsid w:val="00FF6114"/>
    <w:rsid w:val="01F0C33F"/>
    <w:rsid w:val="2AB1768B"/>
    <w:rsid w:val="3FDE7790"/>
    <w:rsid w:val="46372F00"/>
    <w:rsid w:val="60B5DDAE"/>
    <w:rsid w:val="65761A40"/>
    <w:rsid w:val="6772B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5ED4BE"/>
  <w15:chartTrackingRefBased/>
  <w15:docId w15:val="{4272272B-352E-4493-ABA6-E471F12C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01CE"/>
    <w:pPr>
      <w:keepNext/>
      <w:numPr>
        <w:ilvl w:val="1"/>
        <w:numId w:val="3"/>
      </w:numPr>
      <w:spacing w:after="120"/>
      <w:outlineLvl w:val="1"/>
    </w:pPr>
    <w:rPr>
      <w:rFonts w:ascii="Times New Roman Bold" w:hAnsi="Times New Roman Bold"/>
      <w:b/>
      <w:caps/>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Footnote Text Char1 Char1 Char Char Char Char"/>
    <w:basedOn w:val="DefaultParagraphFont"/>
    <w:link w:val="FootnoteText"/>
    <w:rsid w:val="007601CE"/>
  </w:style>
  <w:style w:type="character" w:customStyle="1" w:styleId="ParaNumCharChar">
    <w:name w:val="ParaNum Char Char"/>
    <w:link w:val="ParaNum"/>
    <w:rsid w:val="007601CE"/>
    <w:rPr>
      <w:snapToGrid w:val="0"/>
      <w:kern w:val="28"/>
      <w:sz w:val="22"/>
    </w:rPr>
  </w:style>
  <w:style w:type="character" w:customStyle="1" w:styleId="Heading3Char">
    <w:name w:val="Heading 3 Char"/>
    <w:link w:val="Heading3"/>
    <w:rsid w:val="007601CE"/>
    <w:rPr>
      <w:b/>
      <w:snapToGrid w:val="0"/>
      <w:kern w:val="28"/>
      <w:sz w:val="22"/>
    </w:rPr>
  </w:style>
  <w:style w:type="character" w:customStyle="1" w:styleId="HeaderChar">
    <w:name w:val="Header Char"/>
    <w:link w:val="Header"/>
    <w:rsid w:val="007601CE"/>
    <w:rPr>
      <w:b/>
      <w:snapToGrid w:val="0"/>
      <w:kern w:val="28"/>
      <w:sz w:val="22"/>
    </w:rPr>
  </w:style>
  <w:style w:type="table" w:styleId="TableGrid">
    <w:name w:val="Table Grid"/>
    <w:basedOn w:val="TableNormal"/>
    <w:rsid w:val="0076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3" TargetMode="External" /><Relationship Id="rId2" Type="http://schemas.openxmlformats.org/officeDocument/2006/relationships/hyperlink" Target="https://data.usac.org/publicreports/caf-map/" TargetMode="External" /><Relationship Id="rId3" Type="http://schemas.openxmlformats.org/officeDocument/2006/relationships/hyperlink" Target="https://www.usac.org/high-cost/funds/caf-phase-ii-auction/eligible-locations-adjustment-process-ela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