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A55DE" w:rsidP="009A55DE" w14:paraId="59A58C90" w14:textId="77777777">
      <w:pPr>
        <w:jc w:val="center"/>
        <w:rPr>
          <w:b/>
        </w:rPr>
      </w:pPr>
      <w:r w:rsidRPr="0070224F">
        <w:rPr>
          <w:rFonts w:ascii="Times New Roman Bold" w:hAnsi="Times New Roman Bold"/>
          <w:b/>
          <w:kern w:val="0"/>
          <w:szCs w:val="22"/>
        </w:rPr>
        <w:t>Before</w:t>
      </w:r>
      <w:r>
        <w:rPr>
          <w:b/>
        </w:rPr>
        <w:t xml:space="preserve"> the</w:t>
      </w:r>
    </w:p>
    <w:p w:rsidR="009A55DE" w:rsidP="009A55DE" w14:paraId="3F0E4BBA" w14:textId="77777777">
      <w:pPr>
        <w:pStyle w:val="StyleBoldCentered"/>
      </w:pPr>
      <w:r>
        <w:t>F</w:t>
      </w:r>
      <w:r>
        <w:rPr>
          <w:caps w:val="0"/>
        </w:rPr>
        <w:t>ederal Communications Commission</w:t>
      </w:r>
    </w:p>
    <w:p w:rsidR="009A55DE" w:rsidP="009A55DE" w14:paraId="227BE920" w14:textId="77777777">
      <w:pPr>
        <w:pStyle w:val="StyleBoldCentered"/>
      </w:pPr>
      <w:r>
        <w:rPr>
          <w:caps w:val="0"/>
        </w:rPr>
        <w:t>Washington, D.C. 20554</w:t>
      </w:r>
    </w:p>
    <w:p w:rsidR="009A55DE" w:rsidP="009A55DE" w14:paraId="06AB4034" w14:textId="77777777"/>
    <w:p w:rsidR="009A55DE" w:rsidP="009A55DE" w14:paraId="72CABA9E" w14:textId="77777777"/>
    <w:tbl>
      <w:tblPr>
        <w:tblW w:w="0" w:type="auto"/>
        <w:tblLayout w:type="fixed"/>
        <w:tblLook w:val="0000"/>
      </w:tblPr>
      <w:tblGrid>
        <w:gridCol w:w="4698"/>
        <w:gridCol w:w="630"/>
        <w:gridCol w:w="4248"/>
      </w:tblGrid>
      <w:tr w14:paraId="6F92F82C" w14:textId="77777777" w:rsidTr="003E687F">
        <w:tblPrEx>
          <w:tblW w:w="0" w:type="auto"/>
          <w:tblLayout w:type="fixed"/>
          <w:tblLook w:val="0000"/>
        </w:tblPrEx>
        <w:tc>
          <w:tcPr>
            <w:tcW w:w="4698" w:type="dxa"/>
          </w:tcPr>
          <w:p w:rsidR="009A55DE" w:rsidP="003E687F" w14:paraId="66663449" w14:textId="77777777">
            <w:pPr>
              <w:tabs>
                <w:tab w:val="center" w:pos="4680"/>
              </w:tabs>
              <w:suppressAutoHyphens/>
              <w:rPr>
                <w:spacing w:val="-2"/>
              </w:rPr>
            </w:pPr>
            <w:r>
              <w:rPr>
                <w:spacing w:val="-2"/>
              </w:rPr>
              <w:t>In the Matter of</w:t>
            </w:r>
          </w:p>
          <w:p w:rsidR="009A55DE" w:rsidP="003E687F" w14:paraId="79F0BC24" w14:textId="77777777">
            <w:pPr>
              <w:tabs>
                <w:tab w:val="center" w:pos="4680"/>
              </w:tabs>
              <w:suppressAutoHyphens/>
              <w:rPr>
                <w:spacing w:val="-2"/>
              </w:rPr>
            </w:pPr>
          </w:p>
          <w:p w:rsidR="009A55DE" w:rsidP="003E687F" w14:paraId="236EB94D" w14:textId="77777777">
            <w:pPr>
              <w:tabs>
                <w:tab w:val="center" w:pos="4680"/>
              </w:tabs>
              <w:suppressAutoHyphens/>
              <w:rPr>
                <w:spacing w:val="-2"/>
              </w:rPr>
            </w:pPr>
            <w:r>
              <w:rPr>
                <w:spacing w:val="-2"/>
              </w:rPr>
              <w:t>Connect America Fund</w:t>
            </w:r>
          </w:p>
          <w:p w:rsidR="009A55DE" w:rsidP="003E687F" w14:paraId="69C77B23" w14:textId="77777777">
            <w:pPr>
              <w:tabs>
                <w:tab w:val="center" w:pos="4680"/>
              </w:tabs>
              <w:suppressAutoHyphens/>
              <w:rPr>
                <w:spacing w:val="-2"/>
              </w:rPr>
            </w:pPr>
          </w:p>
          <w:p w:rsidR="009A55DE" w:rsidP="003E687F" w14:paraId="24CBE873" w14:textId="77777777">
            <w:pPr>
              <w:tabs>
                <w:tab w:val="center" w:pos="4680"/>
              </w:tabs>
              <w:suppressAutoHyphens/>
              <w:rPr>
                <w:spacing w:val="-2"/>
              </w:rPr>
            </w:pPr>
            <w:r>
              <w:rPr>
                <w:spacing w:val="-2"/>
              </w:rPr>
              <w:t>Connect America Fund Phase II Auction</w:t>
            </w:r>
          </w:p>
          <w:p w:rsidR="009A55DE" w:rsidP="003E687F" w14:paraId="3DA14B7C" w14:textId="77777777">
            <w:pPr>
              <w:tabs>
                <w:tab w:val="center" w:pos="4680"/>
              </w:tabs>
              <w:suppressAutoHyphens/>
              <w:rPr>
                <w:spacing w:val="-2"/>
              </w:rPr>
            </w:pPr>
          </w:p>
          <w:p w:rsidR="009A55DE" w:rsidP="003E687F" w14:paraId="6FD9A75D" w14:textId="77777777">
            <w:pPr>
              <w:tabs>
                <w:tab w:val="center" w:pos="4680"/>
              </w:tabs>
              <w:suppressAutoHyphens/>
              <w:rPr>
                <w:spacing w:val="-2"/>
              </w:rPr>
            </w:pPr>
            <w:r>
              <w:rPr>
                <w:spacing w:val="-2"/>
              </w:rPr>
              <w:t xml:space="preserve">The Rural Digital Opportunity Fund </w:t>
            </w:r>
          </w:p>
          <w:p w:rsidR="009A55DE" w:rsidP="003E687F" w14:paraId="0BF69A64" w14:textId="77777777">
            <w:pPr>
              <w:tabs>
                <w:tab w:val="center" w:pos="4680"/>
              </w:tabs>
              <w:suppressAutoHyphens/>
              <w:rPr>
                <w:spacing w:val="-2"/>
              </w:rPr>
            </w:pPr>
            <w:r>
              <w:rPr>
                <w:spacing w:val="-2"/>
              </w:rPr>
              <w:t>Auction (Auction 904)</w:t>
            </w:r>
          </w:p>
          <w:p w:rsidR="009A55DE" w:rsidRPr="007115F7" w:rsidP="003E687F" w14:paraId="0E8DAEB2" w14:textId="77777777">
            <w:pPr>
              <w:tabs>
                <w:tab w:val="center" w:pos="4680"/>
              </w:tabs>
              <w:suppressAutoHyphens/>
              <w:rPr>
                <w:spacing w:val="-2"/>
              </w:rPr>
            </w:pPr>
          </w:p>
        </w:tc>
        <w:tc>
          <w:tcPr>
            <w:tcW w:w="630" w:type="dxa"/>
          </w:tcPr>
          <w:p w:rsidR="009A55DE" w:rsidP="003E687F" w14:paraId="6C739743" w14:textId="77777777">
            <w:pPr>
              <w:tabs>
                <w:tab w:val="center" w:pos="4680"/>
              </w:tabs>
              <w:suppressAutoHyphens/>
              <w:rPr>
                <w:b/>
                <w:spacing w:val="-2"/>
              </w:rPr>
            </w:pPr>
            <w:r>
              <w:rPr>
                <w:b/>
                <w:spacing w:val="-2"/>
              </w:rPr>
              <w:t>)</w:t>
            </w:r>
          </w:p>
          <w:p w:rsidR="009A55DE" w:rsidP="003E687F" w14:paraId="297ED2D0" w14:textId="77777777">
            <w:pPr>
              <w:tabs>
                <w:tab w:val="center" w:pos="4680"/>
              </w:tabs>
              <w:suppressAutoHyphens/>
              <w:rPr>
                <w:b/>
                <w:spacing w:val="-2"/>
              </w:rPr>
            </w:pPr>
            <w:r>
              <w:rPr>
                <w:b/>
                <w:spacing w:val="-2"/>
              </w:rPr>
              <w:t>)</w:t>
            </w:r>
          </w:p>
          <w:p w:rsidR="009A55DE" w:rsidP="003E687F" w14:paraId="016A3794" w14:textId="77777777">
            <w:pPr>
              <w:tabs>
                <w:tab w:val="center" w:pos="4680"/>
              </w:tabs>
              <w:suppressAutoHyphens/>
              <w:rPr>
                <w:b/>
                <w:spacing w:val="-2"/>
              </w:rPr>
            </w:pPr>
            <w:r>
              <w:rPr>
                <w:b/>
                <w:spacing w:val="-2"/>
              </w:rPr>
              <w:t>)</w:t>
            </w:r>
          </w:p>
          <w:p w:rsidR="009A55DE" w:rsidP="003E687F" w14:paraId="62E2DD37" w14:textId="77777777">
            <w:pPr>
              <w:tabs>
                <w:tab w:val="center" w:pos="4680"/>
              </w:tabs>
              <w:suppressAutoHyphens/>
              <w:rPr>
                <w:b/>
                <w:spacing w:val="-2"/>
              </w:rPr>
            </w:pPr>
            <w:r>
              <w:rPr>
                <w:b/>
                <w:spacing w:val="-2"/>
              </w:rPr>
              <w:t>)</w:t>
            </w:r>
          </w:p>
          <w:p w:rsidR="009A55DE" w:rsidP="003E687F" w14:paraId="344D6684" w14:textId="77777777">
            <w:pPr>
              <w:tabs>
                <w:tab w:val="center" w:pos="4680"/>
              </w:tabs>
              <w:suppressAutoHyphens/>
              <w:rPr>
                <w:b/>
                <w:spacing w:val="-2"/>
              </w:rPr>
            </w:pPr>
            <w:r>
              <w:rPr>
                <w:b/>
                <w:spacing w:val="-2"/>
              </w:rPr>
              <w:t>)</w:t>
            </w:r>
          </w:p>
          <w:p w:rsidR="009A55DE" w:rsidP="003E687F" w14:paraId="1862AB99" w14:textId="77777777">
            <w:pPr>
              <w:tabs>
                <w:tab w:val="center" w:pos="4680"/>
              </w:tabs>
              <w:suppressAutoHyphens/>
              <w:rPr>
                <w:b/>
                <w:spacing w:val="-2"/>
              </w:rPr>
            </w:pPr>
            <w:r>
              <w:rPr>
                <w:b/>
                <w:spacing w:val="-2"/>
              </w:rPr>
              <w:t>)</w:t>
            </w:r>
          </w:p>
          <w:p w:rsidR="009A55DE" w:rsidP="003E687F" w14:paraId="701D2E15" w14:textId="77777777">
            <w:pPr>
              <w:tabs>
                <w:tab w:val="center" w:pos="4680"/>
              </w:tabs>
              <w:suppressAutoHyphens/>
              <w:rPr>
                <w:b/>
                <w:spacing w:val="-2"/>
              </w:rPr>
            </w:pPr>
            <w:r>
              <w:rPr>
                <w:b/>
                <w:spacing w:val="-2"/>
              </w:rPr>
              <w:t>)</w:t>
            </w:r>
          </w:p>
          <w:p w:rsidR="00987143" w:rsidRPr="00987143" w:rsidP="00987143" w14:paraId="1C5DD7AA" w14:textId="2A7DC6DA">
            <w:r>
              <w:rPr>
                <w:b/>
                <w:spacing w:val="-2"/>
              </w:rPr>
              <w:t>)</w:t>
            </w:r>
          </w:p>
        </w:tc>
        <w:tc>
          <w:tcPr>
            <w:tcW w:w="4248" w:type="dxa"/>
          </w:tcPr>
          <w:p w:rsidR="009A55DE" w:rsidP="003E687F" w14:paraId="57274862" w14:textId="77777777">
            <w:pPr>
              <w:tabs>
                <w:tab w:val="center" w:pos="4680"/>
              </w:tabs>
              <w:suppressAutoHyphens/>
              <w:rPr>
                <w:spacing w:val="-2"/>
              </w:rPr>
            </w:pPr>
          </w:p>
          <w:p w:rsidR="009A55DE" w:rsidP="003E687F" w14:paraId="1910B736" w14:textId="77777777">
            <w:pPr>
              <w:pStyle w:val="TOAHeading"/>
              <w:tabs>
                <w:tab w:val="center" w:pos="4680"/>
                <w:tab w:val="clear" w:pos="9360"/>
              </w:tabs>
              <w:rPr>
                <w:spacing w:val="-2"/>
              </w:rPr>
            </w:pPr>
          </w:p>
          <w:p w:rsidR="009A55DE" w:rsidP="003E687F" w14:paraId="315163C4" w14:textId="77777777">
            <w:pPr>
              <w:tabs>
                <w:tab w:val="center" w:pos="4680"/>
              </w:tabs>
              <w:suppressAutoHyphens/>
              <w:rPr>
                <w:spacing w:val="-2"/>
              </w:rPr>
            </w:pPr>
            <w:r>
              <w:rPr>
                <w:spacing w:val="-2"/>
              </w:rPr>
              <w:t>WC Docket No. 10-90</w:t>
            </w:r>
          </w:p>
          <w:p w:rsidR="009A55DE" w:rsidP="003E687F" w14:paraId="1A6D252E" w14:textId="77777777">
            <w:pPr>
              <w:tabs>
                <w:tab w:val="center" w:pos="4680"/>
              </w:tabs>
              <w:suppressAutoHyphens/>
              <w:rPr>
                <w:spacing w:val="-2"/>
              </w:rPr>
            </w:pPr>
          </w:p>
          <w:p w:rsidR="009A55DE" w:rsidP="003E687F" w14:paraId="68381A6B" w14:textId="77777777">
            <w:pPr>
              <w:tabs>
                <w:tab w:val="center" w:pos="4680"/>
              </w:tabs>
              <w:suppressAutoHyphens/>
              <w:rPr>
                <w:spacing w:val="-2"/>
              </w:rPr>
            </w:pPr>
            <w:r>
              <w:rPr>
                <w:spacing w:val="-2"/>
              </w:rPr>
              <w:t>AU Docket No. 17-182</w:t>
            </w:r>
          </w:p>
          <w:p w:rsidR="009A55DE" w:rsidP="003E687F" w14:paraId="4B5A6A5D" w14:textId="77777777">
            <w:pPr>
              <w:tabs>
                <w:tab w:val="center" w:pos="4680"/>
              </w:tabs>
              <w:suppressAutoHyphens/>
              <w:rPr>
                <w:spacing w:val="-2"/>
              </w:rPr>
            </w:pPr>
          </w:p>
          <w:p w:rsidR="009A55DE" w:rsidP="003E687F" w14:paraId="66AF5669" w14:textId="77777777">
            <w:pPr>
              <w:tabs>
                <w:tab w:val="center" w:pos="4680"/>
              </w:tabs>
              <w:suppressAutoHyphens/>
              <w:rPr>
                <w:spacing w:val="-2"/>
              </w:rPr>
            </w:pPr>
            <w:r>
              <w:rPr>
                <w:spacing w:val="-2"/>
              </w:rPr>
              <w:t>AU Docket No. 20-34</w:t>
            </w:r>
          </w:p>
        </w:tc>
      </w:tr>
    </w:tbl>
    <w:p w:rsidR="009A55DE" w:rsidP="009A55DE" w14:paraId="74479DC0" w14:textId="77777777">
      <w:pPr>
        <w:pStyle w:val="StyleBoldCentered"/>
      </w:pPr>
      <w:r>
        <w:t>Order</w:t>
      </w:r>
    </w:p>
    <w:p w:rsidR="009A55DE" w:rsidP="009A55DE" w14:paraId="7A7BD2FF" w14:textId="77777777">
      <w:pPr>
        <w:tabs>
          <w:tab w:val="left" w:pos="-720"/>
        </w:tabs>
        <w:suppressAutoHyphens/>
        <w:spacing w:line="227" w:lineRule="auto"/>
        <w:rPr>
          <w:spacing w:val="-2"/>
        </w:rPr>
      </w:pPr>
    </w:p>
    <w:p w:rsidR="009A55DE" w:rsidP="009A55DE" w14:paraId="7B5A7167" w14:textId="77777777">
      <w:pPr>
        <w:tabs>
          <w:tab w:val="left" w:pos="720"/>
          <w:tab w:val="right" w:pos="9360"/>
        </w:tabs>
        <w:suppressAutoHyphens/>
        <w:spacing w:line="227" w:lineRule="auto"/>
        <w:rPr>
          <w:spacing w:val="-2"/>
        </w:rPr>
      </w:pPr>
      <w:r>
        <w:rPr>
          <w:b/>
          <w:spacing w:val="-2"/>
        </w:rPr>
        <w:t>Adopted:  September 13, 2022</w:t>
      </w:r>
      <w:r>
        <w:rPr>
          <w:b/>
          <w:spacing w:val="-2"/>
        </w:rPr>
        <w:tab/>
        <w:t>Released:  September 13, 2022</w:t>
      </w:r>
    </w:p>
    <w:p w:rsidR="009A55DE" w:rsidP="009A55DE" w14:paraId="57BD647E" w14:textId="77777777"/>
    <w:p w:rsidR="009A55DE" w:rsidP="009A55DE" w14:paraId="17C51B27" w14:textId="77777777">
      <w:pPr>
        <w:rPr>
          <w:spacing w:val="-2"/>
        </w:rPr>
      </w:pPr>
      <w:r>
        <w:t xml:space="preserve">By the </w:t>
      </w:r>
      <w:r>
        <w:rPr>
          <w:spacing w:val="-2"/>
        </w:rPr>
        <w:t>Chief, Wireline Competition Bureau:</w:t>
      </w:r>
    </w:p>
    <w:p w:rsidR="00822CE0" w14:paraId="34148BA2" w14:textId="77777777">
      <w:pPr>
        <w:rPr>
          <w:spacing w:val="-2"/>
        </w:rPr>
      </w:pPr>
    </w:p>
    <w:p w:rsidR="009A55DE" w:rsidP="009A55DE" w14:paraId="39BCC344" w14:textId="77777777">
      <w:pPr>
        <w:pStyle w:val="Heading1"/>
      </w:pPr>
      <w:r>
        <w:t>Introduction</w:t>
      </w:r>
    </w:p>
    <w:p w:rsidR="009A55DE" w:rsidRPr="00C9299B" w:rsidP="009A55DE" w14:paraId="199BD22F" w14:textId="77777777">
      <w:pPr>
        <w:pStyle w:val="ParaNum"/>
        <w:numPr>
          <w:ilvl w:val="0"/>
          <w:numId w:val="7"/>
        </w:numPr>
        <w:tabs>
          <w:tab w:val="clear" w:pos="1080"/>
          <w:tab w:val="num" w:pos="1440"/>
        </w:tabs>
      </w:pPr>
      <w:r w:rsidRPr="00133C02">
        <w:t>In this</w:t>
      </w:r>
      <w:r>
        <w:t xml:space="preserve"> Order, the Wireline Competition Bureau (Bureau), in conjunction with the Rural Broadband Auctions Task Force (RBATF), partially grants Point Broadband’s petition</w:t>
      </w:r>
      <w:r>
        <w:rPr>
          <w:rStyle w:val="FootnoteReference"/>
        </w:rPr>
        <w:footnoteReference w:id="3"/>
      </w:r>
      <w:r>
        <w:t xml:space="preserve"> requesting a waiver of the Commission’s requirement that Connect America Fund Phase II auction (Auction 903) and Rural Digital Opportunity Fund auction (Auction 904) recipients obtain letters of credit (LOCs) from banks that maintain a Weiss bank safety rating of B- or better.</w:t>
      </w:r>
      <w:r>
        <w:rPr>
          <w:rStyle w:val="FootnoteReference"/>
        </w:rPr>
        <w:footnoteReference w:id="4"/>
      </w:r>
      <w:r>
        <w:t xml:space="preserve">  Although we do not grant a permanent waiver of bank requirements, we allow Point Broadband to maintain letters of credit </w:t>
      </w:r>
      <w:bookmarkStart w:id="0" w:name="_Hlk36464921"/>
      <w:r>
        <w:t>with its current bank until June 15, 2023.</w:t>
      </w:r>
    </w:p>
    <w:bookmarkEnd w:id="0"/>
    <w:p w:rsidR="009A55DE" w:rsidP="009A55DE" w14:paraId="09DB1DAF" w14:textId="77777777">
      <w:pPr>
        <w:pStyle w:val="Heading1"/>
      </w:pPr>
      <w:r>
        <w:t>Background</w:t>
      </w:r>
    </w:p>
    <w:p w:rsidR="009A55DE" w:rsidRPr="00D3563D" w:rsidP="009A55DE" w14:paraId="360E766D" w14:textId="77777777">
      <w:pPr>
        <w:pStyle w:val="ParaNum"/>
        <w:numPr>
          <w:ilvl w:val="0"/>
          <w:numId w:val="7"/>
        </w:numPr>
        <w:tabs>
          <w:tab w:val="clear" w:pos="1080"/>
          <w:tab w:val="num" w:pos="1440"/>
        </w:tabs>
      </w:pPr>
      <w:r>
        <w:t>The Commission requires that before being authorized to receive support awarded by Auction 903 or Auction 904, an applicant must obtain a LOC issued by a qualified bank to protect the public’s funds.</w:t>
      </w:r>
      <w:r>
        <w:rPr>
          <w:rStyle w:val="FootnoteReference"/>
        </w:rPr>
        <w:footnoteReference w:id="5"/>
      </w:r>
      <w:r>
        <w:t xml:space="preserve">  In order to insure the availability of funds should the Commission need to draw against an LOC, the Commission has several eligibility criteria for banks issuing LOCs.</w:t>
      </w:r>
      <w:r>
        <w:rPr>
          <w:rStyle w:val="FootnoteReference"/>
        </w:rPr>
        <w:footnoteReference w:id="6"/>
      </w:r>
      <w:r>
        <w:t xml:space="preserve">  One of these requirements is that the issuing bank must maintain a Weiss bank safety rating of at least a B-.  The Commission determined that Weiss provides “</w:t>
      </w:r>
      <w:r w:rsidRPr="00181AA3">
        <w:t>an independent and objective</w:t>
      </w:r>
      <w:r>
        <w:t xml:space="preserve"> </w:t>
      </w:r>
      <w:r w:rsidRPr="00181AA3">
        <w:t>perspective of the safety of the banks it rates based on capitalization, asset quality, profitability, liquidity,</w:t>
      </w:r>
      <w:r>
        <w:t xml:space="preserve"> </w:t>
      </w:r>
      <w:r w:rsidRPr="00181AA3">
        <w:t>and stability indexes</w:t>
      </w:r>
      <w:r>
        <w:t>,” and that banks with a rating of B- or higher had shown that they “</w:t>
      </w:r>
      <w:r w:rsidRPr="001B083B">
        <w:t>offer</w:t>
      </w:r>
      <w:r>
        <w:t>[]</w:t>
      </w:r>
      <w:r w:rsidRPr="001B083B">
        <w:t xml:space="preserve"> good financial security and ha</w:t>
      </w:r>
      <w:r>
        <w:t>[</w:t>
      </w:r>
      <w:r>
        <w:t>ve</w:t>
      </w:r>
      <w:r>
        <w:t>]</w:t>
      </w:r>
      <w:r w:rsidRPr="001B083B">
        <w:t xml:space="preserve"> the</w:t>
      </w:r>
      <w:r>
        <w:t xml:space="preserve"> </w:t>
      </w:r>
      <w:r w:rsidRPr="001B083B">
        <w:t>resources to deal with a variety of adverse economic conditions</w:t>
      </w:r>
      <w:r>
        <w:t>.”</w:t>
      </w:r>
      <w:r>
        <w:rPr>
          <w:rStyle w:val="FootnoteReference"/>
        </w:rPr>
        <w:footnoteReference w:id="7"/>
      </w:r>
    </w:p>
    <w:p w:rsidR="009A55DE" w:rsidRPr="006D6D46" w:rsidP="009A55DE" w14:paraId="63E201BF" w14:textId="77777777">
      <w:pPr>
        <w:pStyle w:val="ParaNum"/>
        <w:numPr>
          <w:ilvl w:val="0"/>
          <w:numId w:val="7"/>
        </w:numPr>
        <w:tabs>
          <w:tab w:val="clear" w:pos="1080"/>
          <w:tab w:val="num" w:pos="1440"/>
        </w:tabs>
      </w:pPr>
      <w:r>
        <w:rPr>
          <w:i/>
        </w:rPr>
        <w:t xml:space="preserve">Point Broadband’s </w:t>
      </w:r>
      <w:r w:rsidRPr="00C43DCE">
        <w:rPr>
          <w:i/>
        </w:rPr>
        <w:t>Petition</w:t>
      </w:r>
      <w:r>
        <w:rPr>
          <w:iCs/>
        </w:rPr>
        <w:t>.</w:t>
      </w:r>
      <w:r>
        <w:rPr>
          <w:i/>
        </w:rPr>
        <w:t xml:space="preserve">  </w:t>
      </w:r>
      <w:r w:rsidRPr="00C43DCE">
        <w:rPr>
          <w:iCs/>
        </w:rPr>
        <w:t>In</w:t>
      </w:r>
      <w:r>
        <w:rPr>
          <w:iCs/>
        </w:rPr>
        <w:t xml:space="preserve"> its petition, Point Broadband explains that it entered into its current LOC arrangement with Ally Bank in October 2021, and LOCs issued by Ally Bank were </w:t>
      </w:r>
      <w:r>
        <w:rPr>
          <w:iCs/>
        </w:rPr>
        <w:t>accepted by the Universal Service Administrative Company (USAC).</w:t>
      </w:r>
      <w:r>
        <w:rPr>
          <w:rStyle w:val="FootnoteReference"/>
          <w:iCs/>
        </w:rPr>
        <w:footnoteReference w:id="8"/>
      </w:r>
      <w:r>
        <w:rPr>
          <w:iCs/>
        </w:rPr>
        <w:t xml:space="preserve">  When Point Broadband sought to renew its LOCs for the coming year on July 27, 2022, however, USAC was unable to accept them because Ally Bank’s Weiss bank safety rating had fallen to a C+.</w:t>
      </w:r>
      <w:r>
        <w:rPr>
          <w:rStyle w:val="FootnoteReference"/>
          <w:iCs/>
        </w:rPr>
        <w:footnoteReference w:id="9"/>
      </w:r>
      <w:r>
        <w:rPr>
          <w:iCs/>
        </w:rPr>
        <w:t xml:space="preserve">  If Point Broadband does not obtain new LOCs from an eligible bank by the middle of September 2022, its universal service support for most of its Auction 903 and all of its Auction 904 awards will cease.</w:t>
      </w:r>
      <w:r>
        <w:rPr>
          <w:rStyle w:val="FootnoteReference"/>
          <w:iCs/>
        </w:rPr>
        <w:footnoteReference w:id="10"/>
      </w:r>
      <w:r>
        <w:rPr>
          <w:iCs/>
        </w:rPr>
        <w:t xml:space="preserve">  Point Broadband seeks a waiver of the requirement that LOC issuing banks maintain a Weiss bank safety rating of at least a B-.  In support of its petition, Point Broadband states that Ally Bank has demonstrated sufficient financial stability to ensure the Commission of the reliability of its LOCs, and that requiring Point Broadband to obtain new LOCs would impose significant costs that would impair Point Broadband’s ability to expeditiously deploy broadband service.</w:t>
      </w:r>
    </w:p>
    <w:p w:rsidR="009A55DE" w:rsidP="009A55DE" w14:paraId="7069E788" w14:textId="77777777">
      <w:pPr>
        <w:pStyle w:val="Heading1"/>
      </w:pPr>
      <w:r>
        <w:t>Discussion</w:t>
      </w:r>
    </w:p>
    <w:p w:rsidR="009A55DE" w:rsidP="009A55DE" w14:paraId="29E442DF" w14:textId="77777777">
      <w:pPr>
        <w:pStyle w:val="ParaNum"/>
        <w:numPr>
          <w:ilvl w:val="0"/>
          <w:numId w:val="7"/>
        </w:numPr>
        <w:tabs>
          <w:tab w:val="clear" w:pos="1080"/>
          <w:tab w:val="num" w:pos="1440"/>
        </w:tabs>
      </w:pPr>
      <w:r>
        <w:t>Generally, the Commission’s rules may be waived for good cause shown.</w:t>
      </w:r>
      <w:r>
        <w:rPr>
          <w:rStyle w:val="FootnoteReference"/>
        </w:rPr>
        <w:footnoteReference w:id="11"/>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2"/>
      </w:r>
      <w:r w:rsidRPr="00F6751B">
        <w:t xml:space="preserve">  </w:t>
      </w:r>
      <w:r>
        <w:t>We find good cause to partially grant Point Broadband’s petition and temporarily waive sections 54.315(c)(2)(</w:t>
      </w:r>
      <w:r>
        <w:t>i</w:t>
      </w:r>
      <w:r>
        <w:t xml:space="preserve">)(B) and </w:t>
      </w:r>
      <w:r w:rsidRPr="006F6C74">
        <w:t>54.804(c)(2)</w:t>
      </w:r>
      <w:r>
        <w:t>(</w:t>
      </w:r>
      <w:r>
        <w:t>i</w:t>
      </w:r>
      <w:r>
        <w:t xml:space="preserve">)(B) of our rules until June 15, 2023, when Point Broadband’s final existing LOC expires and requires renewal.  At that time, if Ally Bank still has a Weiss rating below B-, Point Broadband will need to obtain new LOCs for all of its Auction 903 and 904 awards with a bank that meets the Commission’s requirements.     </w:t>
      </w:r>
    </w:p>
    <w:p w:rsidR="009A55DE" w:rsidP="009A55DE" w14:paraId="34E61F3B" w14:textId="77777777">
      <w:pPr>
        <w:pStyle w:val="ParaNum"/>
        <w:widowControl/>
        <w:numPr>
          <w:ilvl w:val="0"/>
          <w:numId w:val="7"/>
        </w:numPr>
        <w:tabs>
          <w:tab w:val="clear" w:pos="1080"/>
          <w:tab w:val="num" w:pos="1440"/>
        </w:tabs>
      </w:pPr>
      <w:r>
        <w:t xml:space="preserve">We find that circumstances support a finding of good cause to partially grant the Petition.  Because seven of Point Broadband’s eight LOCs expire within a short time period, Point Broadband could incur substantial expense to replace all of these LOCs with a new bank. </w:t>
      </w:r>
      <w:r w:rsidRPr="004227FB">
        <w:t xml:space="preserve"> </w:t>
      </w:r>
      <w:r>
        <w:t>Permitting Point Broadband to continue to use its existing bank will allow it to focus its resources on deploying broadband to its Auction 903 areas and will also provide additional time for Point Broadband to obtain future LOCs from banks that meet our eligibility criteria.  In further support of this waiver, we rely on Point Broadband’s substantial deployment in its Auction 903 areas and that it has already deployed service to over 40 percent of the eligible locations in each of the states in which it was authorized to receive CAF II auction support.</w:t>
      </w:r>
      <w:r>
        <w:rPr>
          <w:rStyle w:val="FootnoteReference"/>
        </w:rPr>
        <w:footnoteReference w:id="13"/>
      </w:r>
      <w:r>
        <w:t xml:space="preserve">  Thus, the Commission is unlikely to need to draw on these LOCs in the near future.   Moreover, we note that Weiss states that Ally Bank has an “Excellent” overall stability index despite its “C+” safety rating.</w:t>
      </w:r>
      <w:r>
        <w:rPr>
          <w:rStyle w:val="FootnoteReference"/>
        </w:rPr>
        <w:footnoteReference w:id="14"/>
      </w:r>
      <w:r>
        <w:rPr>
          <w:rFonts w:ascii="Segoe UI" w:hAnsi="Segoe UI" w:cs="Segoe UI"/>
          <w:color w:val="222222"/>
          <w:shd w:val="clear" w:color="auto" w:fill="FFFFFF"/>
        </w:rPr>
        <w:t xml:space="preserve"> </w:t>
      </w:r>
    </w:p>
    <w:p w:rsidR="009A55DE" w:rsidP="009A55DE" w14:paraId="7B48F970" w14:textId="77777777">
      <w:pPr>
        <w:pStyle w:val="ParaNum"/>
        <w:numPr>
          <w:ilvl w:val="0"/>
          <w:numId w:val="7"/>
        </w:numPr>
        <w:tabs>
          <w:tab w:val="clear" w:pos="1080"/>
          <w:tab w:val="num" w:pos="1440"/>
        </w:tabs>
      </w:pPr>
      <w:r>
        <w:t xml:space="preserve">We emphasize, however, that Auction support recipients must ensure that banks issuing LOCs comply with all of our eligibility rules.  While Point Broadband’s petition argues that Ally Bank’s </w:t>
      </w:r>
      <w:r>
        <w:t>financial stability warrants a wholesale waiver of our eligibility rules,</w:t>
      </w:r>
      <w:r>
        <w:rPr>
          <w:rStyle w:val="FootnoteReference"/>
        </w:rPr>
        <w:footnoteReference w:id="15"/>
      </w:r>
      <w:r>
        <w:t xml:space="preserve"> we note that the Commission adopted an independent standard to assess the financial stability of financial institutions because the Commission does not have the expertise to evaluate banks’ financial health.</w:t>
      </w:r>
      <w:r>
        <w:rPr>
          <w:rStyle w:val="FootnoteReference"/>
        </w:rPr>
        <w:footnoteReference w:id="16"/>
      </w:r>
      <w:r>
        <w:t xml:space="preserve">  The limited relief granted herein allows Point Broadband additional time to obtain new LOCs from an issuing bank that meets our requirements but does not require the Commission to conduct an independent evaluation of Ally Bank’s long-term financial health.</w:t>
      </w:r>
    </w:p>
    <w:p w:rsidR="009A55DE" w:rsidP="009A55DE" w14:paraId="39964A2E" w14:textId="77777777">
      <w:pPr>
        <w:pStyle w:val="Heading1"/>
      </w:pPr>
      <w:r>
        <w:t>Ordering Clauses</w:t>
      </w:r>
    </w:p>
    <w:p w:rsidR="009A55DE" w:rsidRPr="0019242C" w:rsidP="009A55DE" w14:paraId="55A8905D" w14:textId="77777777">
      <w:pPr>
        <w:pStyle w:val="ParaNum"/>
        <w:numPr>
          <w:ilvl w:val="0"/>
          <w:numId w:val="7"/>
        </w:numPr>
        <w:tabs>
          <w:tab w:val="clear" w:pos="1080"/>
          <w:tab w:val="num" w:pos="1440"/>
        </w:tabs>
      </w:pPr>
      <w:r w:rsidRPr="0019242C">
        <w:t>Accordingly, IT IS ORDERED, pursuant to sections 1, 4(</w:t>
      </w:r>
      <w:r w:rsidRPr="0019242C">
        <w:t>i</w:t>
      </w:r>
      <w:r w:rsidRPr="0019242C">
        <w:t>), 5(c), and 254 of the Communications Act of 1934, as amended, 47 U.S.C. §§ 151, 154(</w:t>
      </w:r>
      <w:r w:rsidRPr="0019242C">
        <w:t>i</w:t>
      </w:r>
      <w:r w:rsidRPr="0019242C">
        <w:t>), 155(c), 254, and sections 0.91, 0.291,</w:t>
      </w:r>
      <w:r>
        <w:t xml:space="preserve"> </w:t>
      </w:r>
      <w:r w:rsidRPr="0019242C">
        <w:t>and 1.3 of the Commission’s rules, 47 CFR §§ 0.91, 0.291,</w:t>
      </w:r>
      <w:r>
        <w:t xml:space="preserve"> </w:t>
      </w:r>
      <w:r w:rsidRPr="0019242C">
        <w:t>1.3, that this Order IS ADOPTED.</w:t>
      </w:r>
    </w:p>
    <w:p w:rsidR="009A55DE" w:rsidP="009A55DE" w14:paraId="3EB72ED4" w14:textId="77777777">
      <w:pPr>
        <w:pStyle w:val="ParaNum"/>
        <w:numPr>
          <w:ilvl w:val="0"/>
          <w:numId w:val="7"/>
        </w:numPr>
        <w:tabs>
          <w:tab w:val="clear" w:pos="1080"/>
          <w:tab w:val="num" w:pos="1440"/>
        </w:tabs>
      </w:pPr>
      <w:r w:rsidRPr="0019242C">
        <w:t>IT IS FURTHER ORDERED that</w:t>
      </w:r>
      <w:r>
        <w:t xml:space="preserve"> the petition for waiver filed by Point Broadband IS PARTIALLY GRANTED </w:t>
      </w:r>
      <w:r w:rsidRPr="0019242C">
        <w:t>as described herein</w:t>
      </w:r>
      <w:r>
        <w:t>.</w:t>
      </w:r>
    </w:p>
    <w:p w:rsidR="009A55DE" w:rsidP="009A55DE" w14:paraId="148C5C33" w14:textId="77777777">
      <w:pPr>
        <w:pStyle w:val="ParaNum"/>
        <w:numPr>
          <w:ilvl w:val="0"/>
          <w:numId w:val="7"/>
        </w:numPr>
        <w:tabs>
          <w:tab w:val="clear" w:pos="1080"/>
          <w:tab w:val="num" w:pos="1440"/>
        </w:tabs>
      </w:pPr>
      <w:r w:rsidRPr="0019242C">
        <w:t>IT IS FURTHER ORDERED that, pursuant to section 1.102(b)(1) of the Commission’s rules, 47 CFR § 1.102(b)(1), this Order SHALL BE EFFECTIVE upon release.</w:t>
      </w:r>
    </w:p>
    <w:p w:rsidR="009A55DE" w:rsidP="009A55DE" w14:paraId="67B9DA8E" w14:textId="77777777">
      <w:pPr>
        <w:pStyle w:val="ParaNum"/>
        <w:numPr>
          <w:ilvl w:val="0"/>
          <w:numId w:val="0"/>
        </w:numPr>
      </w:pPr>
    </w:p>
    <w:p w:rsidR="009A55DE" w:rsidP="009A55DE" w14:paraId="6002651B" w14:textId="77777777">
      <w:pPr>
        <w:pStyle w:val="ParaNum"/>
        <w:numPr>
          <w:ilvl w:val="0"/>
          <w:numId w:val="0"/>
        </w:numPr>
      </w:pPr>
    </w:p>
    <w:p w:rsidR="009A55DE" w:rsidP="009A55DE" w14:paraId="56EDAFBF" w14:textId="77777777">
      <w:pPr>
        <w:pStyle w:val="ParaNum"/>
        <w:numPr>
          <w:ilvl w:val="0"/>
          <w:numId w:val="0"/>
        </w:numPr>
      </w:pPr>
    </w:p>
    <w:p w:rsidR="009A55DE" w:rsidP="009A55DE" w14:paraId="777C24A6" w14:textId="77777777">
      <w:r>
        <w:tab/>
      </w:r>
      <w:r>
        <w:tab/>
      </w:r>
      <w:r>
        <w:tab/>
      </w:r>
      <w:r>
        <w:tab/>
      </w:r>
      <w:r>
        <w:tab/>
      </w:r>
      <w:r>
        <w:tab/>
        <w:t>FEDERAL COMMUNICATIONS COMMISSION</w:t>
      </w:r>
    </w:p>
    <w:p w:rsidR="009A55DE" w:rsidP="009A55DE" w14:paraId="7096F494" w14:textId="77777777"/>
    <w:p w:rsidR="009A55DE" w:rsidP="009A55DE" w14:paraId="6A31D0C4" w14:textId="77777777"/>
    <w:p w:rsidR="009A55DE" w:rsidP="009A55DE" w14:paraId="1422EAEA" w14:textId="77777777"/>
    <w:p w:rsidR="009A55DE" w:rsidP="009A55DE" w14:paraId="1A9AC237" w14:textId="77777777"/>
    <w:p w:rsidR="009A55DE" w:rsidP="009A55DE" w14:paraId="3E197C17" w14:textId="77777777">
      <w:r>
        <w:tab/>
      </w:r>
      <w:r>
        <w:tab/>
      </w:r>
      <w:r>
        <w:tab/>
      </w:r>
      <w:r>
        <w:tab/>
      </w:r>
      <w:r>
        <w:tab/>
      </w:r>
      <w:r>
        <w:tab/>
        <w:t xml:space="preserve">Trent B. </w:t>
      </w:r>
      <w:r>
        <w:t>Harkrader</w:t>
      </w:r>
    </w:p>
    <w:p w:rsidR="009A55DE" w:rsidP="009A55DE" w14:paraId="72BA5C76" w14:textId="77777777">
      <w:r>
        <w:tab/>
      </w:r>
      <w:r>
        <w:tab/>
      </w:r>
      <w:r>
        <w:tab/>
      </w:r>
      <w:r>
        <w:tab/>
      </w:r>
      <w:r>
        <w:tab/>
      </w:r>
      <w:r>
        <w:tab/>
        <w:t>Chief</w:t>
      </w:r>
    </w:p>
    <w:p w:rsidR="00412FC5" w:rsidP="009A55DE" w14:paraId="133D974D" w14:textId="5224BED5">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pitch w:val="variable"/>
    <w:sig w:usb0="00003A87" w:usb1="00000000" w:usb2="00000000" w:usb3="00000000" w:csb0="000000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CFF86A1"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1DCA4B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A55DE" w14:paraId="51EB3280" w14:textId="05D6C7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4DD094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A55DE" w14:paraId="3CE22975" w14:textId="77777777">
      <w:r>
        <w:separator/>
      </w:r>
    </w:p>
  </w:footnote>
  <w:footnote w:type="continuationSeparator" w:id="1">
    <w:p w:rsidR="009A55DE" w:rsidP="00C721AC" w14:paraId="54A38B59" w14:textId="77777777">
      <w:pPr>
        <w:spacing w:before="120"/>
        <w:rPr>
          <w:sz w:val="20"/>
        </w:rPr>
      </w:pPr>
      <w:r>
        <w:rPr>
          <w:sz w:val="20"/>
        </w:rPr>
        <w:t xml:space="preserve">(Continued from previous page)  </w:t>
      </w:r>
      <w:r>
        <w:rPr>
          <w:sz w:val="20"/>
        </w:rPr>
        <w:separator/>
      </w:r>
    </w:p>
  </w:footnote>
  <w:footnote w:type="continuationNotice" w:id="2">
    <w:p w:rsidR="009A55DE" w:rsidP="00C721AC" w14:paraId="3D3F8259" w14:textId="77777777">
      <w:pPr>
        <w:jc w:val="right"/>
        <w:rPr>
          <w:sz w:val="20"/>
        </w:rPr>
      </w:pPr>
      <w:r>
        <w:rPr>
          <w:sz w:val="20"/>
        </w:rPr>
        <w:t>(continued….)</w:t>
      </w:r>
    </w:p>
  </w:footnote>
  <w:footnote w:id="3">
    <w:p w:rsidR="009A55DE" w:rsidRPr="00480EC3" w:rsidP="009A55DE" w14:paraId="523C49F9" w14:textId="77777777">
      <w:pPr>
        <w:pStyle w:val="FootnoteText"/>
      </w:pPr>
      <w:r>
        <w:rPr>
          <w:rStyle w:val="FootnoteReference"/>
        </w:rPr>
        <w:footnoteRef/>
      </w:r>
      <w:r>
        <w:t xml:space="preserve"> Petition for Waiver, WC Docket No. 10-90, AU Docket Not. 17-182, AU Docket No. 20-34 (filed Aug. 5, 2022) (</w:t>
      </w:r>
      <w:r>
        <w:rPr>
          <w:i/>
          <w:iCs/>
        </w:rPr>
        <w:t>Point Broadband Petition</w:t>
      </w:r>
      <w:r>
        <w:t>).</w:t>
      </w:r>
    </w:p>
  </w:footnote>
  <w:footnote w:id="4">
    <w:p w:rsidR="009A55DE" w:rsidP="009A55DE" w14:paraId="6DEEC014" w14:textId="77777777">
      <w:pPr>
        <w:pStyle w:val="FootnoteText"/>
      </w:pPr>
      <w:r>
        <w:rPr>
          <w:rStyle w:val="FootnoteReference"/>
        </w:rPr>
        <w:footnoteRef/>
      </w:r>
      <w:r>
        <w:t xml:space="preserve"> </w:t>
      </w:r>
      <w:r>
        <w:t>47 CFR §§ 54.315(c)(2)(</w:t>
      </w:r>
      <w:r>
        <w:t>i</w:t>
      </w:r>
      <w:r>
        <w:t>)(B);</w:t>
      </w:r>
      <w:r w:rsidRPr="006F6C74">
        <w:t xml:space="preserve"> 54.804(c)(2)</w:t>
      </w:r>
      <w:r>
        <w:t>(</w:t>
      </w:r>
      <w:r>
        <w:t>i</w:t>
      </w:r>
      <w:r>
        <w:t>)(B).</w:t>
      </w:r>
    </w:p>
  </w:footnote>
  <w:footnote w:id="5">
    <w:p w:rsidR="009A55DE" w:rsidP="009A55DE" w14:paraId="7B4BAB4F" w14:textId="77777777">
      <w:pPr>
        <w:pStyle w:val="FootnoteText"/>
      </w:pPr>
      <w:r>
        <w:rPr>
          <w:rStyle w:val="FootnoteReference"/>
        </w:rPr>
        <w:footnoteRef/>
      </w:r>
      <w:r>
        <w:t xml:space="preserve"> </w:t>
      </w:r>
      <w:r>
        <w:t xml:space="preserve">47 CFR §§ 54.315(c); 54.804(c); </w:t>
      </w:r>
      <w:r w:rsidRPr="00B03C2A">
        <w:rPr>
          <w:i/>
          <w:iCs/>
        </w:rPr>
        <w:t>Connect America Fund et al.</w:t>
      </w:r>
      <w:r>
        <w:t xml:space="preserve">, Report and Order and Further Notice of Proposed Rulemaking, 31 FCC </w:t>
      </w:r>
      <w:r>
        <w:t>Rcd</w:t>
      </w:r>
      <w:r>
        <w:t xml:space="preserve"> 5949, 5989-99, paras. 119-40 (2016) (</w:t>
      </w:r>
      <w:r w:rsidRPr="00B03C2A">
        <w:rPr>
          <w:i/>
          <w:iCs/>
        </w:rPr>
        <w:t>CAF Phase II Auction Order</w:t>
      </w:r>
      <w:r>
        <w:t>).</w:t>
      </w:r>
    </w:p>
  </w:footnote>
  <w:footnote w:id="6">
    <w:p w:rsidR="009A55DE" w:rsidP="009A55DE" w14:paraId="20F7F335" w14:textId="77777777">
      <w:pPr>
        <w:pStyle w:val="FootnoteText"/>
      </w:pPr>
      <w:r>
        <w:rPr>
          <w:rStyle w:val="FootnoteReference"/>
        </w:rPr>
        <w:footnoteRef/>
      </w:r>
      <w:r>
        <w:t xml:space="preserve"> </w:t>
      </w:r>
      <w:r>
        <w:t>47 CFR §§ 54.315(c); 54.804(c).</w:t>
      </w:r>
    </w:p>
  </w:footnote>
  <w:footnote w:id="7">
    <w:p w:rsidR="009A55DE" w:rsidRPr="003B3ADA" w:rsidP="009A55DE" w14:paraId="6339F552" w14:textId="77777777">
      <w:pPr>
        <w:pStyle w:val="FootnoteText"/>
      </w:pPr>
      <w:r>
        <w:rPr>
          <w:rStyle w:val="FootnoteReference"/>
        </w:rPr>
        <w:footnoteRef/>
      </w:r>
      <w:r>
        <w:t xml:space="preserve"> </w:t>
      </w:r>
      <w:r w:rsidRPr="00B03C2A">
        <w:rPr>
          <w:i/>
          <w:iCs/>
        </w:rPr>
        <w:t>CAF Phase II Auction Order</w:t>
      </w:r>
      <w:r>
        <w:t xml:space="preserve">, 31 FCC </w:t>
      </w:r>
      <w:r>
        <w:t>Rcd</w:t>
      </w:r>
      <w:r>
        <w:t xml:space="preserve"> at 5993, para. 127.</w:t>
      </w:r>
    </w:p>
  </w:footnote>
  <w:footnote w:id="8">
    <w:p w:rsidR="009A55DE" w:rsidP="009A55DE" w14:paraId="4185260D" w14:textId="77777777">
      <w:pPr>
        <w:pStyle w:val="FootnoteText"/>
      </w:pPr>
      <w:r>
        <w:rPr>
          <w:rStyle w:val="FootnoteReference"/>
        </w:rPr>
        <w:footnoteRef/>
      </w:r>
      <w:r>
        <w:t xml:space="preserve"> </w:t>
      </w:r>
      <w:r>
        <w:t>Point Broadband Petition at 3.</w:t>
      </w:r>
    </w:p>
  </w:footnote>
  <w:footnote w:id="9">
    <w:p w:rsidR="009A55DE" w:rsidRPr="0008469A" w:rsidP="009A55DE" w14:paraId="2C11A3B4" w14:textId="77777777">
      <w:pPr>
        <w:pStyle w:val="FootnoteText"/>
      </w:pPr>
      <w:r>
        <w:rPr>
          <w:rStyle w:val="FootnoteReference"/>
        </w:rPr>
        <w:footnoteRef/>
      </w:r>
      <w:r>
        <w:t xml:space="preserve"> </w:t>
      </w:r>
      <w:r>
        <w:rPr>
          <w:i/>
          <w:iCs/>
        </w:rPr>
        <w:t>Id</w:t>
      </w:r>
      <w:r>
        <w:t>.</w:t>
      </w:r>
    </w:p>
  </w:footnote>
  <w:footnote w:id="10">
    <w:p w:rsidR="009A55DE" w:rsidRPr="000163F8" w:rsidP="009A55DE" w14:paraId="3BC20835" w14:textId="77777777">
      <w:pPr>
        <w:pStyle w:val="FootnoteText"/>
      </w:pPr>
      <w:r>
        <w:rPr>
          <w:rStyle w:val="FootnoteReference"/>
        </w:rPr>
        <w:footnoteRef/>
      </w:r>
      <w:r>
        <w:t xml:space="preserve"> </w:t>
      </w:r>
      <w:r>
        <w:rPr>
          <w:i/>
          <w:iCs/>
        </w:rPr>
        <w:t xml:space="preserve">Id. </w:t>
      </w:r>
      <w:r>
        <w:t>at 3.  One of Point Broadband’s Auction 903 LOCs does not expire until June 15, 2023.</w:t>
      </w:r>
    </w:p>
  </w:footnote>
  <w:footnote w:id="11">
    <w:p w:rsidR="009A55DE" w:rsidP="009A55DE" w14:paraId="1DC1AE9A" w14:textId="77777777">
      <w:pPr>
        <w:pStyle w:val="FootnoteText"/>
      </w:pPr>
      <w:r>
        <w:rPr>
          <w:rStyle w:val="FootnoteReference"/>
        </w:rPr>
        <w:footnoteRef/>
      </w:r>
      <w:r>
        <w:t xml:space="preserve"> </w:t>
      </w:r>
      <w:r w:rsidRPr="007F4A5D">
        <w:t>47 CFR § 1.3</w:t>
      </w:r>
      <w:r>
        <w:t>.</w:t>
      </w:r>
    </w:p>
  </w:footnote>
  <w:footnote w:id="12">
    <w:p w:rsidR="009A55DE" w:rsidRPr="008C2A06" w:rsidP="009A55DE" w14:paraId="2A53F927"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3">
    <w:p w:rsidR="009A55DE" w:rsidRPr="00FD7A33" w:rsidP="009A55DE" w14:paraId="728A1146" w14:textId="26A21E99">
      <w:pPr>
        <w:pStyle w:val="FootnoteText"/>
      </w:pPr>
      <w:r w:rsidRPr="00B047D8">
        <w:rPr>
          <w:rStyle w:val="FootnoteReference"/>
        </w:rPr>
        <w:footnoteRef/>
      </w:r>
      <w:r w:rsidRPr="00B047D8">
        <w:t xml:space="preserve"> </w:t>
      </w:r>
      <w:r w:rsidRPr="00B047D8">
        <w:rPr>
          <w:i/>
          <w:iCs/>
        </w:rPr>
        <w:t>See</w:t>
      </w:r>
      <w:r w:rsidRPr="00B047D8">
        <w:t xml:space="preserve"> </w:t>
      </w:r>
      <w:r w:rsidRPr="00D615C1">
        <w:rPr>
          <w:i/>
          <w:iCs/>
        </w:rPr>
        <w:t>Connect America Fund Phase II Auction Support Authorized for 2,413 Winning Bids</w:t>
      </w:r>
      <w:r>
        <w:t xml:space="preserve">, Public Notice, 34 FCC </w:t>
      </w:r>
      <w:r>
        <w:t>Rcd</w:t>
      </w:r>
      <w:r>
        <w:t xml:space="preserve"> 5966 (WCB 2019) (authorizing Crystal Automation Systems’ to provide service to 17,610 locations in Michigan).  </w:t>
      </w:r>
      <w:r>
        <w:rPr>
          <w:i/>
          <w:iCs/>
        </w:rPr>
        <w:t xml:space="preserve">See also </w:t>
      </w:r>
      <w:r w:rsidRPr="00B423F1">
        <w:rPr>
          <w:i/>
          <w:iCs/>
        </w:rPr>
        <w:t>Notice of Domestic Section 214 Authorization Granted</w:t>
      </w:r>
      <w:r w:rsidRPr="009A55DE">
        <w:t>,</w:t>
      </w:r>
      <w:r w:rsidRPr="00B423F1">
        <w:rPr>
          <w:i/>
          <w:iCs/>
        </w:rPr>
        <w:t xml:space="preserve"> </w:t>
      </w:r>
      <w:r w:rsidRPr="005E67C9">
        <w:t xml:space="preserve">35 FCC </w:t>
      </w:r>
      <w:r w:rsidRPr="005E67C9">
        <w:t>Rcd</w:t>
      </w:r>
      <w:r w:rsidRPr="005E67C9">
        <w:t xml:space="preserve"> 10494 </w:t>
      </w:r>
      <w:r w:rsidRPr="00D615C1">
        <w:t>(WCB 2020) (authorizing Point</w:t>
      </w:r>
      <w:r>
        <w:t xml:space="preserve"> Broadband</w:t>
      </w:r>
      <w:r w:rsidRPr="00D615C1">
        <w:t xml:space="preserve"> Fiber’s acquisition of the CAF II obligations and support of Crystal Automation Systems, Inc.)</w:t>
      </w:r>
      <w:r>
        <w:t>;</w:t>
      </w:r>
      <w:r w:rsidRPr="00B423F1">
        <w:rPr>
          <w:i/>
          <w:iCs/>
        </w:rPr>
        <w:t xml:space="preserve"> </w:t>
      </w:r>
      <w:r w:rsidRPr="00C27B59">
        <w:rPr>
          <w:i/>
          <w:iCs/>
        </w:rPr>
        <w:t xml:space="preserve">Connect America Fund Phase II Auction Support Authorized for </w:t>
      </w:r>
      <w:r>
        <w:rPr>
          <w:i/>
          <w:iCs/>
        </w:rPr>
        <w:t>387</w:t>
      </w:r>
      <w:r w:rsidRPr="00C27B59">
        <w:rPr>
          <w:i/>
          <w:iCs/>
        </w:rPr>
        <w:t xml:space="preserve"> Winning Bids</w:t>
      </w:r>
      <w:r>
        <w:t xml:space="preserve">, Public Notice, 34 FCC </w:t>
      </w:r>
      <w:r>
        <w:t>Rcd</w:t>
      </w:r>
      <w:r>
        <w:t xml:space="preserve"> 9406 (WCB 2019) (authorizing Point Broadband to provide service to 6,998 locations in Virginia and 2,095 locations in Tennessee).  Point Broadband has deployed service to over 40% of those locations in each of the three states.  </w:t>
      </w:r>
      <w:r>
        <w:rPr>
          <w:i/>
          <w:iCs/>
        </w:rPr>
        <w:t xml:space="preserve">See </w:t>
      </w:r>
      <w:hyperlink r:id="rId1" w:history="1">
        <w:r w:rsidRPr="002210C6">
          <w:rPr>
            <w:rStyle w:val="Hyperlink"/>
          </w:rPr>
          <w:t>https://data.usac.org/publicreports/caf-map/</w:t>
        </w:r>
      </w:hyperlink>
      <w:r>
        <w:t xml:space="preserve">. </w:t>
      </w:r>
    </w:p>
  </w:footnote>
  <w:footnote w:id="14">
    <w:p w:rsidR="009A55DE" w:rsidP="009A55DE" w14:paraId="35C5AEE7" w14:textId="77777777">
      <w:pPr>
        <w:pStyle w:val="FootnoteText"/>
      </w:pPr>
      <w:r>
        <w:rPr>
          <w:rStyle w:val="FootnoteReference"/>
        </w:rPr>
        <w:footnoteRef/>
      </w:r>
      <w:r>
        <w:t xml:space="preserve"> </w:t>
      </w:r>
      <w:r w:rsidRPr="00531F36">
        <w:rPr>
          <w:i/>
          <w:iCs/>
        </w:rPr>
        <w:t>See</w:t>
      </w:r>
      <w:r>
        <w:t xml:space="preserve"> Weiss Ratings for Ally Bank available at </w:t>
      </w:r>
      <w:hyperlink r:id="rId2" w:history="1">
        <w:r w:rsidRPr="00FA0FA9">
          <w:rPr>
            <w:rStyle w:val="Hyperlink"/>
          </w:rPr>
          <w:t>https://weissratings.com/en/bank/57803</w:t>
        </w:r>
      </w:hyperlink>
      <w:r>
        <w:t xml:space="preserve"> (last visited Sept. 12, 2022).</w:t>
      </w:r>
    </w:p>
  </w:footnote>
  <w:footnote w:id="15">
    <w:p w:rsidR="009A55DE" w:rsidP="009A55DE" w14:paraId="7BD3B326" w14:textId="77777777">
      <w:pPr>
        <w:pStyle w:val="FootnoteText"/>
      </w:pPr>
      <w:r>
        <w:rPr>
          <w:rStyle w:val="FootnoteReference"/>
        </w:rPr>
        <w:footnoteRef/>
      </w:r>
      <w:r>
        <w:t xml:space="preserve"> </w:t>
      </w:r>
      <w:r>
        <w:t>Point Broadband Petition at 4-5.</w:t>
      </w:r>
    </w:p>
  </w:footnote>
  <w:footnote w:id="16">
    <w:p w:rsidR="009A55DE" w:rsidRPr="006C4319" w:rsidP="009A55DE" w14:paraId="038CB3D7" w14:textId="48DC5255">
      <w:pPr>
        <w:pStyle w:val="FootnoteText"/>
      </w:pPr>
      <w:r>
        <w:rPr>
          <w:rStyle w:val="FootnoteReference"/>
        </w:rPr>
        <w:footnoteRef/>
      </w:r>
      <w:r>
        <w:t xml:space="preserve"> </w:t>
      </w:r>
      <w:r>
        <w:rPr>
          <w:i/>
          <w:iCs/>
        </w:rPr>
        <w:t xml:space="preserve">See </w:t>
      </w:r>
      <w:r w:rsidRPr="00B03C2A">
        <w:rPr>
          <w:i/>
          <w:iCs/>
        </w:rPr>
        <w:t>CAF Phase II Auction Order</w:t>
      </w:r>
      <w:r>
        <w:t xml:space="preserve">, 31 FCC </w:t>
      </w:r>
      <w:r>
        <w:t>Rcd</w:t>
      </w:r>
      <w:r>
        <w:t xml:space="preserve"> at 5992-93, para. 126 (noting the importance of “</w:t>
      </w:r>
      <w:r w:rsidRPr="00A73554">
        <w:t>maintaining objective</w:t>
      </w:r>
      <w:r>
        <w:t xml:space="preserve"> </w:t>
      </w:r>
      <w:r w:rsidRPr="00A73554">
        <w:t>criteria that will provide sufficient assurance that letters of credit issued</w:t>
      </w:r>
      <w:r>
        <w:t xml:space="preserve"> [to Auction support recipients] will be honored”).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7A3D851" w14:textId="03D87E91">
    <w:pPr>
      <w:pStyle w:val="Header"/>
      <w:rPr>
        <w:b w:val="0"/>
      </w:rPr>
    </w:pPr>
    <w:r>
      <w:tab/>
    </w:r>
    <w:r>
      <w:t>Federal Communications Commission</w:t>
    </w:r>
    <w:r>
      <w:tab/>
    </w:r>
    <w:r w:rsidR="004E0D37">
      <w:t>DA 22-951</w:t>
    </w:r>
  </w:p>
  <w:p w:rsidR="00D25FB5" w14:paraId="73AE7B7B"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07C418A5"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CD40A81" w14:textId="330FD64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4E0D37">
      <w:rPr>
        <w:spacing w:val="-2"/>
      </w:rPr>
      <w:t>DA 22-951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5DE"/>
    <w:rsid w:val="000163F8"/>
    <w:rsid w:val="00036039"/>
    <w:rsid w:val="00037F90"/>
    <w:rsid w:val="0008469A"/>
    <w:rsid w:val="000875BF"/>
    <w:rsid w:val="00096D8C"/>
    <w:rsid w:val="000C0B65"/>
    <w:rsid w:val="000E05FE"/>
    <w:rsid w:val="000E3D42"/>
    <w:rsid w:val="00122BD5"/>
    <w:rsid w:val="00133C02"/>
    <w:rsid w:val="00133F79"/>
    <w:rsid w:val="00181AA3"/>
    <w:rsid w:val="0019242C"/>
    <w:rsid w:val="00194A66"/>
    <w:rsid w:val="001B083B"/>
    <w:rsid w:val="001D6BCF"/>
    <w:rsid w:val="001E01CA"/>
    <w:rsid w:val="002210C6"/>
    <w:rsid w:val="00275CF5"/>
    <w:rsid w:val="0028301F"/>
    <w:rsid w:val="00285017"/>
    <w:rsid w:val="002A2D2E"/>
    <w:rsid w:val="002C00E8"/>
    <w:rsid w:val="00343749"/>
    <w:rsid w:val="003660ED"/>
    <w:rsid w:val="003B0550"/>
    <w:rsid w:val="003B3ADA"/>
    <w:rsid w:val="003B694F"/>
    <w:rsid w:val="003E687F"/>
    <w:rsid w:val="003F171C"/>
    <w:rsid w:val="00412FC5"/>
    <w:rsid w:val="00422276"/>
    <w:rsid w:val="004227FB"/>
    <w:rsid w:val="004242F1"/>
    <w:rsid w:val="00445A00"/>
    <w:rsid w:val="00451B0F"/>
    <w:rsid w:val="00480EC3"/>
    <w:rsid w:val="004C2EE3"/>
    <w:rsid w:val="004D0350"/>
    <w:rsid w:val="004E0D37"/>
    <w:rsid w:val="004E4A22"/>
    <w:rsid w:val="00511968"/>
    <w:rsid w:val="00531F36"/>
    <w:rsid w:val="0055614C"/>
    <w:rsid w:val="00566D06"/>
    <w:rsid w:val="005E14C2"/>
    <w:rsid w:val="005E67C9"/>
    <w:rsid w:val="00607BA5"/>
    <w:rsid w:val="0061180A"/>
    <w:rsid w:val="00626EB6"/>
    <w:rsid w:val="00655D03"/>
    <w:rsid w:val="00683388"/>
    <w:rsid w:val="00683F84"/>
    <w:rsid w:val="00691864"/>
    <w:rsid w:val="006A6A81"/>
    <w:rsid w:val="006C4319"/>
    <w:rsid w:val="006D6D46"/>
    <w:rsid w:val="006F6C74"/>
    <w:rsid w:val="006F7393"/>
    <w:rsid w:val="0070224F"/>
    <w:rsid w:val="007115F7"/>
    <w:rsid w:val="00785689"/>
    <w:rsid w:val="0079754B"/>
    <w:rsid w:val="007A1E6D"/>
    <w:rsid w:val="007B0EB2"/>
    <w:rsid w:val="007F4A5D"/>
    <w:rsid w:val="00810B6F"/>
    <w:rsid w:val="00822CE0"/>
    <w:rsid w:val="00841AB1"/>
    <w:rsid w:val="008C2A06"/>
    <w:rsid w:val="008C68F1"/>
    <w:rsid w:val="00921803"/>
    <w:rsid w:val="00926503"/>
    <w:rsid w:val="009726D8"/>
    <w:rsid w:val="00987143"/>
    <w:rsid w:val="009A55DE"/>
    <w:rsid w:val="009D7308"/>
    <w:rsid w:val="009F76DB"/>
    <w:rsid w:val="00A32C3B"/>
    <w:rsid w:val="00A45F4F"/>
    <w:rsid w:val="00A600A9"/>
    <w:rsid w:val="00A73554"/>
    <w:rsid w:val="00AA55B7"/>
    <w:rsid w:val="00AA5B9E"/>
    <w:rsid w:val="00AB2407"/>
    <w:rsid w:val="00AB53DF"/>
    <w:rsid w:val="00B03C2A"/>
    <w:rsid w:val="00B047D8"/>
    <w:rsid w:val="00B07E5C"/>
    <w:rsid w:val="00B423F1"/>
    <w:rsid w:val="00B811F7"/>
    <w:rsid w:val="00BA5DC6"/>
    <w:rsid w:val="00BA6196"/>
    <w:rsid w:val="00BB3C3D"/>
    <w:rsid w:val="00BC6D8C"/>
    <w:rsid w:val="00C27B59"/>
    <w:rsid w:val="00C34006"/>
    <w:rsid w:val="00C36B4C"/>
    <w:rsid w:val="00C426B1"/>
    <w:rsid w:val="00C43DCE"/>
    <w:rsid w:val="00C66160"/>
    <w:rsid w:val="00C721AC"/>
    <w:rsid w:val="00C90D6A"/>
    <w:rsid w:val="00C9299B"/>
    <w:rsid w:val="00CA247E"/>
    <w:rsid w:val="00CA6D21"/>
    <w:rsid w:val="00CC72B6"/>
    <w:rsid w:val="00D0218D"/>
    <w:rsid w:val="00D25FB5"/>
    <w:rsid w:val="00D3563D"/>
    <w:rsid w:val="00D44223"/>
    <w:rsid w:val="00D615C1"/>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6751B"/>
    <w:rsid w:val="00F93BF5"/>
    <w:rsid w:val="00FA0FA9"/>
    <w:rsid w:val="00FD7A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559CAE1"/>
  <w15:chartTrackingRefBased/>
  <w15:docId w15:val="{50AEBB04-47A7-45D3-88D9-280AC0EF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55DE"/>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9A55DE"/>
    <w:rPr>
      <w:rFonts w:ascii="Times New Roman Bold" w:hAnsi="Times New Roman Bold"/>
      <w:b/>
      <w:caps/>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9A55DE"/>
  </w:style>
  <w:style w:type="character" w:customStyle="1" w:styleId="ParaNumChar">
    <w:name w:val="ParaNum Char"/>
    <w:link w:val="ParaNum"/>
    <w:locked/>
    <w:rsid w:val="009A55D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data.usac.org/publicreports/caf-map/" TargetMode="External" /><Relationship Id="rId2" Type="http://schemas.openxmlformats.org/officeDocument/2006/relationships/hyperlink" Target="https://weissratings.com/en/bank/57803"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