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6106E" w14:paraId="377CC4A4" w14:textId="77777777">
      <w:pPr>
        <w:jc w:val="right"/>
        <w:rPr>
          <w:sz w:val="24"/>
        </w:rPr>
      </w:pPr>
    </w:p>
    <w:p w:rsidR="0006106E" w14:paraId="6D03B4C5" w14:textId="74D12DBB">
      <w:pPr>
        <w:jc w:val="right"/>
        <w:rPr>
          <w:b/>
          <w:sz w:val="24"/>
        </w:rPr>
      </w:pPr>
      <w:r>
        <w:rPr>
          <w:b/>
          <w:sz w:val="24"/>
        </w:rPr>
        <w:t>DA 22-</w:t>
      </w:r>
      <w:r w:rsidR="00172AF4">
        <w:rPr>
          <w:b/>
          <w:sz w:val="24"/>
        </w:rPr>
        <w:t>943</w:t>
      </w:r>
    </w:p>
    <w:p w:rsidR="006F0991" w:rsidP="006F0991" w14:paraId="16313619" w14:textId="5BD24938">
      <w:pPr>
        <w:spacing w:before="60"/>
        <w:jc w:val="right"/>
        <w:rPr>
          <w:b/>
          <w:sz w:val="24"/>
        </w:rPr>
      </w:pPr>
      <w:r>
        <w:rPr>
          <w:b/>
          <w:sz w:val="24"/>
        </w:rPr>
        <w:t xml:space="preserve">Released:  </w:t>
      </w:r>
      <w:r>
        <w:rPr>
          <w:b/>
          <w:sz w:val="24"/>
        </w:rPr>
        <w:t>September 12, 2022</w:t>
      </w:r>
    </w:p>
    <w:p w:rsidR="0006106E" w14:paraId="64EE2CF0" w14:textId="77777777">
      <w:pPr>
        <w:jc w:val="right"/>
        <w:rPr>
          <w:sz w:val="24"/>
        </w:rPr>
      </w:pPr>
    </w:p>
    <w:p w:rsidR="0006106E" w14:paraId="203EE289" w14:textId="790F33A0">
      <w:pPr>
        <w:spacing w:after="240"/>
        <w:jc w:val="center"/>
        <w:rPr>
          <w:rFonts w:ascii="Times New Roman Bold" w:hAnsi="Times New Roman Bold"/>
          <w:b/>
          <w:caps/>
          <w:sz w:val="24"/>
        </w:rPr>
      </w:pPr>
      <w:bookmarkStart w:id="0" w:name="_Hlk113881011"/>
      <w:r>
        <w:rPr>
          <w:rFonts w:ascii="Times New Roman Bold" w:hAnsi="Times New Roman Bold"/>
          <w:b/>
          <w:caps/>
          <w:sz w:val="24"/>
        </w:rPr>
        <w:t>wireline competition bureau seeks comment on two petitions for relinquishment of eligible telecommunications carrier designation from t-mobile</w:t>
      </w:r>
      <w:bookmarkEnd w:id="0"/>
    </w:p>
    <w:p w:rsidR="0006106E" w14:paraId="40AB68FE" w14:textId="0D7CBC32">
      <w:pPr>
        <w:jc w:val="center"/>
        <w:rPr>
          <w:b/>
          <w:sz w:val="24"/>
        </w:rPr>
      </w:pPr>
      <w:r>
        <w:rPr>
          <w:b/>
          <w:sz w:val="24"/>
        </w:rPr>
        <w:t>WC Docket No. 09-197</w:t>
      </w:r>
    </w:p>
    <w:p w:rsidR="0006106E" w14:paraId="0AE79EEF" w14:textId="77777777">
      <w:bookmarkStart w:id="1" w:name="TOChere"/>
    </w:p>
    <w:p w:rsidR="006F0991" w:rsidRPr="003C6CBA" w:rsidP="006F0991" w14:paraId="47484EC4" w14:textId="77777777">
      <w:pPr>
        <w:pStyle w:val="paragraph"/>
        <w:spacing w:before="0" w:beforeAutospacing="0" w:after="0" w:afterAutospacing="0"/>
        <w:textAlignment w:val="baseline"/>
        <w:rPr>
          <w:rFonts w:ascii="Segoe UI" w:hAnsi="Segoe UI" w:cs="Segoe UI"/>
          <w:sz w:val="22"/>
          <w:szCs w:val="22"/>
        </w:rPr>
      </w:pPr>
      <w:r w:rsidRPr="003C6CBA">
        <w:rPr>
          <w:rStyle w:val="normaltextrun"/>
          <w:b/>
          <w:bCs/>
          <w:sz w:val="22"/>
          <w:szCs w:val="22"/>
        </w:rPr>
        <w:t>Comment Date:  September 27, 2022</w:t>
      </w:r>
      <w:r w:rsidRPr="003C6CBA">
        <w:rPr>
          <w:rStyle w:val="eop"/>
          <w:sz w:val="22"/>
          <w:szCs w:val="22"/>
        </w:rPr>
        <w:t> </w:t>
      </w:r>
    </w:p>
    <w:p w:rsidR="006F0991" w:rsidRPr="003C6CBA" w:rsidP="006F0991" w14:paraId="3C02A299" w14:textId="0EC82D23">
      <w:pPr>
        <w:pStyle w:val="paragraph"/>
        <w:spacing w:before="0" w:beforeAutospacing="0" w:after="0" w:afterAutospacing="0"/>
        <w:textAlignment w:val="baseline"/>
        <w:rPr>
          <w:rStyle w:val="eop"/>
          <w:sz w:val="22"/>
          <w:szCs w:val="22"/>
        </w:rPr>
      </w:pPr>
      <w:r w:rsidRPr="003C6CBA">
        <w:rPr>
          <w:rStyle w:val="normaltextrun"/>
          <w:b/>
          <w:bCs/>
          <w:sz w:val="22"/>
          <w:szCs w:val="22"/>
        </w:rPr>
        <w:t>Reply Comment Date:  October 12, 2022</w:t>
      </w:r>
    </w:p>
    <w:p w:rsidR="006F0991" w:rsidP="006F0991" w14:paraId="6ADFFB88" w14:textId="77777777">
      <w:pPr>
        <w:pStyle w:val="paragraph"/>
        <w:spacing w:before="0" w:beforeAutospacing="0" w:after="0" w:afterAutospacing="0"/>
        <w:textAlignment w:val="baseline"/>
        <w:rPr>
          <w:rFonts w:ascii="Segoe UI" w:hAnsi="Segoe UI" w:cs="Segoe UI"/>
          <w:sz w:val="18"/>
          <w:szCs w:val="18"/>
        </w:rPr>
      </w:pPr>
    </w:p>
    <w:p w:rsidR="006F0991" w:rsidRPr="003C6CBA" w:rsidP="003C6CBA" w14:paraId="455BC3AE" w14:textId="5FAC0CA6">
      <w:pPr>
        <w:pStyle w:val="paragraph"/>
        <w:spacing w:before="0" w:beforeAutospacing="0" w:after="120" w:afterAutospacing="0"/>
        <w:ind w:firstLine="720"/>
        <w:textAlignment w:val="baseline"/>
        <w:rPr>
          <w:szCs w:val="22"/>
        </w:rPr>
      </w:pPr>
      <w:bookmarkStart w:id="2" w:name="_Hlk113881907"/>
      <w:r>
        <w:rPr>
          <w:rStyle w:val="normaltextrun"/>
          <w:sz w:val="22"/>
          <w:szCs w:val="22"/>
        </w:rPr>
        <w:t xml:space="preserve">The Wireline Competition Bureau (Bureau) seeks comment on two petitions for relinquishment of Eligible Telecommunications </w:t>
      </w:r>
      <w:r w:rsidRPr="006F0991">
        <w:rPr>
          <w:rStyle w:val="normaltextrun"/>
          <w:sz w:val="22"/>
          <w:szCs w:val="22"/>
        </w:rPr>
        <w:t>Carrier (ETC) Designation pursuant to 47 U.S.C. § 214(e)(4) filed by T-Mobile</w:t>
      </w:r>
      <w:r>
        <w:rPr>
          <w:rStyle w:val="normaltextrun"/>
          <w:sz w:val="22"/>
          <w:szCs w:val="22"/>
        </w:rPr>
        <w:t>.</w:t>
      </w:r>
      <w:r>
        <w:rPr>
          <w:rStyle w:val="FootnoteReference"/>
          <w:szCs w:val="22"/>
        </w:rPr>
        <w:footnoteReference w:id="3"/>
      </w:r>
      <w:r w:rsidRPr="006F0991">
        <w:rPr>
          <w:rStyle w:val="normaltextrun"/>
          <w:sz w:val="22"/>
          <w:szCs w:val="22"/>
        </w:rPr>
        <w:t>  T-Mobile seeks to relinquish its ETC designation for which it is eligible to receive high cost and Lifeline support in Florida and its Lifeline-only ETC designation in Virginia.</w:t>
      </w:r>
      <w:bookmarkEnd w:id="2"/>
      <w:r w:rsidRPr="006F0991">
        <w:rPr>
          <w:rStyle w:val="eop"/>
          <w:szCs w:val="22"/>
        </w:rPr>
        <w:t> </w:t>
      </w:r>
    </w:p>
    <w:p w:rsidR="006F0991" w:rsidP="003C6CBA" w14:paraId="3570F0F9" w14:textId="5FB7B080">
      <w:pPr>
        <w:pStyle w:val="paragraph"/>
        <w:spacing w:before="0" w:beforeAutospacing="0" w:after="120" w:afterAutospacing="0"/>
        <w:ind w:firstLine="720"/>
        <w:textAlignment w:val="baseline"/>
        <w:rPr>
          <w:rFonts w:ascii="Segoe UI" w:hAnsi="Segoe UI" w:cs="Segoe UI"/>
          <w:sz w:val="18"/>
          <w:szCs w:val="18"/>
        </w:rPr>
      </w:pPr>
      <w:r>
        <w:rPr>
          <w:rStyle w:val="normaltextrun"/>
          <w:i/>
          <w:iCs/>
          <w:sz w:val="22"/>
          <w:szCs w:val="22"/>
        </w:rPr>
        <w:t xml:space="preserve">Filing Requirements.  </w:t>
      </w:r>
      <w:r>
        <w:rPr>
          <w:rStyle w:val="normaltextrun"/>
          <w:sz w:val="22"/>
          <w:szCs w:val="22"/>
        </w:rPr>
        <w:t>Interested parties may file comments on or before the date indicated on the first page of this document.</w:t>
      </w:r>
      <w:r>
        <w:rPr>
          <w:rStyle w:val="FootnoteReference"/>
          <w:szCs w:val="22"/>
        </w:rPr>
        <w:footnoteReference w:id="4"/>
      </w:r>
      <w:r>
        <w:rPr>
          <w:rStyle w:val="normaltextrun"/>
          <w:sz w:val="22"/>
          <w:szCs w:val="22"/>
        </w:rPr>
        <w:t xml:space="preserve">  All filings must refer to </w:t>
      </w:r>
      <w:r>
        <w:rPr>
          <w:rStyle w:val="normaltextrun"/>
          <w:b/>
          <w:bCs/>
          <w:sz w:val="22"/>
          <w:szCs w:val="22"/>
        </w:rPr>
        <w:t>WC Docket No. 09-197</w:t>
      </w:r>
      <w:r>
        <w:rPr>
          <w:rStyle w:val="normaltextrun"/>
          <w:sz w:val="22"/>
          <w:szCs w:val="22"/>
        </w:rPr>
        <w:t>.</w:t>
      </w:r>
      <w:r>
        <w:rPr>
          <w:rStyle w:val="FootnoteReference"/>
          <w:szCs w:val="22"/>
        </w:rPr>
        <w:footnoteReference w:id="5"/>
      </w:r>
      <w:r>
        <w:rPr>
          <w:rStyle w:val="normaltextrun"/>
          <w:sz w:val="22"/>
          <w:szCs w:val="22"/>
        </w:rPr>
        <w:t>  Comments may be filed using the Commission’s Electronic Comment Filing System (ECFS).</w:t>
      </w:r>
      <w:r>
        <w:rPr>
          <w:rStyle w:val="FootnoteReference"/>
          <w:szCs w:val="22"/>
        </w:rPr>
        <w:footnoteReference w:id="6"/>
      </w:r>
      <w:r>
        <w:rPr>
          <w:rStyle w:val="normaltextrun"/>
          <w:sz w:val="22"/>
          <w:szCs w:val="22"/>
        </w:rPr>
        <w:t> </w:t>
      </w:r>
      <w:r>
        <w:rPr>
          <w:rStyle w:val="eop"/>
          <w:szCs w:val="22"/>
        </w:rPr>
        <w:t> </w:t>
      </w:r>
    </w:p>
    <w:p w:rsidR="006F0991" w:rsidP="003C6CBA" w14:paraId="48D963BD" w14:textId="77777777">
      <w:pPr>
        <w:pStyle w:val="paragraph"/>
        <w:numPr>
          <w:ilvl w:val="0"/>
          <w:numId w:val="7"/>
        </w:numPr>
        <w:spacing w:before="0" w:beforeAutospacing="0" w:after="120" w:afterAutospacing="0"/>
        <w:ind w:left="1440"/>
        <w:textAlignment w:val="baseline"/>
        <w:rPr>
          <w:sz w:val="22"/>
          <w:szCs w:val="22"/>
        </w:rPr>
      </w:pPr>
      <w:r>
        <w:rPr>
          <w:rStyle w:val="normaltextrun"/>
          <w:sz w:val="22"/>
          <w:szCs w:val="22"/>
        </w:rPr>
        <w:t xml:space="preserve">Electronic Filers:  Comments may be filed electronically using the Commission’s online Electronic Comment Filing System (ECFS):  </w:t>
      </w:r>
      <w:r>
        <w:rPr>
          <w:rStyle w:val="normaltextrun"/>
          <w:color w:val="0000FF"/>
          <w:sz w:val="22"/>
          <w:szCs w:val="22"/>
          <w:u w:val="single"/>
        </w:rPr>
        <w:t>https://www.fcc.gov/ecfs/</w:t>
      </w:r>
      <w:r>
        <w:rPr>
          <w:rStyle w:val="normaltextrun"/>
          <w:sz w:val="22"/>
          <w:szCs w:val="22"/>
        </w:rPr>
        <w:t>.  </w:t>
      </w:r>
      <w:r>
        <w:rPr>
          <w:rStyle w:val="eop"/>
          <w:szCs w:val="22"/>
        </w:rPr>
        <w:t> </w:t>
      </w:r>
    </w:p>
    <w:p w:rsidR="006F0991" w:rsidP="003C6CBA" w14:paraId="56D416FC" w14:textId="77777777">
      <w:pPr>
        <w:pStyle w:val="paragraph"/>
        <w:numPr>
          <w:ilvl w:val="0"/>
          <w:numId w:val="7"/>
        </w:numPr>
        <w:spacing w:before="0" w:beforeAutospacing="0" w:after="120" w:afterAutospacing="0"/>
        <w:ind w:left="1440"/>
        <w:textAlignment w:val="baseline"/>
        <w:rPr>
          <w:sz w:val="22"/>
          <w:szCs w:val="22"/>
        </w:rPr>
      </w:pPr>
      <w:r>
        <w:rPr>
          <w:rStyle w:val="normaltextrun"/>
          <w:sz w:val="22"/>
          <w:szCs w:val="22"/>
        </w:rPr>
        <w:t>Paper Filers:  Parties who choose to file by paper must file an original and one copy of each filing.</w:t>
      </w:r>
      <w:r>
        <w:rPr>
          <w:rStyle w:val="eop"/>
          <w:szCs w:val="22"/>
        </w:rPr>
        <w:t> </w:t>
      </w:r>
    </w:p>
    <w:p w:rsidR="006F0991" w:rsidP="003C6CBA" w14:paraId="2182ACC5" w14:textId="42F4A862">
      <w:pPr>
        <w:pStyle w:val="paragraph"/>
        <w:numPr>
          <w:ilvl w:val="0"/>
          <w:numId w:val="8"/>
        </w:numPr>
        <w:spacing w:before="0" w:beforeAutospacing="0" w:after="120" w:afterAutospacing="0"/>
        <w:ind w:left="2160"/>
        <w:textAlignment w:val="baseline"/>
        <w:rPr>
          <w:sz w:val="22"/>
          <w:szCs w:val="22"/>
        </w:rPr>
      </w:pPr>
      <w:r>
        <w:rPr>
          <w:rStyle w:val="normaltextrun"/>
          <w:sz w:val="22"/>
          <w:szCs w:val="22"/>
        </w:rPr>
        <w:t>Filings can be sent by commercial overnight courier, or by first-class or overnight U.S. Postal Service mail. </w:t>
      </w:r>
      <w:r w:rsidRPr="00D16C13">
        <w:rPr>
          <w:rStyle w:val="normaltextrun"/>
          <w:color w:val="498205"/>
          <w:sz w:val="22"/>
          <w:szCs w:val="22"/>
        </w:rPr>
        <w:t xml:space="preserve"> </w:t>
      </w:r>
      <w:r>
        <w:rPr>
          <w:rStyle w:val="normaltextrun"/>
          <w:sz w:val="22"/>
          <w:szCs w:val="22"/>
        </w:rPr>
        <w:t>All filings must be addressed to the Commission’s Secretary, Office of the Secretary, Federal Communications Commission.</w:t>
      </w:r>
      <w:r>
        <w:rPr>
          <w:rStyle w:val="eop"/>
          <w:szCs w:val="22"/>
        </w:rPr>
        <w:t> </w:t>
      </w:r>
    </w:p>
    <w:p w:rsidR="006F0991" w:rsidP="003C6CBA" w14:paraId="2D2AD8A2" w14:textId="77777777">
      <w:pPr>
        <w:pStyle w:val="paragraph"/>
        <w:numPr>
          <w:ilvl w:val="0"/>
          <w:numId w:val="8"/>
        </w:numPr>
        <w:spacing w:before="0" w:beforeAutospacing="0" w:after="120" w:afterAutospacing="0"/>
        <w:ind w:left="2160"/>
        <w:textAlignment w:val="baseline"/>
        <w:rPr>
          <w:sz w:val="22"/>
          <w:szCs w:val="22"/>
        </w:rPr>
      </w:pPr>
      <w:r>
        <w:rPr>
          <w:rStyle w:val="normaltextrun"/>
          <w:sz w:val="22"/>
          <w:szCs w:val="22"/>
        </w:rPr>
        <w:t xml:space="preserve">Commercial overnight mail (other than U.S. Postal Service Express Mail and Priority Mail) must be sent to 9050 Junction Drive, Annapolis Junction, MD </w:t>
      </w:r>
      <w:r>
        <w:rPr>
          <w:rStyle w:val="normaltextrun"/>
          <w:sz w:val="22"/>
          <w:szCs w:val="22"/>
        </w:rPr>
        <w:t>20701.  U.S. Postal Service first-class, Express, and Priority mail must be addressed to 45 L Street, NE, Washington DC 20554.</w:t>
      </w:r>
      <w:r>
        <w:rPr>
          <w:rStyle w:val="eop"/>
          <w:szCs w:val="22"/>
        </w:rPr>
        <w:t> </w:t>
      </w:r>
    </w:p>
    <w:p w:rsidR="006F0991" w:rsidRPr="008A362C" w:rsidP="003C6CBA" w14:paraId="1391B95D" w14:textId="55A82769">
      <w:pPr>
        <w:pStyle w:val="paragraph"/>
        <w:numPr>
          <w:ilvl w:val="0"/>
          <w:numId w:val="8"/>
        </w:numPr>
        <w:spacing w:before="0" w:beforeAutospacing="0" w:after="120" w:afterAutospacing="0"/>
        <w:ind w:left="2160"/>
        <w:textAlignment w:val="baseline"/>
        <w:rPr>
          <w:rStyle w:val="normaltextrun"/>
          <w:sz w:val="22"/>
          <w:szCs w:val="22"/>
        </w:rPr>
      </w:pPr>
      <w:r>
        <w:rPr>
          <w:rStyle w:val="normaltextrun"/>
          <w:sz w:val="22"/>
          <w:szCs w:val="22"/>
        </w:rPr>
        <w:t>Effective March 19, 2020, and until further notice, the Commission no longer accepts any hand or messenger delivered filings at its headquarters.  This is a temporary measure taken to help protect the health and safety of individuals, and to mitigate the transmission of COVID-19.</w:t>
      </w:r>
      <w:r>
        <w:rPr>
          <w:rStyle w:val="FootnoteReference"/>
          <w:szCs w:val="22"/>
        </w:rPr>
        <w:footnoteReference w:id="7"/>
      </w:r>
      <w:r>
        <w:rPr>
          <w:rStyle w:val="normaltextrun"/>
          <w:sz w:val="22"/>
          <w:szCs w:val="22"/>
        </w:rPr>
        <w:t>  </w:t>
      </w:r>
      <w:r>
        <w:rPr>
          <w:rStyle w:val="eop"/>
          <w:szCs w:val="22"/>
        </w:rPr>
        <w:t> </w:t>
      </w:r>
    </w:p>
    <w:p w:rsidR="006F0991" w:rsidRPr="003C6CBA" w:rsidP="003C6CBA" w14:paraId="161DFC1E" w14:textId="6A9ECEA7">
      <w:pPr>
        <w:pStyle w:val="paragraph"/>
        <w:spacing w:before="0" w:beforeAutospacing="0" w:after="120" w:afterAutospacing="0"/>
        <w:ind w:firstLine="720"/>
        <w:textAlignment w:val="baseline"/>
        <w:rPr>
          <w:rStyle w:val="normaltextrun"/>
          <w:rFonts w:ascii="Segoe UI" w:hAnsi="Segoe UI" w:cs="Segoe UI"/>
          <w:sz w:val="18"/>
          <w:szCs w:val="18"/>
        </w:rPr>
      </w:pPr>
      <w:r>
        <w:rPr>
          <w:rStyle w:val="normaltextrun"/>
          <w:i/>
          <w:iCs/>
          <w:sz w:val="22"/>
          <w:szCs w:val="22"/>
        </w:rPr>
        <w:t xml:space="preserve">Ex </w:t>
      </w:r>
      <w:r>
        <w:rPr>
          <w:rStyle w:val="spellingerror"/>
          <w:i/>
          <w:iCs/>
          <w:sz w:val="22"/>
          <w:szCs w:val="22"/>
        </w:rPr>
        <w:t>Parte</w:t>
      </w:r>
      <w:r>
        <w:rPr>
          <w:rStyle w:val="normaltextrun"/>
          <w:i/>
          <w:iCs/>
          <w:sz w:val="22"/>
          <w:szCs w:val="22"/>
        </w:rPr>
        <w:t xml:space="preserve"> Rules</w:t>
      </w:r>
      <w:r>
        <w:rPr>
          <w:rStyle w:val="normaltextrun"/>
          <w:sz w:val="22"/>
          <w:szCs w:val="22"/>
        </w:rPr>
        <w:t xml:space="preserve">.  This proceeding shall be treated as a “permit-but-disclose” proceeding in accordance with the Commission’s </w:t>
      </w:r>
      <w:r>
        <w:rPr>
          <w:rStyle w:val="normaltextrun"/>
          <w:i/>
          <w:iCs/>
          <w:sz w:val="22"/>
          <w:szCs w:val="22"/>
        </w:rPr>
        <w:t xml:space="preserve">ex </w:t>
      </w:r>
      <w:r>
        <w:rPr>
          <w:rStyle w:val="spellingerror"/>
          <w:i/>
          <w:iCs/>
          <w:sz w:val="22"/>
          <w:szCs w:val="22"/>
        </w:rPr>
        <w:t>parte</w:t>
      </w:r>
      <w:r>
        <w:rPr>
          <w:rStyle w:val="normaltextrun"/>
          <w:i/>
          <w:iCs/>
          <w:sz w:val="22"/>
          <w:szCs w:val="22"/>
        </w:rPr>
        <w:t xml:space="preserve"> </w:t>
      </w:r>
      <w:r>
        <w:rPr>
          <w:rStyle w:val="normaltextrun"/>
          <w:sz w:val="22"/>
          <w:szCs w:val="22"/>
        </w:rPr>
        <w:t>rules.</w:t>
      </w:r>
      <w:r>
        <w:rPr>
          <w:rStyle w:val="FootnoteReference"/>
          <w:szCs w:val="22"/>
        </w:rPr>
        <w:footnoteReference w:id="8"/>
      </w:r>
      <w:r>
        <w:rPr>
          <w:rStyle w:val="normaltextrun"/>
          <w:sz w:val="22"/>
          <w:szCs w:val="22"/>
        </w:rPr>
        <w:t xml:space="preserve">  Persons making </w:t>
      </w:r>
      <w:r>
        <w:rPr>
          <w:rStyle w:val="normaltextrun"/>
          <w:i/>
          <w:iCs/>
          <w:sz w:val="22"/>
          <w:szCs w:val="22"/>
        </w:rPr>
        <w:t xml:space="preserve">ex </w:t>
      </w:r>
      <w:r>
        <w:rPr>
          <w:rStyle w:val="spellingerror"/>
          <w:i/>
          <w:iCs/>
          <w:sz w:val="22"/>
          <w:szCs w:val="22"/>
        </w:rPr>
        <w:t>parte</w:t>
      </w:r>
      <w:r>
        <w:rPr>
          <w:rStyle w:val="normaltextrun"/>
          <w:i/>
          <w:iCs/>
          <w:sz w:val="22"/>
          <w:szCs w:val="22"/>
        </w:rPr>
        <w:t xml:space="preserve"> </w:t>
      </w:r>
      <w:r>
        <w:rPr>
          <w:rStyle w:val="normaltextrun"/>
          <w:sz w:val="22"/>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rStyle w:val="normaltextrun"/>
          <w:i/>
          <w:iCs/>
          <w:sz w:val="22"/>
          <w:szCs w:val="22"/>
        </w:rPr>
        <w:t xml:space="preserve">ex </w:t>
      </w:r>
      <w:r>
        <w:rPr>
          <w:rStyle w:val="spellingerror"/>
          <w:i/>
          <w:iCs/>
          <w:sz w:val="22"/>
          <w:szCs w:val="22"/>
        </w:rPr>
        <w:t>parte</w:t>
      </w:r>
      <w:r>
        <w:rPr>
          <w:rStyle w:val="normaltextrun"/>
          <w:i/>
          <w:iCs/>
          <w:sz w:val="22"/>
          <w:szCs w:val="22"/>
        </w:rPr>
        <w:t xml:space="preserve"> </w:t>
      </w:r>
      <w:r>
        <w:rPr>
          <w:rStyle w:val="normaltextrun"/>
          <w:sz w:val="22"/>
          <w:szCs w:val="22"/>
        </w:rPr>
        <w:t xml:space="preserve">presentations are reminded that memoranda summarizing the presentation must (1) list all persons attending or otherwise participating in the meeting at which the </w:t>
      </w:r>
      <w:r>
        <w:rPr>
          <w:rStyle w:val="normaltextrun"/>
          <w:i/>
          <w:iCs/>
          <w:sz w:val="22"/>
          <w:szCs w:val="22"/>
        </w:rPr>
        <w:t xml:space="preserve">ex </w:t>
      </w:r>
      <w:r>
        <w:rPr>
          <w:rStyle w:val="spellingerror"/>
          <w:i/>
          <w:iCs/>
          <w:sz w:val="22"/>
          <w:szCs w:val="22"/>
        </w:rPr>
        <w:t>parte</w:t>
      </w:r>
      <w:r>
        <w:rPr>
          <w:rStyle w:val="normaltextrun"/>
          <w:i/>
          <w:iCs/>
          <w:sz w:val="22"/>
          <w:szCs w:val="22"/>
        </w:rPr>
        <w:t xml:space="preserve"> </w:t>
      </w:r>
      <w:r>
        <w:rPr>
          <w:rStyle w:val="normaltextrun"/>
          <w:sz w:val="22"/>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rStyle w:val="normaltextrun"/>
          <w:i/>
          <w:iCs/>
          <w:sz w:val="22"/>
          <w:szCs w:val="22"/>
        </w:rPr>
        <w:t xml:space="preserve">ex </w:t>
      </w:r>
      <w:r>
        <w:rPr>
          <w:rStyle w:val="spellingerror"/>
          <w:i/>
          <w:iCs/>
          <w:sz w:val="22"/>
          <w:szCs w:val="22"/>
        </w:rPr>
        <w:t>parte</w:t>
      </w:r>
      <w:r>
        <w:rPr>
          <w:rStyle w:val="normaltextrun"/>
          <w:i/>
          <w:iCs/>
          <w:sz w:val="22"/>
          <w:szCs w:val="22"/>
        </w:rPr>
        <w:t xml:space="preserve"> </w:t>
      </w:r>
      <w:r>
        <w:rPr>
          <w:rStyle w:val="normaltextrun"/>
          <w:sz w:val="22"/>
          <w:szCs w:val="22"/>
        </w:rPr>
        <w:t xml:space="preserve">meetings are deemed to be written </w:t>
      </w:r>
      <w:r>
        <w:rPr>
          <w:rStyle w:val="normaltextrun"/>
          <w:i/>
          <w:iCs/>
          <w:sz w:val="22"/>
          <w:szCs w:val="22"/>
        </w:rPr>
        <w:t xml:space="preserve">ex </w:t>
      </w:r>
      <w:r>
        <w:rPr>
          <w:rStyle w:val="spellingerror"/>
          <w:i/>
          <w:iCs/>
          <w:sz w:val="22"/>
          <w:szCs w:val="22"/>
        </w:rPr>
        <w:t>parte</w:t>
      </w:r>
      <w:r>
        <w:rPr>
          <w:rStyle w:val="normaltextrun"/>
          <w:sz w:val="22"/>
          <w:szCs w:val="22"/>
        </w:rPr>
        <w:t xml:space="preserve"> presentations and must be filed consistent with rule 1.1206(b).  In proceedings governed by rule 1.49(f) or for which the Commission has made available a method of electronic filing, written </w:t>
      </w:r>
      <w:r>
        <w:rPr>
          <w:rStyle w:val="normaltextrun"/>
          <w:i/>
          <w:iCs/>
          <w:sz w:val="22"/>
          <w:szCs w:val="22"/>
        </w:rPr>
        <w:t xml:space="preserve">ex </w:t>
      </w:r>
      <w:r>
        <w:rPr>
          <w:rStyle w:val="spellingerror"/>
          <w:i/>
          <w:iCs/>
          <w:sz w:val="22"/>
          <w:szCs w:val="22"/>
        </w:rPr>
        <w:t>parte</w:t>
      </w:r>
      <w:r>
        <w:rPr>
          <w:rStyle w:val="normaltextrun"/>
          <w:i/>
          <w:iCs/>
          <w:sz w:val="22"/>
          <w:szCs w:val="22"/>
        </w:rPr>
        <w:t xml:space="preserve"> </w:t>
      </w:r>
      <w:r>
        <w:rPr>
          <w:rStyle w:val="normaltextrun"/>
          <w:sz w:val="22"/>
          <w:szCs w:val="22"/>
        </w:rPr>
        <w:t xml:space="preserve">presentations and memoranda summarizing oral </w:t>
      </w:r>
      <w:r>
        <w:rPr>
          <w:rStyle w:val="normaltextrun"/>
          <w:i/>
          <w:iCs/>
          <w:sz w:val="22"/>
          <w:szCs w:val="22"/>
        </w:rPr>
        <w:t xml:space="preserve">ex </w:t>
      </w:r>
      <w:r>
        <w:rPr>
          <w:rStyle w:val="spellingerror"/>
          <w:i/>
          <w:iCs/>
          <w:sz w:val="22"/>
          <w:szCs w:val="22"/>
        </w:rPr>
        <w:t>parte</w:t>
      </w:r>
      <w:r>
        <w:rPr>
          <w:rStyle w:val="normaltextrun"/>
          <w:i/>
          <w:iCs/>
          <w:sz w:val="22"/>
          <w:szCs w:val="22"/>
        </w:rPr>
        <w:t xml:space="preserve"> </w:t>
      </w:r>
      <w:r>
        <w:rPr>
          <w:rStyle w:val="normaltextrun"/>
          <w:sz w:val="22"/>
          <w:szCs w:val="22"/>
        </w:rPr>
        <w:t>presentations, and all attachments thereto, must be filed through the electronic comment filing system available for that proceeding, and must be filed in their native format (</w:t>
      </w:r>
      <w:r>
        <w:rPr>
          <w:rStyle w:val="normaltextrun"/>
          <w:i/>
          <w:iCs/>
          <w:sz w:val="22"/>
          <w:szCs w:val="22"/>
        </w:rPr>
        <w:t>e.g.</w:t>
      </w:r>
      <w:r>
        <w:rPr>
          <w:rStyle w:val="normaltextrun"/>
          <w:sz w:val="22"/>
          <w:szCs w:val="22"/>
        </w:rPr>
        <w:t xml:space="preserve">, .doc, .xml, .ppt, searchable .pdf).  Participants in this proceeding should familiarize themselves with the Commission’s </w:t>
      </w:r>
      <w:r>
        <w:rPr>
          <w:rStyle w:val="normaltextrun"/>
          <w:i/>
          <w:iCs/>
          <w:sz w:val="22"/>
          <w:szCs w:val="22"/>
        </w:rPr>
        <w:t xml:space="preserve">ex </w:t>
      </w:r>
      <w:r>
        <w:rPr>
          <w:rStyle w:val="spellingerror"/>
          <w:i/>
          <w:iCs/>
          <w:sz w:val="22"/>
          <w:szCs w:val="22"/>
        </w:rPr>
        <w:t>parte</w:t>
      </w:r>
      <w:r>
        <w:rPr>
          <w:rStyle w:val="normaltextrun"/>
          <w:i/>
          <w:iCs/>
          <w:sz w:val="22"/>
          <w:szCs w:val="22"/>
        </w:rPr>
        <w:t xml:space="preserve"> </w:t>
      </w:r>
      <w:r>
        <w:rPr>
          <w:rStyle w:val="normaltextrun"/>
          <w:sz w:val="22"/>
          <w:szCs w:val="22"/>
        </w:rPr>
        <w:t>rules.</w:t>
      </w:r>
      <w:r>
        <w:rPr>
          <w:rStyle w:val="eop"/>
          <w:szCs w:val="22"/>
        </w:rPr>
        <w:t> </w:t>
      </w:r>
    </w:p>
    <w:p w:rsidR="006F0991" w:rsidRPr="003C6CBA" w:rsidP="003C6CBA" w14:paraId="06A46947" w14:textId="59317230">
      <w:pPr>
        <w:pStyle w:val="paragraph"/>
        <w:spacing w:before="0" w:beforeAutospacing="0" w:after="120" w:afterAutospacing="0"/>
        <w:ind w:firstLine="720"/>
        <w:textAlignment w:val="baseline"/>
        <w:rPr>
          <w:rStyle w:val="normaltextrun"/>
          <w:rFonts w:ascii="Segoe UI" w:hAnsi="Segoe UI" w:cs="Segoe UI"/>
          <w:sz w:val="18"/>
          <w:szCs w:val="18"/>
        </w:rPr>
      </w:pPr>
      <w:r>
        <w:rPr>
          <w:rStyle w:val="normaltextrun"/>
          <w:i/>
          <w:iCs/>
          <w:sz w:val="22"/>
          <w:szCs w:val="22"/>
        </w:rPr>
        <w:t xml:space="preserve">People with Disabilities.  </w:t>
      </w:r>
      <w:r>
        <w:rPr>
          <w:rStyle w:val="normaltextrun"/>
          <w:sz w:val="22"/>
          <w:szCs w:val="22"/>
        </w:rPr>
        <w:t xml:space="preserve">To request materials in accessible formats for people with disabilities (Braille, large print, electronic files, audio format), send an e-mail to </w:t>
      </w:r>
      <w:r>
        <w:rPr>
          <w:rStyle w:val="normaltextrun"/>
          <w:color w:val="0000FF"/>
          <w:sz w:val="22"/>
          <w:szCs w:val="22"/>
          <w:u w:val="single"/>
        </w:rPr>
        <w:t>fcc504@fcc.gov</w:t>
      </w:r>
      <w:r>
        <w:rPr>
          <w:rStyle w:val="normaltextrun"/>
          <w:sz w:val="22"/>
          <w:szCs w:val="22"/>
        </w:rPr>
        <w:t xml:space="preserve"> or call the Consumer and Governmental Affairs Bureau at 202-418-0530 (voice) or 202-418-0432 (TTY).  </w:t>
      </w:r>
      <w:r>
        <w:rPr>
          <w:rStyle w:val="eop"/>
          <w:szCs w:val="22"/>
        </w:rPr>
        <w:t> </w:t>
      </w:r>
    </w:p>
    <w:p w:rsidR="006F0991" w:rsidP="003C6CBA" w14:paraId="2A5925F4" w14:textId="175DDAED">
      <w:pPr>
        <w:pStyle w:val="paragraph"/>
        <w:spacing w:before="0" w:beforeAutospacing="0" w:after="120" w:afterAutospacing="0"/>
        <w:ind w:firstLine="720"/>
        <w:textAlignment w:val="baseline"/>
        <w:rPr>
          <w:rFonts w:ascii="Segoe UI" w:hAnsi="Segoe UI" w:cs="Segoe UI"/>
          <w:sz w:val="18"/>
          <w:szCs w:val="18"/>
        </w:rPr>
      </w:pPr>
      <w:r>
        <w:rPr>
          <w:rStyle w:val="normaltextrun"/>
          <w:i/>
          <w:iCs/>
          <w:sz w:val="22"/>
          <w:szCs w:val="22"/>
        </w:rPr>
        <w:t xml:space="preserve">Additional Information.  </w:t>
      </w:r>
      <w:r>
        <w:rPr>
          <w:rStyle w:val="normaltextrun"/>
          <w:sz w:val="22"/>
          <w:szCs w:val="22"/>
        </w:rPr>
        <w:t xml:space="preserve">For further information regarding this Notice, please contact Nicholas Page or Jesse Jachman, Telecommunications Access Policy Division, Wireline Competition Bureau, at (202) 418-7400 or via email at </w:t>
      </w:r>
      <w:hyperlink r:id="rId5" w:tgtFrame="_blank" w:history="1">
        <w:r>
          <w:rPr>
            <w:rStyle w:val="normaltextrun"/>
            <w:color w:val="0000FF"/>
            <w:sz w:val="22"/>
            <w:szCs w:val="22"/>
            <w:u w:val="single"/>
          </w:rPr>
          <w:t>Nicholas.Page@fcc.gov</w:t>
        </w:r>
      </w:hyperlink>
      <w:r>
        <w:rPr>
          <w:rStyle w:val="normaltextrun"/>
          <w:sz w:val="22"/>
          <w:szCs w:val="22"/>
        </w:rPr>
        <w:t xml:space="preserve"> or </w:t>
      </w:r>
      <w:hyperlink r:id="rId6" w:tgtFrame="_blank" w:history="1">
        <w:r>
          <w:rPr>
            <w:rStyle w:val="normaltextrun"/>
            <w:color w:val="0000FF"/>
            <w:sz w:val="22"/>
            <w:szCs w:val="22"/>
            <w:u w:val="single"/>
          </w:rPr>
          <w:t>Jesse.Jachman@fcc.gov</w:t>
        </w:r>
      </w:hyperlink>
      <w:r>
        <w:rPr>
          <w:rStyle w:val="normaltextrun"/>
          <w:sz w:val="22"/>
          <w:szCs w:val="22"/>
        </w:rPr>
        <w:t>.</w:t>
      </w:r>
      <w:r>
        <w:rPr>
          <w:rStyle w:val="eop"/>
          <w:szCs w:val="22"/>
        </w:rPr>
        <w:t> </w:t>
      </w:r>
    </w:p>
    <w:p w:rsidR="006F0991" w:rsidP="006F0991" w14:paraId="3911C8E6" w14:textId="77777777">
      <w:pPr>
        <w:pStyle w:val="paragraph"/>
        <w:spacing w:before="0" w:beforeAutospacing="0" w:after="0" w:afterAutospacing="0"/>
        <w:textAlignment w:val="baseline"/>
        <w:rPr>
          <w:rFonts w:ascii="Segoe UI" w:hAnsi="Segoe UI" w:cs="Segoe UI"/>
          <w:sz w:val="18"/>
          <w:szCs w:val="18"/>
        </w:rPr>
      </w:pPr>
      <w:r>
        <w:rPr>
          <w:rStyle w:val="eop"/>
          <w:szCs w:val="22"/>
        </w:rPr>
        <w:t> </w:t>
      </w:r>
    </w:p>
    <w:p w:rsidR="006F0991" w:rsidP="006F0991" w14:paraId="7A54EF6D" w14:textId="77777777">
      <w:pPr>
        <w:pStyle w:val="paragraph"/>
        <w:spacing w:before="0" w:beforeAutospacing="0" w:after="0" w:afterAutospacing="0"/>
        <w:jc w:val="center"/>
        <w:textAlignment w:val="baseline"/>
        <w:rPr>
          <w:rFonts w:ascii="Segoe UI" w:hAnsi="Segoe UI" w:cs="Segoe UI"/>
          <w:sz w:val="18"/>
          <w:szCs w:val="18"/>
        </w:rPr>
      </w:pPr>
      <w:r>
        <w:rPr>
          <w:rStyle w:val="normaltextrun"/>
          <w:b/>
          <w:bCs/>
          <w:sz w:val="22"/>
          <w:szCs w:val="22"/>
        </w:rPr>
        <w:t>-FCC-</w:t>
      </w:r>
      <w:r>
        <w:rPr>
          <w:rStyle w:val="eop"/>
          <w:szCs w:val="22"/>
        </w:rPr>
        <w:t> </w:t>
      </w:r>
    </w:p>
    <w:p w:rsidR="0006106E" w14:paraId="72C8F550" w14:textId="77777777"/>
    <w:p w:rsidR="0006106E" w14:paraId="2277EAA3" w14:textId="77777777"/>
    <w:bookmarkEnd w:id="1"/>
    <w:p w:rsidR="006F0991" w14:paraId="6D712A55" w14:textId="77777777"/>
    <w:sectPr>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106E" w14:paraId="51B030C8" w14:textId="77777777">
    <w:pPr>
      <w:pStyle w:val="Footer"/>
      <w:framePr w:wrap="around" w:vAnchor="text" w:hAnchor="margin" w:xAlign="center" w:y="1"/>
    </w:pPr>
    <w:r>
      <w:fldChar w:fldCharType="begin"/>
    </w:r>
    <w:r>
      <w:instrText xml:space="preserve">PAGE  </w:instrText>
    </w:r>
    <w:r>
      <w:fldChar w:fldCharType="separate"/>
    </w:r>
    <w:r>
      <w:fldChar w:fldCharType="end"/>
    </w:r>
  </w:p>
  <w:p w:rsidR="0006106E" w14:paraId="6F4C444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106E" w14:paraId="7427731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106E" w14:paraId="34083CE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F0991" w14:paraId="2971E4C8" w14:textId="77777777">
      <w:r>
        <w:separator/>
      </w:r>
    </w:p>
  </w:footnote>
  <w:footnote w:type="continuationSeparator" w:id="1">
    <w:p w:rsidR="006F0991" w14:paraId="10C825BE" w14:textId="77777777">
      <w:pPr>
        <w:rPr>
          <w:sz w:val="20"/>
        </w:rPr>
      </w:pPr>
      <w:r>
        <w:rPr>
          <w:sz w:val="20"/>
        </w:rPr>
        <w:t xml:space="preserve">(Continued from previous page)  </w:t>
      </w:r>
      <w:r>
        <w:rPr>
          <w:sz w:val="20"/>
        </w:rPr>
        <w:separator/>
      </w:r>
    </w:p>
  </w:footnote>
  <w:footnote w:type="continuationNotice" w:id="2">
    <w:p w:rsidR="006F0991" w14:paraId="229FB754" w14:textId="77777777">
      <w:pPr>
        <w:jc w:val="right"/>
        <w:rPr>
          <w:sz w:val="20"/>
        </w:rPr>
      </w:pPr>
      <w:r>
        <w:rPr>
          <w:sz w:val="20"/>
        </w:rPr>
        <w:t>(continued….)</w:t>
      </w:r>
    </w:p>
  </w:footnote>
  <w:footnote w:id="3">
    <w:p w:rsidR="006F0991" w14:paraId="2A2629EB" w14:textId="65D859D0">
      <w:pPr>
        <w:pStyle w:val="FootnoteText"/>
      </w:pPr>
      <w:r>
        <w:rPr>
          <w:rStyle w:val="FootnoteReference"/>
        </w:rPr>
        <w:footnoteRef/>
      </w:r>
      <w:r>
        <w:t xml:space="preserve"> </w:t>
      </w:r>
      <w:r w:rsidRPr="00A10786" w:rsidR="008A362C">
        <w:rPr>
          <w:i/>
          <w:iCs/>
        </w:rPr>
        <w:t>See</w:t>
      </w:r>
      <w:r w:rsidR="008A362C">
        <w:t xml:space="preserve"> Petition of T-Mobile South LLC for Relinquishment of Its Eligible Telecommunications Carrier Designation Pursuant to 47 U.S.C. § 214(e)(4), WC Docket No. 09-197 (filed Sept. 1, 2022), </w:t>
      </w:r>
      <w:hyperlink r:id="rId1" w:history="1">
        <w:r w:rsidRPr="00142A35" w:rsidR="008A362C">
          <w:rPr>
            <w:rStyle w:val="Hyperlink"/>
          </w:rPr>
          <w:t>https://files.fcc.gov/ecfs/download/90a0f967-727a-43f8-9ac8-a7a29cef5540?orig=true&amp;pk=cb77b2ec-1a58-dbc6-139b-ad192cfd5d9b</w:t>
        </w:r>
      </w:hyperlink>
      <w:r w:rsidR="008A362C">
        <w:t xml:space="preserve">; </w:t>
      </w:r>
      <w:r w:rsidRPr="00A10786" w:rsidR="008A362C">
        <w:rPr>
          <w:i/>
          <w:iCs/>
        </w:rPr>
        <w:t>and</w:t>
      </w:r>
      <w:r w:rsidR="008A362C">
        <w:t xml:space="preserve"> Petition of T-Mobile Northeast LLC for Relinquishment of Its Eligible Telecommunications Carrier Designation Pursuant to 47 U.S.C. § 214(e)(4)</w:t>
      </w:r>
      <w:r w:rsidRPr="00D16C13" w:rsidR="008A362C">
        <w:t>,</w:t>
      </w:r>
      <w:r w:rsidR="008A362C">
        <w:t xml:space="preserve"> WC Docket No. 09-197 (filed Sept. 1, 2022), </w:t>
      </w:r>
      <w:hyperlink r:id="rId2" w:history="1">
        <w:r w:rsidRPr="00142A35" w:rsidR="008A362C">
          <w:rPr>
            <w:rStyle w:val="Hyperlink"/>
          </w:rPr>
          <w:t>https://files.fcc.gov/ecfs/download/81dd9060-0b3c-4f8d-959f-f2f72cecec10?orig=true&amp;pk=cb77b2ec-1a58-dbc6-139b-ad192cfd5d9b</w:t>
        </w:r>
      </w:hyperlink>
      <w:r w:rsidR="008A362C">
        <w:t>.</w:t>
      </w:r>
    </w:p>
  </w:footnote>
  <w:footnote w:id="4">
    <w:p w:rsidR="006F0991" w14:paraId="24916CA2" w14:textId="2DA06F71">
      <w:pPr>
        <w:pStyle w:val="FootnoteText"/>
      </w:pPr>
      <w:r>
        <w:rPr>
          <w:rStyle w:val="FootnoteReference"/>
        </w:rPr>
        <w:footnoteRef/>
      </w:r>
      <w:r>
        <w:t xml:space="preserve"> </w:t>
      </w:r>
      <w:r w:rsidR="008A362C">
        <w:rPr>
          <w:i/>
          <w:iCs/>
        </w:rPr>
        <w:t xml:space="preserve">See </w:t>
      </w:r>
      <w:r w:rsidRPr="0087057A" w:rsidR="008A362C">
        <w:t>47 CFR §§ 1.2, 1.405, and 1.419.</w:t>
      </w:r>
    </w:p>
  </w:footnote>
  <w:footnote w:id="5">
    <w:p w:rsidR="006F0991" w14:paraId="0BD34830" w14:textId="7991127F">
      <w:pPr>
        <w:pStyle w:val="FootnoteText"/>
      </w:pPr>
      <w:r>
        <w:rPr>
          <w:rStyle w:val="FootnoteReference"/>
        </w:rPr>
        <w:footnoteRef/>
      </w:r>
      <w:r>
        <w:t xml:space="preserve"> </w:t>
      </w:r>
      <w:r w:rsidR="008A362C">
        <w:t xml:space="preserve">All filings relating to this Public Notice should refer </w:t>
      </w:r>
      <w:r w:rsidRPr="006B2F03" w:rsidR="008A362C">
        <w:rPr>
          <w:i/>
          <w:iCs/>
        </w:rPr>
        <w:t>only</w:t>
      </w:r>
      <w:r w:rsidR="008A362C">
        <w:t xml:space="preserve"> to the docket listed above.</w:t>
      </w:r>
    </w:p>
  </w:footnote>
  <w:footnote w:id="6">
    <w:p w:rsidR="006F0991" w14:paraId="24FB16E9" w14:textId="3B51EB66">
      <w:pPr>
        <w:pStyle w:val="FootnoteText"/>
      </w:pPr>
      <w:r>
        <w:rPr>
          <w:rStyle w:val="FootnoteReference"/>
        </w:rPr>
        <w:footnoteRef/>
      </w:r>
      <w:r>
        <w:t xml:space="preserve"> </w:t>
      </w:r>
      <w:r w:rsidRPr="0087057A" w:rsidR="008A362C">
        <w:rPr>
          <w:i/>
        </w:rPr>
        <w:t>See Electronic Filing of Documents in Rulemaking Proceedings</w:t>
      </w:r>
      <w:r w:rsidRPr="0087057A" w:rsidR="008A362C">
        <w:t>, 63 FR 24121 (1998).</w:t>
      </w:r>
    </w:p>
  </w:footnote>
  <w:footnote w:id="7">
    <w:p w:rsidR="006F0991" w14:paraId="10A4FE2C" w14:textId="1B426BD7">
      <w:pPr>
        <w:pStyle w:val="FootnoteText"/>
      </w:pPr>
      <w:r>
        <w:rPr>
          <w:rStyle w:val="FootnoteReference"/>
        </w:rPr>
        <w:footnoteRef/>
      </w:r>
      <w:r>
        <w:t xml:space="preserve"> </w:t>
      </w:r>
      <w:r w:rsidRPr="00DC07DD" w:rsidR="008A362C">
        <w:rPr>
          <w:i/>
          <w:iCs/>
        </w:rPr>
        <w:t xml:space="preserve">See FCC Announces Closure of FCC Headquarters Open Window and Change in Hand-Delivery Policy, </w:t>
      </w:r>
      <w:r w:rsidRPr="006360B8" w:rsidR="008A362C">
        <w:t>Public Notice</w:t>
      </w:r>
      <w:r w:rsidRPr="00D81D95" w:rsidR="008A362C">
        <w:t xml:space="preserve">, 35 FCC </w:t>
      </w:r>
      <w:r w:rsidRPr="00D81D95" w:rsidR="008A362C">
        <w:t>Rcd</w:t>
      </w:r>
      <w:r w:rsidRPr="00D81D95" w:rsidR="008A362C">
        <w:t xml:space="preserve"> 2788 (OMD 2020), </w:t>
      </w:r>
      <w:hyperlink r:id="rId3" w:history="1">
        <w:r w:rsidRPr="003E0242" w:rsidR="008A362C">
          <w:rPr>
            <w:rStyle w:val="Hyperlink"/>
          </w:rPr>
          <w:t>https://www.fcc.gov/document/fcc-closes-headquarters-open-window-and-changes-hand-delivery-policy</w:t>
        </w:r>
      </w:hyperlink>
      <w:r w:rsidRPr="00D81D95" w:rsidR="008A362C">
        <w:t>.</w:t>
      </w:r>
    </w:p>
  </w:footnote>
  <w:footnote w:id="8">
    <w:p w:rsidR="006F0991" w:rsidRPr="008A362C" w14:paraId="2A062BC0" w14:textId="3A955851">
      <w:pPr>
        <w:pStyle w:val="FootnoteText"/>
        <w:rPr>
          <w:i/>
          <w:iCs/>
        </w:rPr>
      </w:pPr>
      <w:r>
        <w:rPr>
          <w:rStyle w:val="FootnoteReference"/>
        </w:rPr>
        <w:footnoteRef/>
      </w:r>
      <w:r>
        <w:t xml:space="preserve"> </w:t>
      </w:r>
      <w:r w:rsidRPr="0087057A" w:rsidR="008A362C">
        <w:t xml:space="preserve">47 CFR §§ 1.1200 </w:t>
      </w:r>
      <w:r w:rsidRPr="0087057A" w:rsidR="008A362C">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106E" w14:paraId="68C74400" w14:textId="0D92F1CB">
    <w:pPr>
      <w:tabs>
        <w:tab w:val="center" w:pos="4680"/>
        <w:tab w:val="right" w:pos="9360"/>
      </w:tabs>
    </w:pPr>
    <w:r>
      <w:rPr>
        <w:b/>
      </w:rPr>
      <w:tab/>
    </w:r>
    <w:r>
      <w:rPr>
        <w:b/>
      </w:rPr>
      <w:t>Federal Communications Commission</w:t>
    </w:r>
    <w:r>
      <w:rPr>
        <w:b/>
      </w:rPr>
      <w:tab/>
    </w:r>
    <w:r w:rsidR="00172AF4">
      <w:rPr>
        <w:b/>
      </w:rPr>
      <w:t>DA 22-943</w:t>
    </w:r>
  </w:p>
  <w:p w:rsidR="0006106E" w14:paraId="3F88A870" w14:textId="364B1322">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06106E" w14:paraId="78B2B4DD"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106E" w14:paraId="1F58B62C" w14:textId="0D78CCEC">
    <w:pPr>
      <w:pStyle w:val="Header"/>
    </w:pPr>
    <w:r>
      <w:rPr>
        <w:noProof/>
        <w:snapToGrid/>
      </w:rPr>
      <w:drawing>
        <wp:inline distT="0" distB="0" distL="0" distR="0">
          <wp:extent cx="59436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3F0153A"/>
    <w:multiLevelType w:val="multilevel"/>
    <w:tmpl w:val="2FC28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71F33F19"/>
    <w:multiLevelType w:val="multilevel"/>
    <w:tmpl w:val="CBD2D8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991"/>
    <w:rsid w:val="0006106E"/>
    <w:rsid w:val="00142A35"/>
    <w:rsid w:val="00172AF4"/>
    <w:rsid w:val="00317AAA"/>
    <w:rsid w:val="003C6CBA"/>
    <w:rsid w:val="003E0242"/>
    <w:rsid w:val="006360B8"/>
    <w:rsid w:val="006B2F03"/>
    <w:rsid w:val="006F0991"/>
    <w:rsid w:val="0087057A"/>
    <w:rsid w:val="008A362C"/>
    <w:rsid w:val="00A10786"/>
    <w:rsid w:val="00D16C13"/>
    <w:rsid w:val="00D81D95"/>
    <w:rsid w:val="00DC07D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3437FEF"/>
  <w15:chartTrackingRefBased/>
  <w15:docId w15:val="{EC895018-FB1C-48A4-9822-53ECA3632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1,Footnote Text Char Char1 Char Char Char Char,Footnote Text Char1,Footnote Text Char1 Char Char1 Char Char,Footnote Text Char2 Char1 Char,Footnote Text Char3 Char,Footnote Text Char5,fn"/>
    <w:link w:val="FootnoteTextChar"/>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paragraph" w:customStyle="1" w:styleId="paragraph">
    <w:name w:val="paragraph"/>
    <w:basedOn w:val="Normal"/>
    <w:rsid w:val="006F0991"/>
    <w:pPr>
      <w:widowControl/>
      <w:spacing w:before="100" w:beforeAutospacing="1" w:after="100" w:afterAutospacing="1"/>
    </w:pPr>
    <w:rPr>
      <w:snapToGrid/>
      <w:kern w:val="0"/>
      <w:sz w:val="24"/>
      <w:szCs w:val="24"/>
    </w:rPr>
  </w:style>
  <w:style w:type="character" w:customStyle="1" w:styleId="normaltextrun">
    <w:name w:val="normaltextrun"/>
    <w:basedOn w:val="DefaultParagraphFont"/>
    <w:rsid w:val="006F0991"/>
  </w:style>
  <w:style w:type="character" w:customStyle="1" w:styleId="eop">
    <w:name w:val="eop"/>
    <w:basedOn w:val="DefaultParagraphFont"/>
    <w:rsid w:val="006F0991"/>
  </w:style>
  <w:style w:type="character" w:customStyle="1" w:styleId="superscript">
    <w:name w:val="superscript"/>
    <w:basedOn w:val="DefaultParagraphFont"/>
    <w:rsid w:val="006F0991"/>
  </w:style>
  <w:style w:type="character" w:customStyle="1" w:styleId="spellingerror">
    <w:name w:val="spellingerror"/>
    <w:basedOn w:val="DefaultParagraphFont"/>
    <w:rsid w:val="006F0991"/>
  </w:style>
  <w:style w:type="character" w:customStyle="1" w:styleId="FootnoteTextChar">
    <w:name w:val="Footnote Text Char"/>
    <w:aliases w:val="Footnote Text Char Char Char Char1 Char,Footnote Text Char Char1 Char Char Char Char Char,Footnote Text Char1 Char,Footnote Text Char1 Char Char1 Char Char Char,Footnote Text Char2 Char1 Char Char,Footnote Text Char3 Char Char,fn Char"/>
    <w:link w:val="FootnoteText"/>
    <w:rsid w:val="008A3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Nicholas.Page@fcc.gov" TargetMode="External" /><Relationship Id="rId6" Type="http://schemas.openxmlformats.org/officeDocument/2006/relationships/hyperlink" Target="mailto:Jesse.Jachman@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files.fcc.gov/ecfs/download/90a0f967-727a-43f8-9ac8-a7a29cef5540?orig=true&amp;pk=cb77b2ec-1a58-dbc6-139b-ad192cfd5d9b" TargetMode="External" /><Relationship Id="rId2" Type="http://schemas.openxmlformats.org/officeDocument/2006/relationships/hyperlink" Target="https://files.fcc.gov/ecfs/download/81dd9060-0b3c-4f8d-959f-f2f72cecec10?orig=true&amp;pk=cb77b2ec-1a58-dbc6-139b-ad192cfd5d9b" TargetMode="External" /><Relationship Id="rId3"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