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A3C4D21" w14:textId="4BE0B0D5">
      <w:pPr>
        <w:jc w:val="right"/>
        <w:rPr>
          <w:b/>
          <w:sz w:val="24"/>
        </w:rPr>
      </w:pPr>
      <w:r>
        <w:rPr>
          <w:b/>
          <w:sz w:val="24"/>
        </w:rPr>
        <w:t>DA 22-878</w:t>
      </w:r>
    </w:p>
    <w:p w:rsidR="00013A8B" w:rsidRPr="00B20363" w:rsidP="00013A8B" w14:paraId="4667B16C" w14:textId="45E8B79A">
      <w:pPr>
        <w:spacing w:before="60"/>
        <w:jc w:val="right"/>
        <w:rPr>
          <w:b/>
          <w:sz w:val="24"/>
        </w:rPr>
      </w:pPr>
      <w:r>
        <w:rPr>
          <w:b/>
          <w:sz w:val="24"/>
        </w:rPr>
        <w:t xml:space="preserve">Released:  </w:t>
      </w:r>
      <w:r w:rsidR="00F72782">
        <w:rPr>
          <w:b/>
          <w:sz w:val="24"/>
        </w:rPr>
        <w:t>August 22, 2022</w:t>
      </w:r>
    </w:p>
    <w:p w:rsidR="00013A8B" w:rsidP="00013A8B" w14:paraId="130E4C30" w14:textId="77777777">
      <w:pPr>
        <w:jc w:val="right"/>
        <w:rPr>
          <w:sz w:val="24"/>
        </w:rPr>
      </w:pPr>
    </w:p>
    <w:p w:rsidR="00F72782" w:rsidRPr="00F72782" w:rsidP="00F72782" w14:paraId="5F9A0161" w14:textId="77777777">
      <w:pPr>
        <w:jc w:val="center"/>
        <w:rPr>
          <w:rFonts w:ascii="Times New Roman Bold" w:hAnsi="Times New Roman Bold"/>
          <w:b/>
          <w:caps/>
          <w:sz w:val="24"/>
        </w:rPr>
      </w:pPr>
      <w:bookmarkStart w:id="0" w:name="_Hlk112069328"/>
      <w:r w:rsidRPr="00F72782">
        <w:rPr>
          <w:rFonts w:ascii="Times New Roman Bold" w:hAnsi="Times New Roman Bold"/>
          <w:b/>
          <w:caps/>
          <w:sz w:val="24"/>
        </w:rPr>
        <w:t xml:space="preserve">WIRELINE COMPETITION BUREAU SEEKS COMMENT ON PROPOSED </w:t>
      </w:r>
    </w:p>
    <w:p w:rsidR="00F72782" w:rsidRPr="00F72782" w:rsidP="00F72782" w14:paraId="3233D116" w14:textId="77777777">
      <w:pPr>
        <w:spacing w:after="240"/>
        <w:jc w:val="center"/>
        <w:rPr>
          <w:rFonts w:ascii="Times New Roman Bold" w:hAnsi="Times New Roman Bold"/>
          <w:b/>
          <w:caps/>
          <w:sz w:val="24"/>
        </w:rPr>
      </w:pPr>
      <w:r w:rsidRPr="00F72782">
        <w:rPr>
          <w:rFonts w:ascii="Times New Roman Bold" w:hAnsi="Times New Roman Bold"/>
          <w:b/>
          <w:caps/>
          <w:sz w:val="24"/>
        </w:rPr>
        <w:t>ELIGIBLE SERVICES LIST FOR THE E-RATE PROGRAM</w:t>
      </w:r>
      <w:bookmarkEnd w:id="0"/>
    </w:p>
    <w:p w:rsidR="00013A8B" w:rsidP="00013A8B" w14:paraId="0B036736" w14:textId="5EBEA98D">
      <w:pPr>
        <w:jc w:val="center"/>
        <w:rPr>
          <w:b/>
          <w:sz w:val="24"/>
        </w:rPr>
      </w:pPr>
      <w:r>
        <w:rPr>
          <w:b/>
          <w:sz w:val="24"/>
        </w:rPr>
        <w:t>WC Docket No. 13-184</w:t>
      </w:r>
    </w:p>
    <w:p w:rsidR="00F72782" w:rsidP="00F72782" w14:paraId="537B5E30" w14:textId="695536A7">
      <w:pPr>
        <w:rPr>
          <w:b/>
          <w:sz w:val="24"/>
        </w:rPr>
      </w:pPr>
    </w:p>
    <w:p w:rsidR="00F72782" w:rsidP="00F72782" w14:paraId="051E99A3" w14:textId="44679BB7">
      <w:pPr>
        <w:rPr>
          <w:b/>
          <w:sz w:val="24"/>
        </w:rPr>
      </w:pPr>
      <w:r>
        <w:rPr>
          <w:b/>
          <w:sz w:val="24"/>
        </w:rPr>
        <w:t>Comment Date:</w:t>
      </w:r>
      <w:r w:rsidR="00025077">
        <w:rPr>
          <w:b/>
          <w:sz w:val="24"/>
        </w:rPr>
        <w:t xml:space="preserve">  September 2</w:t>
      </w:r>
      <w:r w:rsidR="000B5D93">
        <w:rPr>
          <w:b/>
          <w:sz w:val="24"/>
        </w:rPr>
        <w:t>1</w:t>
      </w:r>
      <w:r w:rsidR="00025077">
        <w:rPr>
          <w:b/>
          <w:sz w:val="24"/>
        </w:rPr>
        <w:t>, 2022</w:t>
      </w:r>
    </w:p>
    <w:p w:rsidR="00F72782" w:rsidP="00F72782" w14:paraId="5E9A721D" w14:textId="494B2EF4">
      <w:pPr>
        <w:rPr>
          <w:b/>
          <w:sz w:val="24"/>
        </w:rPr>
      </w:pPr>
      <w:r>
        <w:rPr>
          <w:b/>
          <w:sz w:val="24"/>
        </w:rPr>
        <w:t xml:space="preserve">Reply Comment Date: </w:t>
      </w:r>
      <w:r w:rsidR="00025077">
        <w:rPr>
          <w:b/>
          <w:sz w:val="24"/>
        </w:rPr>
        <w:t xml:space="preserve">October </w:t>
      </w:r>
      <w:r w:rsidR="000B5D93">
        <w:rPr>
          <w:b/>
          <w:sz w:val="24"/>
        </w:rPr>
        <w:t>6</w:t>
      </w:r>
      <w:r w:rsidR="00025077">
        <w:rPr>
          <w:b/>
          <w:sz w:val="24"/>
        </w:rPr>
        <w:t>, 2022</w:t>
      </w:r>
    </w:p>
    <w:p w:rsidR="00F72782" w:rsidP="00F72782" w14:paraId="4F278B13" w14:textId="1149FD3B">
      <w:pPr>
        <w:rPr>
          <w:b/>
          <w:sz w:val="24"/>
        </w:rPr>
      </w:pPr>
    </w:p>
    <w:p w:rsidR="0061038B" w:rsidRPr="00E26AAC" w:rsidP="0061038B" w14:paraId="023A0154" w14:textId="77777777">
      <w:pPr>
        <w:spacing w:after="120"/>
        <w:ind w:firstLine="720"/>
        <w:rPr>
          <w:szCs w:val="22"/>
        </w:rPr>
      </w:pPr>
      <w:r w:rsidRPr="00E26AAC">
        <w:rPr>
          <w:szCs w:val="22"/>
        </w:rPr>
        <w:t>The Wireline Competition Bureau (</w:t>
      </w:r>
      <w:r>
        <w:rPr>
          <w:szCs w:val="22"/>
        </w:rPr>
        <w:t>Bureau</w:t>
      </w:r>
      <w:r w:rsidRPr="00E26AAC">
        <w:rPr>
          <w:szCs w:val="22"/>
        </w:rPr>
        <w:t xml:space="preserve">) </w:t>
      </w:r>
      <w:r>
        <w:rPr>
          <w:szCs w:val="22"/>
        </w:rPr>
        <w:t xml:space="preserve">pursuant to section 54.502(e) </w:t>
      </w:r>
      <w:r w:rsidRPr="00E26AAC">
        <w:rPr>
          <w:szCs w:val="22"/>
        </w:rPr>
        <w:t>seeks comment on the proposed eligible services list (ESL) for the schools and libraries universal service support mechanism (more commonly known as the E-Rate program) for funding year (FY) 202</w:t>
      </w:r>
      <w:r>
        <w:rPr>
          <w:szCs w:val="22"/>
        </w:rPr>
        <w:t>3</w:t>
      </w:r>
      <w:r w:rsidRPr="00E26AAC">
        <w:rPr>
          <w:szCs w:val="22"/>
        </w:rPr>
        <w:t>.</w:t>
      </w:r>
      <w:r>
        <w:rPr>
          <w:rStyle w:val="FootnoteReference"/>
          <w:szCs w:val="22"/>
        </w:rPr>
        <w:footnoteReference w:id="3"/>
      </w:r>
      <w:r w:rsidRPr="00E26AAC">
        <w:rPr>
          <w:szCs w:val="22"/>
        </w:rPr>
        <w:t xml:space="preserve"> </w:t>
      </w:r>
      <w:r>
        <w:rPr>
          <w:szCs w:val="22"/>
        </w:rPr>
        <w:t xml:space="preserve"> This year, the Administrator and the Bureau are not recommending any specific changes to the proposed FY 2023 eligible services list.</w:t>
      </w:r>
      <w:r>
        <w:rPr>
          <w:rStyle w:val="FootnoteReference"/>
          <w:szCs w:val="22"/>
        </w:rPr>
        <w:footnoteReference w:id="4"/>
      </w:r>
      <w:r>
        <w:rPr>
          <w:szCs w:val="22"/>
        </w:rPr>
        <w:t xml:space="preserve">  We have included the proposed FY 2023 eligible services list as an Attachment to this Public Notice.  We invite stakeholders to comment on the proposed eligible services list for funding year 2023. </w:t>
      </w:r>
    </w:p>
    <w:p w:rsidR="0061038B" w:rsidRPr="00E26AAC" w:rsidP="0061038B" w14:paraId="065195E9" w14:textId="698D5286">
      <w:pPr>
        <w:spacing w:after="120"/>
        <w:ind w:firstLine="720"/>
        <w:rPr>
          <w:szCs w:val="22"/>
        </w:rPr>
      </w:pPr>
      <w:r w:rsidRPr="4050EDF0">
        <w:t>Pursuant to section 1.419 of the Commission’s rules,</w:t>
      </w:r>
      <w:r>
        <w:rPr>
          <w:rStyle w:val="FootnoteReference"/>
        </w:rPr>
        <w:footnoteReference w:id="5"/>
      </w:r>
      <w:r w:rsidRPr="4050EDF0">
        <w:t xml:space="preserve"> interested parties may file comments on or before </w:t>
      </w:r>
      <w:r w:rsidR="00025077">
        <w:t>September 2</w:t>
      </w:r>
      <w:r w:rsidR="00135846">
        <w:t>1</w:t>
      </w:r>
      <w:r w:rsidR="00025077">
        <w:t>, 2022</w:t>
      </w:r>
      <w:r>
        <w:t xml:space="preserve"> </w:t>
      </w:r>
      <w:r w:rsidRPr="4050EDF0">
        <w:t>and reply comments on or before</w:t>
      </w:r>
      <w:r>
        <w:t xml:space="preserve"> </w:t>
      </w:r>
      <w:r w:rsidR="00025077">
        <w:t xml:space="preserve">October </w:t>
      </w:r>
      <w:r w:rsidR="00135846">
        <w:t>6</w:t>
      </w:r>
      <w:r w:rsidR="00025077">
        <w:t>, 2022</w:t>
      </w:r>
      <w:r w:rsidRPr="00E26AAC">
        <w:rPr>
          <w:szCs w:val="22"/>
        </w:rPr>
        <w:t xml:space="preserve">. </w:t>
      </w:r>
      <w:r>
        <w:rPr>
          <w:szCs w:val="22"/>
        </w:rPr>
        <w:t xml:space="preserve"> </w:t>
      </w:r>
      <w:r w:rsidRPr="4050EDF0">
        <w:t>All comments are to reference WC Docket No. 13-184 and may be filed by paper or by using the Commission’s Electronic Comment Filing System (ECFS).</w:t>
      </w:r>
      <w:r>
        <w:rPr>
          <w:szCs w:val="22"/>
        </w:rPr>
        <w:t xml:space="preserve">  </w:t>
      </w:r>
    </w:p>
    <w:p w:rsidR="0061038B" w:rsidRPr="00E26AAC" w:rsidP="0061038B" w14:paraId="02F0CD70" w14:textId="77777777">
      <w:pPr>
        <w:pStyle w:val="ListParagraph"/>
        <w:numPr>
          <w:ilvl w:val="0"/>
          <w:numId w:val="7"/>
        </w:numPr>
        <w:spacing w:after="120" w:line="240" w:lineRule="auto"/>
        <w:contextualSpacing w:val="0"/>
      </w:pPr>
      <w:r w:rsidRPr="00E26AAC">
        <w:t xml:space="preserve">Electronic Filers: Comments may be filed electronically using the Internet by accessing ECFS: </w:t>
      </w:r>
      <w:hyperlink r:id="rId5" w:history="1">
        <w:r w:rsidRPr="00E26AAC">
          <w:rPr>
            <w:rStyle w:val="Hyperlink"/>
          </w:rPr>
          <w:t>https://www.fcc.gov/ecfs/</w:t>
        </w:r>
      </w:hyperlink>
      <w:r w:rsidRPr="00E26AAC">
        <w:t xml:space="preserve">. </w:t>
      </w:r>
    </w:p>
    <w:p w:rsidR="0061038B" w:rsidRPr="00E26AAC" w:rsidP="0061038B" w14:paraId="5F109CA5" w14:textId="77777777">
      <w:pPr>
        <w:pStyle w:val="ListParagraph"/>
        <w:numPr>
          <w:ilvl w:val="0"/>
          <w:numId w:val="7"/>
        </w:numPr>
        <w:spacing w:after="120" w:line="240" w:lineRule="auto"/>
        <w:contextualSpacing w:val="0"/>
      </w:pPr>
      <w:r w:rsidRPr="00E26AA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1038B" w:rsidRPr="00E26AAC" w:rsidP="0061038B" w14:paraId="1B564C39" w14:textId="77777777">
      <w:pPr>
        <w:numPr>
          <w:ilvl w:val="0"/>
          <w:numId w:val="7"/>
        </w:numPr>
        <w:spacing w:after="120"/>
        <w:rPr>
          <w:szCs w:val="22"/>
        </w:rPr>
      </w:pPr>
      <w:r w:rsidRPr="00E26AAC">
        <w:rPr>
          <w:szCs w:val="22"/>
        </w:rPr>
        <w:t>Filings can be sent by commercial overnight courier, or by first-class or overnight U.S. Postal Service mail. All filings must be addressed to the Commission’s Secretary, Office of the Secretary, Federal Communications Commission.</w:t>
      </w:r>
    </w:p>
    <w:p w:rsidR="0061038B" w:rsidRPr="00E26AAC" w:rsidP="0061038B" w14:paraId="58B6D7DC" w14:textId="77777777">
      <w:pPr>
        <w:pStyle w:val="ListParagraph"/>
        <w:numPr>
          <w:ilvl w:val="0"/>
          <w:numId w:val="8"/>
        </w:numPr>
        <w:spacing w:after="120" w:line="240" w:lineRule="auto"/>
        <w:contextualSpacing w:val="0"/>
      </w:pPr>
      <w:r w:rsidRPr="00E26AAC">
        <w:t xml:space="preserve">Commercial overnight mail (other than U.S. Postal Service Express Mail and Priority Mail) must be sent to 9050 Junction Drive, Annapolis Junction, MD 20701. U.S. Postal Service first-class, Express, and Priority mail must be addressed to </w:t>
      </w:r>
      <w:r>
        <w:t>45 L St., NE</w:t>
      </w:r>
      <w:r w:rsidRPr="00E26AAC">
        <w:t>, Washington, D.C. 20554.</w:t>
      </w:r>
    </w:p>
    <w:p w:rsidR="0061038B" w:rsidRPr="00E26AAC" w:rsidP="0061038B" w14:paraId="5604BC2A" w14:textId="77777777">
      <w:pPr>
        <w:pStyle w:val="ListParagraph"/>
        <w:numPr>
          <w:ilvl w:val="0"/>
          <w:numId w:val="8"/>
        </w:numPr>
        <w:spacing w:after="120" w:line="240" w:lineRule="auto"/>
        <w:contextualSpacing w:val="0"/>
      </w:pPr>
      <w:r w:rsidRPr="00E26AAC">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6"/>
      </w:r>
    </w:p>
    <w:p w:rsidR="0061038B" w:rsidRPr="00E26AAC" w:rsidP="0061038B" w14:paraId="0EB38063" w14:textId="77777777">
      <w:pPr>
        <w:spacing w:after="120"/>
        <w:ind w:firstLine="602"/>
        <w:rPr>
          <w:szCs w:val="22"/>
        </w:rPr>
      </w:pPr>
      <w:r w:rsidRPr="00E26AAC">
        <w:rPr>
          <w:i/>
          <w:iCs/>
          <w:szCs w:val="22"/>
        </w:rPr>
        <w:t>People with Disabilities</w:t>
      </w:r>
      <w:r w:rsidRPr="00E26AAC">
        <w:rPr>
          <w:szCs w:val="22"/>
        </w:rPr>
        <w:t xml:space="preserve">. </w:t>
      </w:r>
      <w:r>
        <w:rPr>
          <w:szCs w:val="22"/>
        </w:rPr>
        <w:t xml:space="preserve"> </w:t>
      </w:r>
      <w:r w:rsidRPr="00E26AAC">
        <w:rPr>
          <w:szCs w:val="22"/>
        </w:rPr>
        <w:t>To request materials in accessible formats (braille, large print, electronic files, or audio format), send an e-mail to fcc504@fcc.gov or call the Consumer and Governmental Affairs Bureau at 202-418-</w:t>
      </w:r>
      <w:r>
        <w:rPr>
          <w:szCs w:val="22"/>
        </w:rPr>
        <w:t>0530</w:t>
      </w:r>
      <w:r w:rsidRPr="00E26AAC">
        <w:rPr>
          <w:szCs w:val="22"/>
        </w:rPr>
        <w:t>.</w:t>
      </w:r>
    </w:p>
    <w:p w:rsidR="0061038B" w:rsidRPr="00E26AAC" w:rsidP="0061038B" w14:paraId="17510360" w14:textId="77777777">
      <w:pPr>
        <w:spacing w:after="120"/>
        <w:ind w:firstLine="602"/>
        <w:rPr>
          <w:szCs w:val="22"/>
        </w:rPr>
      </w:pPr>
      <w:r w:rsidRPr="4050EDF0">
        <w:rPr>
          <w:i/>
          <w:iCs/>
        </w:rPr>
        <w:t>Availability of Documents</w:t>
      </w:r>
      <w:r w:rsidRPr="00E26AAC">
        <w:rPr>
          <w:szCs w:val="22"/>
        </w:rPr>
        <w:t xml:space="preserve">. </w:t>
      </w:r>
      <w:r>
        <w:rPr>
          <w:szCs w:val="22"/>
        </w:rPr>
        <w:t xml:space="preserve"> </w:t>
      </w:r>
      <w:r w:rsidRPr="4050EDF0">
        <w:t xml:space="preserve">Comments, reply comments, and </w:t>
      </w:r>
      <w:r w:rsidRPr="4050EDF0">
        <w:rPr>
          <w:i/>
          <w:iCs/>
        </w:rPr>
        <w:t xml:space="preserve">ex </w:t>
      </w:r>
      <w:r w:rsidRPr="4050EDF0">
        <w:rPr>
          <w:i/>
          <w:iCs/>
        </w:rPr>
        <w:t>parte</w:t>
      </w:r>
      <w:r w:rsidRPr="4050EDF0">
        <w:t xml:space="preserve"> submissions will be publicly available online via ECFS.</w:t>
      </w:r>
      <w:r>
        <w:rPr>
          <w:rStyle w:val="FootnoteReference"/>
        </w:rPr>
        <w:footnoteReference w:id="7"/>
      </w:r>
    </w:p>
    <w:p w:rsidR="0061038B" w:rsidRPr="00E26AAC" w:rsidP="0061038B" w14:paraId="19FB3033" w14:textId="77777777">
      <w:pPr>
        <w:spacing w:after="120"/>
        <w:ind w:firstLine="602"/>
        <w:rPr>
          <w:szCs w:val="22"/>
        </w:rPr>
      </w:pPr>
      <w:r w:rsidRPr="4050EDF0">
        <w:rPr>
          <w:i/>
          <w:iCs/>
        </w:rPr>
        <w:t xml:space="preserve">Ex </w:t>
      </w:r>
      <w:r w:rsidRPr="4050EDF0">
        <w:rPr>
          <w:i/>
          <w:iCs/>
        </w:rPr>
        <w:t>Parte</w:t>
      </w:r>
      <w:r w:rsidRPr="4050EDF0">
        <w:rPr>
          <w:i/>
          <w:iCs/>
        </w:rPr>
        <w:t xml:space="preserve"> Rules</w:t>
      </w:r>
      <w:r w:rsidRPr="00E26AAC">
        <w:rPr>
          <w:szCs w:val="22"/>
        </w:rPr>
        <w:t xml:space="preserve">. </w:t>
      </w:r>
      <w:r>
        <w:rPr>
          <w:szCs w:val="22"/>
        </w:rPr>
        <w:t xml:space="preserve"> </w:t>
      </w:r>
      <w:r w:rsidRPr="4050EDF0">
        <w:t xml:space="preserve">The proceeding this Public Notice initiates shall be treated as a “permit-but-disclose” proceeding in accordance with the Commission’s </w:t>
      </w:r>
      <w:r w:rsidRPr="4050EDF0">
        <w:rPr>
          <w:i/>
          <w:iCs/>
        </w:rPr>
        <w:t xml:space="preserve">ex </w:t>
      </w:r>
      <w:r w:rsidRPr="4050EDF0">
        <w:rPr>
          <w:i/>
          <w:iCs/>
        </w:rPr>
        <w:t>parte</w:t>
      </w:r>
      <w:r w:rsidRPr="4050EDF0">
        <w:t xml:space="preserve"> rules.</w:t>
      </w:r>
      <w:r>
        <w:rPr>
          <w:rStyle w:val="FootnoteReference"/>
        </w:rPr>
        <w:footnoteReference w:id="8"/>
      </w:r>
      <w:r w:rsidRPr="00E26AAC">
        <w:rPr>
          <w:szCs w:val="22"/>
        </w:rPr>
        <w:t xml:space="preserve"> </w:t>
      </w:r>
      <w:r>
        <w:rPr>
          <w:szCs w:val="22"/>
        </w:rPr>
        <w:t xml:space="preserve"> </w:t>
      </w:r>
      <w:r w:rsidRPr="4050EDF0">
        <w:t xml:space="preserve">Persons making </w:t>
      </w:r>
      <w:r w:rsidRPr="4050EDF0">
        <w:rPr>
          <w:i/>
          <w:iCs/>
        </w:rPr>
        <w:t xml:space="preserve">ex </w:t>
      </w:r>
      <w:r w:rsidRPr="4050EDF0">
        <w:rPr>
          <w:i/>
          <w:iCs/>
        </w:rPr>
        <w:t>parte</w:t>
      </w:r>
      <w:r w:rsidRPr="4050EDF0">
        <w:t xml:space="preserve"> presentations must file a copy of any written presentation or a memorandum summarizing any oral presentation within two business days after the presentation (unless a different deadline applicable to the Sunshine period applies). </w:t>
      </w:r>
      <w:r>
        <w:rPr>
          <w:szCs w:val="22"/>
        </w:rPr>
        <w:t xml:space="preserve"> </w:t>
      </w:r>
      <w:r w:rsidRPr="4050EDF0">
        <w:t xml:space="preserve">Persons making oral </w:t>
      </w:r>
      <w:r w:rsidRPr="4050EDF0">
        <w:rPr>
          <w:i/>
          <w:iCs/>
        </w:rPr>
        <w:t xml:space="preserve">ex </w:t>
      </w:r>
      <w:r w:rsidRPr="4050EDF0">
        <w:rPr>
          <w:i/>
          <w:iCs/>
        </w:rPr>
        <w:t>parte</w:t>
      </w:r>
      <w:r w:rsidRPr="4050EDF0">
        <w:t xml:space="preserve"> presentations are reminded that memoranda summarizing the presentation must (1) list all persons attending or otherwise participating in the meeting at which the </w:t>
      </w:r>
      <w:r w:rsidRPr="4050EDF0">
        <w:rPr>
          <w:i/>
          <w:iCs/>
        </w:rPr>
        <w:t xml:space="preserve">ex </w:t>
      </w:r>
      <w:r w:rsidRPr="4050EDF0">
        <w:rPr>
          <w:i/>
          <w:iCs/>
        </w:rPr>
        <w:t>parte</w:t>
      </w:r>
      <w:r w:rsidRPr="4050EDF0">
        <w:t xml:space="preserve"> presentation was made, and (2) summarize all data presented and arguments made during the presentation. </w:t>
      </w:r>
      <w:r>
        <w:rPr>
          <w:szCs w:val="22"/>
        </w:rPr>
        <w:t xml:space="preserve"> </w:t>
      </w:r>
      <w:r w:rsidRPr="4050EDF0">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rsidRPr="4050EDF0">
        <w:rPr>
          <w:i/>
          <w:iCs/>
        </w:rPr>
        <w:t xml:space="preserve">ex </w:t>
      </w:r>
      <w:r w:rsidRPr="4050EDF0">
        <w:rPr>
          <w:i/>
          <w:iCs/>
        </w:rPr>
        <w:t>parte</w:t>
      </w:r>
      <w:r w:rsidRPr="4050EDF0">
        <w:t xml:space="preserve"> memorandum. </w:t>
      </w:r>
      <w:r>
        <w:rPr>
          <w:szCs w:val="22"/>
        </w:rPr>
        <w:t xml:space="preserve"> </w:t>
      </w:r>
      <w:r w:rsidRPr="4050EDF0">
        <w:t xml:space="preserve">Documents shown or given to Commission staff during </w:t>
      </w:r>
      <w:r w:rsidRPr="4050EDF0">
        <w:rPr>
          <w:i/>
          <w:iCs/>
        </w:rPr>
        <w:t xml:space="preserve">ex </w:t>
      </w:r>
      <w:r w:rsidRPr="4050EDF0">
        <w:rPr>
          <w:i/>
          <w:iCs/>
        </w:rPr>
        <w:t>parte</w:t>
      </w:r>
      <w:r w:rsidRPr="4050EDF0">
        <w:rPr>
          <w:i/>
          <w:iCs/>
        </w:rPr>
        <w:t xml:space="preserve"> </w:t>
      </w:r>
      <w:r w:rsidRPr="4050EDF0">
        <w:t xml:space="preserve">meetings are deemed to be written </w:t>
      </w:r>
      <w:r w:rsidRPr="4050EDF0">
        <w:rPr>
          <w:i/>
          <w:iCs/>
        </w:rPr>
        <w:t xml:space="preserve">ex </w:t>
      </w:r>
      <w:r w:rsidRPr="4050EDF0">
        <w:rPr>
          <w:i/>
          <w:iCs/>
        </w:rPr>
        <w:t>parte</w:t>
      </w:r>
      <w:r w:rsidRPr="4050EDF0">
        <w:t xml:space="preserve"> presentations and must be filed consistent with section 1.1206(b) of the Commission’s rules.</w:t>
      </w:r>
      <w:r>
        <w:rPr>
          <w:rStyle w:val="FootnoteReference"/>
        </w:rPr>
        <w:footnoteReference w:id="9"/>
      </w:r>
      <w:r w:rsidRPr="00E26AAC">
        <w:rPr>
          <w:szCs w:val="22"/>
        </w:rPr>
        <w:t xml:space="preserve"> </w:t>
      </w:r>
      <w:r>
        <w:rPr>
          <w:szCs w:val="22"/>
        </w:rPr>
        <w:t xml:space="preserve"> </w:t>
      </w:r>
      <w:r w:rsidRPr="4050EDF0">
        <w:t>In proceedings governed by section 1.49(f) of the Commission’s rules,</w:t>
      </w:r>
      <w:r>
        <w:rPr>
          <w:rStyle w:val="FootnoteReference"/>
        </w:rPr>
        <w:footnoteReference w:id="10"/>
      </w:r>
      <w:r w:rsidRPr="4050EDF0">
        <w:t xml:space="preserve"> or for which the Commission has made available a method of electronic filing, written </w:t>
      </w:r>
      <w:r w:rsidRPr="4050EDF0">
        <w:rPr>
          <w:i/>
          <w:iCs/>
        </w:rPr>
        <w:t xml:space="preserve">ex </w:t>
      </w:r>
      <w:r w:rsidRPr="4050EDF0">
        <w:rPr>
          <w:i/>
          <w:iCs/>
        </w:rPr>
        <w:t>parte</w:t>
      </w:r>
      <w:r w:rsidRPr="4050EDF0">
        <w:t xml:space="preserve"> presentations and memoranda summarizing oral </w:t>
      </w:r>
      <w:r w:rsidRPr="4050EDF0">
        <w:rPr>
          <w:i/>
          <w:iCs/>
        </w:rPr>
        <w:t xml:space="preserve">ex </w:t>
      </w:r>
      <w:r w:rsidRPr="4050EDF0">
        <w:rPr>
          <w:i/>
          <w:iCs/>
        </w:rPr>
        <w:t>parte</w:t>
      </w:r>
      <w:r w:rsidRPr="4050EDF0">
        <w:t xml:space="preserve"> presentations, and all attachments thereto, must be filed through ECFS in the docket available for that proceeding, and must be filed in their native format (e.g., .doc, .xml, .ppt, searchable .pdf). </w:t>
      </w:r>
      <w:r>
        <w:rPr>
          <w:szCs w:val="22"/>
        </w:rPr>
        <w:t xml:space="preserve"> </w:t>
      </w:r>
      <w:r w:rsidRPr="4050EDF0">
        <w:t xml:space="preserve">Participants in this proceeding should familiarize themselves with the Commission’s </w:t>
      </w:r>
      <w:r w:rsidRPr="4050EDF0">
        <w:rPr>
          <w:i/>
          <w:iCs/>
        </w:rPr>
        <w:t xml:space="preserve">ex </w:t>
      </w:r>
      <w:r w:rsidRPr="4050EDF0">
        <w:rPr>
          <w:i/>
          <w:iCs/>
        </w:rPr>
        <w:t>parte</w:t>
      </w:r>
      <w:r w:rsidRPr="4050EDF0">
        <w:t xml:space="preserve"> rules.</w:t>
      </w:r>
    </w:p>
    <w:p w:rsidR="0061038B" w:rsidP="0061038B" w14:paraId="5474E274" w14:textId="14C4591C">
      <w:pPr>
        <w:spacing w:after="120"/>
        <w:ind w:firstLine="602"/>
        <w:rPr>
          <w:szCs w:val="22"/>
        </w:rPr>
      </w:pPr>
      <w:r w:rsidRPr="00E26AAC">
        <w:rPr>
          <w:szCs w:val="22"/>
        </w:rPr>
        <w:t xml:space="preserve">For further information, please contact Zachary </w:t>
      </w:r>
      <w:r w:rsidRPr="00E26AAC">
        <w:rPr>
          <w:szCs w:val="22"/>
        </w:rPr>
        <w:t>Dileo</w:t>
      </w:r>
      <w:r w:rsidRPr="00E26AAC">
        <w:rPr>
          <w:szCs w:val="22"/>
        </w:rPr>
        <w:t>, Telecommunications Access Policy Division, Wireline Competition Bureau, by email at Zachary.Dileo@fcc.gov or by phone at (202) 418-</w:t>
      </w:r>
      <w:r>
        <w:rPr>
          <w:szCs w:val="22"/>
        </w:rPr>
        <w:t>0617</w:t>
      </w:r>
      <w:r w:rsidRPr="00E26AAC">
        <w:rPr>
          <w:szCs w:val="22"/>
        </w:rPr>
        <w:t>.</w:t>
      </w:r>
    </w:p>
    <w:p w:rsidR="0061038B" w:rsidRPr="00E26AAC" w:rsidP="0061038B" w14:paraId="4B9B363A" w14:textId="77777777">
      <w:pPr>
        <w:spacing w:after="120"/>
        <w:rPr>
          <w:szCs w:val="22"/>
        </w:rPr>
      </w:pPr>
    </w:p>
    <w:p w:rsidR="0061038B" w:rsidP="0061038B" w14:paraId="23205263" w14:textId="444808F2">
      <w:pPr>
        <w:jc w:val="center"/>
        <w:rPr>
          <w:b/>
          <w:bCs/>
          <w:szCs w:val="22"/>
        </w:rPr>
      </w:pPr>
      <w:r w:rsidRPr="00E26AAC">
        <w:rPr>
          <w:b/>
          <w:bCs/>
          <w:szCs w:val="22"/>
        </w:rPr>
        <w:t>- FCC -</w:t>
      </w:r>
    </w:p>
    <w:p w:rsidR="0061038B" w:rsidP="0061038B" w14:paraId="0248C489" w14:textId="77777777">
      <w:pPr>
        <w:rPr>
          <w:b/>
          <w:bCs/>
          <w:szCs w:val="22"/>
        </w:rPr>
      </w:pPr>
    </w:p>
    <w:p w:rsidR="0061038B" w:rsidP="0061038B" w14:paraId="20E884BC" w14:textId="47BB94D0">
      <w:pPr>
        <w:rPr>
          <w:b/>
          <w:bCs/>
          <w:szCs w:val="22"/>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61038B" w:rsidRPr="00E26AAC" w:rsidP="0061038B" w14:paraId="3819F0DD" w14:textId="1549C8B7">
      <w:pPr>
        <w:spacing w:after="160" w:line="259" w:lineRule="auto"/>
        <w:jc w:val="center"/>
        <w:rPr>
          <w:szCs w:val="22"/>
        </w:rPr>
      </w:pPr>
      <w:r w:rsidRPr="00E26AAC">
        <w:rPr>
          <w:b/>
          <w:szCs w:val="22"/>
        </w:rPr>
        <w:t>ATTACHMENT</w:t>
      </w:r>
    </w:p>
    <w:p w:rsidR="0061038B" w:rsidRPr="00E26AAC" w:rsidP="0061038B" w14:paraId="11BD32CE" w14:textId="77777777">
      <w:pPr>
        <w:pStyle w:val="Heading1"/>
        <w:numPr>
          <w:ilvl w:val="0"/>
          <w:numId w:val="0"/>
        </w:numPr>
        <w:ind w:right="267"/>
        <w:jc w:val="center"/>
        <w:rPr>
          <w:rFonts w:ascii="Times New Roman" w:hAnsi="Times New Roman"/>
          <w:szCs w:val="22"/>
        </w:rPr>
      </w:pPr>
      <w:r w:rsidRPr="00E26AAC">
        <w:rPr>
          <w:rFonts w:ascii="Times New Roman" w:hAnsi="Times New Roman"/>
          <w:szCs w:val="22"/>
        </w:rPr>
        <w:t>Eligible Services List for Funding Year 202</w:t>
      </w:r>
      <w:r>
        <w:rPr>
          <w:rFonts w:ascii="Times New Roman" w:hAnsi="Times New Roman"/>
          <w:szCs w:val="22"/>
        </w:rPr>
        <w:t>3</w:t>
      </w:r>
      <w:r w:rsidRPr="00E26AAC">
        <w:rPr>
          <w:rFonts w:ascii="Times New Roman" w:hAnsi="Times New Roman"/>
          <w:szCs w:val="22"/>
        </w:rPr>
        <w:t xml:space="preserve"> Schools and Libraries Universal Service Support Mechanism</w:t>
      </w:r>
    </w:p>
    <w:p w:rsidR="0061038B" w:rsidRPr="00E26AAC" w:rsidP="001D6718" w14:paraId="5EA9D138" w14:textId="34385B3F">
      <w:pPr>
        <w:spacing w:line="259" w:lineRule="auto"/>
        <w:ind w:right="212"/>
        <w:jc w:val="center"/>
        <w:rPr>
          <w:b/>
          <w:szCs w:val="22"/>
        </w:rPr>
      </w:pPr>
      <w:r w:rsidRPr="00E26AAC">
        <w:rPr>
          <w:szCs w:val="22"/>
        </w:rPr>
        <w:t xml:space="preserve"> </w:t>
      </w:r>
      <w:r w:rsidRPr="00E26AAC">
        <w:rPr>
          <w:b/>
          <w:szCs w:val="22"/>
        </w:rPr>
        <w:t xml:space="preserve">WC Docket No. 13-184 </w:t>
      </w:r>
    </w:p>
    <w:p w:rsidR="0061038B" w:rsidRPr="00E26AAC" w:rsidP="0061038B" w14:paraId="33CC3E97" w14:textId="77777777">
      <w:pPr>
        <w:ind w:left="-15" w:right="789"/>
        <w:rPr>
          <w:b/>
          <w:szCs w:val="22"/>
        </w:rPr>
      </w:pPr>
    </w:p>
    <w:p w:rsidR="0061038B" w:rsidRPr="00E26AAC" w:rsidP="00A51A42" w14:paraId="3D89FA40" w14:textId="77777777">
      <w:pPr>
        <w:spacing w:after="120"/>
        <w:ind w:left="-15" w:right="789"/>
        <w:rPr>
          <w:szCs w:val="22"/>
        </w:rPr>
      </w:pPr>
      <w:r w:rsidRPr="00E26AAC">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E26AAC">
        <w:rPr>
          <w:i/>
          <w:szCs w:val="22"/>
        </w:rPr>
        <w:t>et seq</w:t>
      </w:r>
      <w:r w:rsidRPr="00E26AAC">
        <w:rPr>
          <w:szCs w:val="22"/>
        </w:rPr>
        <w:t xml:space="preserve">.   </w:t>
      </w:r>
    </w:p>
    <w:p w:rsidR="0061038B" w:rsidRPr="00E26AAC" w:rsidP="00A51A42" w14:paraId="7CD8F008" w14:textId="77777777">
      <w:pPr>
        <w:spacing w:after="120"/>
        <w:ind w:left="-5" w:right="103"/>
        <w:rPr>
          <w:szCs w:val="22"/>
        </w:rPr>
      </w:pPr>
      <w:r w:rsidRPr="00E26AAC">
        <w:rPr>
          <w:szCs w:val="22"/>
        </w:rPr>
        <w:t xml:space="preserve">Additional guidance from USAC about the E-Rate application process and about eligible services, including a glossary of terms, is available at USAC’s website at </w:t>
      </w:r>
      <w:hyperlink r:id="rId11" w:history="1">
        <w:r w:rsidRPr="00E26AAC">
          <w:rPr>
            <w:color w:val="0000FF"/>
            <w:szCs w:val="22"/>
            <w:u w:val="single" w:color="0000FF"/>
          </w:rPr>
          <w:t>https://www.usac.org/e</w:t>
        </w:r>
      </w:hyperlink>
      <w:hyperlink r:id="rId11" w:history="1">
        <w:r w:rsidRPr="00E26AAC">
          <w:rPr>
            <w:color w:val="0000FF"/>
            <w:szCs w:val="22"/>
            <w:u w:val="single" w:color="0000FF"/>
          </w:rPr>
          <w:t>-</w:t>
        </w:r>
      </w:hyperlink>
      <w:hyperlink r:id="rId11" w:history="1">
        <w:r w:rsidRPr="00E26AAC">
          <w:rPr>
            <w:color w:val="0000FF"/>
            <w:szCs w:val="22"/>
            <w:u w:val="single" w:color="0000FF"/>
          </w:rPr>
          <w:t>rate/applicant</w:t>
        </w:r>
      </w:hyperlink>
      <w:hyperlink r:id="rId11" w:history="1">
        <w:r w:rsidRPr="00E26AAC">
          <w:rPr>
            <w:color w:val="0000FF"/>
            <w:szCs w:val="22"/>
            <w:u w:val="single" w:color="0000FF"/>
          </w:rPr>
          <w:t>process/before</w:t>
        </w:r>
      </w:hyperlink>
      <w:hyperlink r:id="rId11" w:history="1">
        <w:r w:rsidRPr="00E26AAC">
          <w:rPr>
            <w:color w:val="0000FF"/>
            <w:szCs w:val="22"/>
            <w:u w:val="single" w:color="0000FF"/>
          </w:rPr>
          <w:t>-</w:t>
        </w:r>
      </w:hyperlink>
      <w:hyperlink r:id="rId11" w:history="1">
        <w:r w:rsidRPr="00E26AAC">
          <w:rPr>
            <w:color w:val="0000FF"/>
            <w:szCs w:val="22"/>
            <w:u w:val="single" w:color="0000FF"/>
          </w:rPr>
          <w:t>you</w:t>
        </w:r>
      </w:hyperlink>
      <w:hyperlink r:id="rId11" w:history="1">
        <w:r w:rsidRPr="00E26AAC">
          <w:rPr>
            <w:color w:val="0000FF"/>
            <w:szCs w:val="22"/>
            <w:u w:val="single" w:color="0000FF"/>
          </w:rPr>
          <w:t>-</w:t>
        </w:r>
      </w:hyperlink>
      <w:hyperlink r:id="rId11" w:history="1">
        <w:r w:rsidRPr="00E26AAC">
          <w:rPr>
            <w:color w:val="0000FF"/>
            <w:szCs w:val="22"/>
            <w:u w:val="single" w:color="0000FF"/>
          </w:rPr>
          <w:t>begin/eligible</w:t>
        </w:r>
      </w:hyperlink>
      <w:hyperlink r:id="rId11" w:history="1">
        <w:r w:rsidRPr="00E26AAC">
          <w:rPr>
            <w:color w:val="0000FF"/>
            <w:szCs w:val="22"/>
            <w:u w:val="single" w:color="0000FF"/>
          </w:rPr>
          <w:t>-</w:t>
        </w:r>
      </w:hyperlink>
      <w:hyperlink r:id="rId11" w:history="1">
        <w:r w:rsidRPr="00E26AAC">
          <w:rPr>
            <w:color w:val="0000FF"/>
            <w:szCs w:val="22"/>
            <w:u w:val="single" w:color="0000FF"/>
          </w:rPr>
          <w:t>services</w:t>
        </w:r>
      </w:hyperlink>
      <w:hyperlink r:id="rId11" w:history="1">
        <w:r w:rsidRPr="00E26AAC">
          <w:rPr>
            <w:color w:val="0000FF"/>
            <w:szCs w:val="22"/>
            <w:u w:val="single" w:color="0000FF"/>
          </w:rPr>
          <w:t>-</w:t>
        </w:r>
      </w:hyperlink>
      <w:hyperlink r:id="rId11" w:history="1">
        <w:r w:rsidRPr="00E26AAC">
          <w:rPr>
            <w:color w:val="0000FF"/>
            <w:szCs w:val="22"/>
            <w:u w:val="single" w:color="0000FF"/>
          </w:rPr>
          <w:t>list/</w:t>
        </w:r>
      </w:hyperlink>
      <w:hyperlink r:id="rId11" w:history="1">
        <w:r w:rsidRPr="00E26AAC">
          <w:rPr>
            <w:szCs w:val="22"/>
          </w:rPr>
          <w:t>.</w:t>
        </w:r>
      </w:hyperlink>
      <w:r w:rsidRPr="00E26AAC">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w:t>
      </w:r>
      <w:r>
        <w:rPr>
          <w:szCs w:val="22"/>
        </w:rPr>
        <w:t>3</w:t>
      </w:r>
      <w:r w:rsidRPr="00E26AAC">
        <w:rPr>
          <w:szCs w:val="22"/>
        </w:rPr>
        <w:t>.</w:t>
      </w:r>
      <w:r w:rsidRPr="00E26AAC">
        <w:rPr>
          <w:color w:val="010101"/>
          <w:szCs w:val="22"/>
        </w:rPr>
        <w:t xml:space="preserve"> </w:t>
      </w:r>
    </w:p>
    <w:p w:rsidR="0061038B" w:rsidRPr="0023411B" w:rsidP="0023411B" w14:paraId="297D5DB7" w14:textId="77777777">
      <w:pPr>
        <w:spacing w:after="120"/>
        <w:rPr>
          <w:b/>
          <w:bCs/>
        </w:rPr>
      </w:pPr>
      <w:r w:rsidRPr="0023411B">
        <w:rPr>
          <w:b/>
          <w:bCs/>
        </w:rPr>
        <w:t xml:space="preserve">Category One </w:t>
      </w:r>
    </w:p>
    <w:p w:rsidR="0061038B" w:rsidP="0061038B" w14:paraId="4981043B" w14:textId="34E4BA63">
      <w:pPr>
        <w:ind w:left="-5"/>
        <w:rPr>
          <w:szCs w:val="22"/>
        </w:rPr>
      </w:pPr>
      <w:r w:rsidRPr="00E26AAC">
        <w:rPr>
          <w:szCs w:val="22"/>
        </w:rPr>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w:t>
      </w:r>
      <w:r>
        <w:rPr>
          <w:szCs w:val="22"/>
        </w:rPr>
        <w:t>,</w:t>
      </w:r>
      <w:r w:rsidRPr="00E26AAC">
        <w:rPr>
          <w:szCs w:val="22"/>
        </w:rPr>
        <w:t xml:space="preserve"> are only eligible for support when provided as a component of these services. </w:t>
      </w:r>
    </w:p>
    <w:p w:rsidR="001D6718" w:rsidRPr="00E26AAC" w:rsidP="0061038B" w14:paraId="45CF2FF9" w14:textId="77777777">
      <w:pPr>
        <w:ind w:left="-5"/>
        <w:rPr>
          <w:szCs w:val="22"/>
        </w:rPr>
      </w:pPr>
    </w:p>
    <w:tbl>
      <w:tblPr>
        <w:tblW w:w="9177" w:type="dxa"/>
        <w:tblInd w:w="91" w:type="dxa"/>
        <w:tblCellMar>
          <w:top w:w="14" w:type="dxa"/>
          <w:left w:w="110" w:type="dxa"/>
          <w:right w:w="115" w:type="dxa"/>
        </w:tblCellMar>
        <w:tblLook w:val="04A0"/>
      </w:tblPr>
      <w:tblGrid>
        <w:gridCol w:w="9177"/>
      </w:tblGrid>
      <w:tr w14:paraId="5A6C188D" w14:textId="77777777" w:rsidTr="0061038B">
        <w:tblPrEx>
          <w:tblW w:w="9177" w:type="dxa"/>
          <w:tblInd w:w="91" w:type="dxa"/>
          <w:tblCellMar>
            <w:top w:w="14" w:type="dxa"/>
            <w:left w:w="110" w:type="dxa"/>
            <w:right w:w="115" w:type="dxa"/>
          </w:tblCellMar>
          <w:tblLook w:val="04A0"/>
        </w:tblPrEx>
        <w:trPr>
          <w:trHeight w:val="5016"/>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758C2199" w14:textId="77777777">
            <w:pPr>
              <w:spacing w:after="96" w:line="259" w:lineRule="auto"/>
              <w:ind w:left="7"/>
              <w:jc w:val="center"/>
              <w:rPr>
                <w:szCs w:val="22"/>
              </w:rPr>
            </w:pPr>
            <w:r w:rsidRPr="00E87C98">
              <w:rPr>
                <w:b/>
                <w:szCs w:val="22"/>
              </w:rPr>
              <w:t xml:space="preserve">Data Transmission and/or Internet Access </w:t>
            </w:r>
          </w:p>
          <w:p w:rsidR="0061038B" w:rsidRPr="00E87C98" w:rsidP="00EC63DC" w14:paraId="1BF1E671" w14:textId="77777777">
            <w:pPr>
              <w:spacing w:after="23" w:line="236" w:lineRule="auto"/>
              <w:rPr>
                <w:szCs w:val="22"/>
              </w:rPr>
            </w:pPr>
            <w:r w:rsidRPr="00E87C98">
              <w:rPr>
                <w:szCs w:val="22"/>
              </w:rPr>
              <w:t xml:space="preserve">Data transmission and/or Internet access services are eligible in Category One.  These services include: </w:t>
            </w:r>
          </w:p>
          <w:p w:rsidR="0061038B" w:rsidRPr="00E87C98" w:rsidP="0061038B" w14:paraId="2A223A45" w14:textId="77777777">
            <w:pPr>
              <w:widowControl/>
              <w:numPr>
                <w:ilvl w:val="0"/>
                <w:numId w:val="9"/>
              </w:numPr>
              <w:spacing w:line="259" w:lineRule="auto"/>
              <w:ind w:hanging="360"/>
              <w:rPr>
                <w:szCs w:val="22"/>
              </w:rPr>
            </w:pPr>
            <w:r w:rsidRPr="00E87C98">
              <w:rPr>
                <w:szCs w:val="22"/>
              </w:rPr>
              <w:t xml:space="preserve">Asynchronous Transfer Mode (ATM) </w:t>
            </w:r>
          </w:p>
          <w:p w:rsidR="0061038B" w:rsidRPr="00E87C98" w:rsidP="0061038B" w14:paraId="7E222BE6" w14:textId="77777777">
            <w:pPr>
              <w:widowControl/>
              <w:numPr>
                <w:ilvl w:val="0"/>
                <w:numId w:val="9"/>
              </w:numPr>
              <w:spacing w:line="259" w:lineRule="auto"/>
              <w:ind w:hanging="360"/>
              <w:rPr>
                <w:szCs w:val="22"/>
              </w:rPr>
            </w:pPr>
            <w:r w:rsidRPr="00E87C98">
              <w:rPr>
                <w:szCs w:val="22"/>
              </w:rPr>
              <w:t xml:space="preserve">Broadband over Power Lines </w:t>
            </w:r>
          </w:p>
          <w:p w:rsidR="0061038B" w:rsidRPr="00E87C98" w:rsidP="0061038B" w14:paraId="7FFB17A7" w14:textId="77777777">
            <w:pPr>
              <w:widowControl/>
              <w:numPr>
                <w:ilvl w:val="0"/>
                <w:numId w:val="9"/>
              </w:numPr>
              <w:spacing w:line="259" w:lineRule="auto"/>
              <w:ind w:hanging="360"/>
              <w:rPr>
                <w:szCs w:val="22"/>
              </w:rPr>
            </w:pPr>
            <w:r w:rsidRPr="00E87C98">
              <w:rPr>
                <w:szCs w:val="22"/>
              </w:rPr>
              <w:t xml:space="preserve">Cable Modem </w:t>
            </w:r>
          </w:p>
          <w:p w:rsidR="0061038B" w:rsidRPr="00E87C98" w:rsidP="0061038B" w14:paraId="5EC760AB" w14:textId="77777777">
            <w:pPr>
              <w:widowControl/>
              <w:numPr>
                <w:ilvl w:val="0"/>
                <w:numId w:val="9"/>
              </w:numPr>
              <w:spacing w:line="259" w:lineRule="auto"/>
              <w:ind w:hanging="360"/>
              <w:rPr>
                <w:szCs w:val="22"/>
              </w:rPr>
            </w:pPr>
            <w:r w:rsidRPr="00E87C98">
              <w:rPr>
                <w:szCs w:val="22"/>
              </w:rPr>
              <w:t xml:space="preserve">Digital Subscriber Line (DSL) </w:t>
            </w:r>
          </w:p>
          <w:p w:rsidR="0061038B" w:rsidRPr="00E87C98" w:rsidP="0061038B" w14:paraId="21D47BD4" w14:textId="77777777">
            <w:pPr>
              <w:widowControl/>
              <w:numPr>
                <w:ilvl w:val="0"/>
                <w:numId w:val="9"/>
              </w:numPr>
              <w:spacing w:line="259" w:lineRule="auto"/>
              <w:ind w:hanging="360"/>
              <w:rPr>
                <w:szCs w:val="22"/>
              </w:rPr>
            </w:pPr>
            <w:r w:rsidRPr="00E87C98">
              <w:rPr>
                <w:szCs w:val="22"/>
              </w:rPr>
              <w:t xml:space="preserve">DS-1 (T-1), DS-3 (T-3), and Fractional T-1 or T-3 </w:t>
            </w:r>
          </w:p>
          <w:p w:rsidR="0061038B" w:rsidRPr="00E87C98" w:rsidP="0061038B" w14:paraId="6F9F4995" w14:textId="77777777">
            <w:pPr>
              <w:widowControl/>
              <w:numPr>
                <w:ilvl w:val="0"/>
                <w:numId w:val="9"/>
              </w:numPr>
              <w:spacing w:line="259" w:lineRule="auto"/>
              <w:ind w:hanging="360"/>
              <w:rPr>
                <w:szCs w:val="22"/>
              </w:rPr>
            </w:pPr>
            <w:r w:rsidRPr="00E87C98">
              <w:rPr>
                <w:szCs w:val="22"/>
              </w:rPr>
              <w:t xml:space="preserve">Ethernet </w:t>
            </w:r>
          </w:p>
          <w:p w:rsidR="0061038B" w:rsidRPr="00E87C98" w:rsidP="0061038B" w14:paraId="4CD6C39A" w14:textId="77777777">
            <w:pPr>
              <w:widowControl/>
              <w:numPr>
                <w:ilvl w:val="0"/>
                <w:numId w:val="9"/>
              </w:numPr>
              <w:spacing w:after="30" w:line="246" w:lineRule="auto"/>
              <w:ind w:hanging="360"/>
              <w:rPr>
                <w:szCs w:val="22"/>
              </w:rPr>
            </w:pPr>
            <w:r w:rsidRPr="00E87C98">
              <w:rPr>
                <w:szCs w:val="22"/>
              </w:rPr>
              <w:t xml:space="preserve">Integrated Services Digital Network (ISDN) </w:t>
            </w:r>
            <w:r w:rsidRPr="00E87C98">
              <w:rPr>
                <w:i/>
                <w:szCs w:val="22"/>
              </w:rPr>
              <w:t>Note</w:t>
            </w:r>
            <w:r w:rsidRPr="00E87C98">
              <w:rPr>
                <w:szCs w:val="22"/>
              </w:rPr>
              <w:t xml:space="preserve">:  Dedicated voice channels on an ISDN circuit are no longer eligible. </w:t>
            </w:r>
          </w:p>
          <w:p w:rsidR="0061038B" w:rsidRPr="00E87C98" w:rsidP="0061038B" w14:paraId="661AC921" w14:textId="77777777">
            <w:pPr>
              <w:widowControl/>
              <w:numPr>
                <w:ilvl w:val="0"/>
                <w:numId w:val="9"/>
              </w:numPr>
              <w:spacing w:line="259" w:lineRule="auto"/>
              <w:ind w:hanging="360"/>
              <w:rPr>
                <w:szCs w:val="22"/>
              </w:rPr>
            </w:pPr>
            <w:r w:rsidRPr="00E87C98">
              <w:rPr>
                <w:szCs w:val="22"/>
              </w:rPr>
              <w:t xml:space="preserve">Leased Lit Fiber </w:t>
            </w:r>
          </w:p>
          <w:p w:rsidR="0061038B" w:rsidRPr="00E87C98" w:rsidP="0061038B" w14:paraId="2CA2DD31" w14:textId="77777777">
            <w:pPr>
              <w:widowControl/>
              <w:numPr>
                <w:ilvl w:val="0"/>
                <w:numId w:val="9"/>
              </w:numPr>
              <w:spacing w:line="259" w:lineRule="auto"/>
              <w:ind w:hanging="360"/>
              <w:rPr>
                <w:szCs w:val="22"/>
              </w:rPr>
            </w:pPr>
            <w:r w:rsidRPr="00E87C98">
              <w:rPr>
                <w:szCs w:val="22"/>
              </w:rPr>
              <w:t>Leased Dark Fiber (including dark fiber indefeasible rights of use (</w:t>
            </w:r>
            <w:r w:rsidRPr="00E87C98">
              <w:rPr>
                <w:szCs w:val="22"/>
              </w:rPr>
              <w:t>IRUs</w:t>
            </w:r>
            <w:r w:rsidRPr="00E87C98">
              <w:rPr>
                <w:szCs w:val="22"/>
              </w:rPr>
              <w:t xml:space="preserve">) for a set term) </w:t>
            </w:r>
          </w:p>
          <w:p w:rsidR="0061038B" w:rsidRPr="00E87C98" w:rsidP="0061038B" w14:paraId="7F0C7158" w14:textId="77777777">
            <w:pPr>
              <w:widowControl/>
              <w:numPr>
                <w:ilvl w:val="0"/>
                <w:numId w:val="9"/>
              </w:numPr>
              <w:spacing w:line="230" w:lineRule="auto"/>
              <w:ind w:hanging="360"/>
              <w:rPr>
                <w:szCs w:val="22"/>
              </w:rPr>
            </w:pPr>
            <w:r w:rsidRPr="00E87C98">
              <w:rPr>
                <w:szCs w:val="22"/>
              </w:rPr>
              <w:t xml:space="preserve">Self-Provisioned Broadband Networks (applicant owned and operated networks) </w:t>
            </w:r>
            <w:r w:rsidRPr="00E87C98">
              <w:rPr>
                <w:rFonts w:eastAsia="Segoe UI Symbol"/>
                <w:szCs w:val="22"/>
              </w:rPr>
              <w:t>•</w:t>
            </w:r>
            <w:r w:rsidRPr="00E87C98">
              <w:rPr>
                <w:rFonts w:eastAsia="Arial"/>
                <w:szCs w:val="22"/>
              </w:rPr>
              <w:t xml:space="preserve"> </w:t>
            </w:r>
            <w:r w:rsidRPr="00E87C98">
              <w:rPr>
                <w:rFonts w:eastAsia="Arial"/>
                <w:szCs w:val="22"/>
              </w:rPr>
              <w:tab/>
            </w:r>
            <w:r w:rsidRPr="00E87C98">
              <w:rPr>
                <w:szCs w:val="22"/>
              </w:rPr>
              <w:t xml:space="preserve">Frame Relay </w:t>
            </w:r>
          </w:p>
          <w:p w:rsidR="0061038B" w:rsidRPr="00E87C98" w:rsidP="0061038B" w14:paraId="1B65474A" w14:textId="77777777">
            <w:pPr>
              <w:widowControl/>
              <w:numPr>
                <w:ilvl w:val="0"/>
                <w:numId w:val="9"/>
              </w:numPr>
              <w:spacing w:line="259" w:lineRule="auto"/>
              <w:ind w:hanging="360"/>
              <w:rPr>
                <w:szCs w:val="22"/>
              </w:rPr>
            </w:pPr>
            <w:r w:rsidRPr="00E87C98">
              <w:rPr>
                <w:szCs w:val="22"/>
              </w:rPr>
              <w:t xml:space="preserve">Multi-Protocol Label Switching (MPLS) </w:t>
            </w:r>
          </w:p>
          <w:p w:rsidR="0061038B" w:rsidRPr="00E87C98" w:rsidP="0061038B" w14:paraId="176CA15A" w14:textId="77777777">
            <w:pPr>
              <w:widowControl/>
              <w:numPr>
                <w:ilvl w:val="0"/>
                <w:numId w:val="9"/>
              </w:numPr>
              <w:spacing w:line="259" w:lineRule="auto"/>
              <w:ind w:hanging="360"/>
              <w:rPr>
                <w:szCs w:val="22"/>
              </w:rPr>
            </w:pPr>
            <w:r w:rsidRPr="00E87C98">
              <w:rPr>
                <w:szCs w:val="22"/>
              </w:rPr>
              <w:t xml:space="preserve">OC-1, OC-3, OC-12, OC-n </w:t>
            </w:r>
          </w:p>
          <w:p w:rsidR="0061038B" w:rsidP="0061038B" w14:paraId="3D76A767" w14:textId="77777777">
            <w:pPr>
              <w:widowControl/>
              <w:numPr>
                <w:ilvl w:val="0"/>
                <w:numId w:val="9"/>
              </w:numPr>
              <w:spacing w:line="259" w:lineRule="auto"/>
              <w:ind w:hanging="360"/>
              <w:rPr>
                <w:szCs w:val="22"/>
              </w:rPr>
            </w:pPr>
            <w:r w:rsidRPr="00E87C98">
              <w:rPr>
                <w:szCs w:val="22"/>
              </w:rPr>
              <w:t xml:space="preserve">Satellite </w:t>
            </w:r>
          </w:p>
          <w:p w:rsidR="0061038B" w:rsidRPr="00E87C98" w:rsidP="0061038B" w14:paraId="0C00EC9E" w14:textId="77777777">
            <w:pPr>
              <w:widowControl/>
              <w:numPr>
                <w:ilvl w:val="0"/>
                <w:numId w:val="10"/>
              </w:numPr>
              <w:spacing w:line="259" w:lineRule="auto"/>
              <w:ind w:hanging="360"/>
              <w:rPr>
                <w:szCs w:val="22"/>
              </w:rPr>
            </w:pPr>
            <w:r w:rsidRPr="00E87C98">
              <w:rPr>
                <w:szCs w:val="22"/>
              </w:rPr>
              <w:t xml:space="preserve">Switched Multimegabit Data Service </w:t>
            </w:r>
          </w:p>
          <w:p w:rsidR="00A51A42" w:rsidP="00A51A42" w14:paraId="003609C9" w14:textId="77777777">
            <w:pPr>
              <w:widowControl/>
              <w:numPr>
                <w:ilvl w:val="0"/>
                <w:numId w:val="10"/>
              </w:numPr>
              <w:spacing w:line="259" w:lineRule="auto"/>
              <w:ind w:hanging="360"/>
              <w:rPr>
                <w:szCs w:val="22"/>
              </w:rPr>
            </w:pPr>
            <w:r w:rsidRPr="00E87C98">
              <w:rPr>
                <w:szCs w:val="22"/>
              </w:rPr>
              <w:t xml:space="preserve">Telephone dial-up </w:t>
            </w:r>
          </w:p>
          <w:p w:rsidR="0061038B" w:rsidRPr="00A51A42" w:rsidP="00A51A42" w14:paraId="0E18DDDA" w14:textId="2030839E">
            <w:pPr>
              <w:widowControl/>
              <w:numPr>
                <w:ilvl w:val="0"/>
                <w:numId w:val="10"/>
              </w:numPr>
              <w:spacing w:after="120" w:line="259" w:lineRule="auto"/>
              <w:ind w:hanging="360"/>
              <w:rPr>
                <w:szCs w:val="22"/>
              </w:rPr>
            </w:pPr>
            <w:r w:rsidRPr="00A51A42">
              <w:rPr>
                <w:szCs w:val="22"/>
              </w:rPr>
              <w:t xml:space="preserve">Wireless </w:t>
            </w:r>
          </w:p>
          <w:p w:rsidR="0061038B" w:rsidRPr="00950306" w:rsidP="00EC63DC" w14:paraId="6B039C34" w14:textId="77777777">
            <w:pPr>
              <w:widowControl/>
              <w:spacing w:after="109" w:line="244" w:lineRule="auto"/>
              <w:ind w:left="-24" w:firstLine="24"/>
              <w:rPr>
                <w:szCs w:val="22"/>
              </w:rPr>
            </w:pPr>
            <w:r w:rsidRPr="00950306">
              <w:rPr>
                <w:i/>
                <w:szCs w:val="22"/>
              </w:rPr>
              <w:t>Notes:</w:t>
            </w:r>
            <w:r w:rsidRPr="00950306">
              <w:rPr>
                <w:szCs w:val="22"/>
              </w:rPr>
              <w:t xml:space="preserve"> </w:t>
            </w:r>
            <w:r>
              <w:rPr>
                <w:szCs w:val="22"/>
              </w:rPr>
              <w:t xml:space="preserve">  </w:t>
            </w:r>
            <w:r w:rsidRPr="00950306">
              <w:rPr>
                <w:szCs w:val="22"/>
              </w:rPr>
              <w:t xml:space="preserve">(1)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 </w:t>
            </w:r>
          </w:p>
          <w:p w:rsidR="0061038B" w:rsidRPr="00E87C98" w:rsidP="0061038B" w14:paraId="048C76F2" w14:textId="77777777">
            <w:pPr>
              <w:widowControl/>
              <w:numPr>
                <w:ilvl w:val="0"/>
                <w:numId w:val="11"/>
              </w:numPr>
              <w:spacing w:after="119" w:line="238" w:lineRule="auto"/>
              <w:ind w:left="-24"/>
              <w:rPr>
                <w:szCs w:val="22"/>
              </w:rPr>
            </w:pPr>
            <w:r w:rsidRPr="00E87C98">
              <w:rPr>
                <w:szCs w:val="22"/>
              </w:rPr>
              <w:t xml:space="preserve">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 </w:t>
            </w:r>
          </w:p>
          <w:p w:rsidR="0061038B" w:rsidRPr="00E87C98" w:rsidP="0061038B" w14:paraId="1BBBE5BA" w14:textId="77777777">
            <w:pPr>
              <w:widowControl/>
              <w:numPr>
                <w:ilvl w:val="0"/>
                <w:numId w:val="11"/>
              </w:numPr>
              <w:spacing w:after="115" w:line="239" w:lineRule="auto"/>
              <w:ind w:left="-24"/>
              <w:rPr>
                <w:szCs w:val="22"/>
              </w:rPr>
            </w:pPr>
            <w:r w:rsidRPr="00E87C98">
              <w:rPr>
                <w:szCs w:val="22"/>
              </w:rPr>
              <w:t xml:space="preserve">Applicants may seek special construction funding for the upfront, non-recurring costs for the deployment of new or upgraded facilities.  The eligible components of special construction are construction of network facilities, design and engineering, and project management. </w:t>
            </w:r>
          </w:p>
          <w:p w:rsidR="0061038B" w:rsidRPr="00E77212" w:rsidP="0061038B" w14:paraId="1268D2CF" w14:textId="77777777">
            <w:pPr>
              <w:pStyle w:val="ListParagraph"/>
              <w:numPr>
                <w:ilvl w:val="0"/>
                <w:numId w:val="11"/>
              </w:numPr>
              <w:spacing w:line="259" w:lineRule="auto"/>
              <w:ind w:left="-24" w:firstLine="0"/>
            </w:pPr>
            <w:r>
              <w:t>Staff salaries and labor costs for personnel of the applicant or underlying beneficiary are not E-Rate eligible.</w:t>
            </w:r>
          </w:p>
        </w:tc>
      </w:tr>
    </w:tbl>
    <w:p w:rsidR="0061038B" w:rsidRPr="00E26AAC" w:rsidP="0061038B" w14:paraId="7FF6D2C1" w14:textId="77777777">
      <w:pPr>
        <w:spacing w:line="259" w:lineRule="auto"/>
        <w:rPr>
          <w:szCs w:val="22"/>
        </w:rPr>
      </w:pPr>
      <w:r w:rsidRPr="00E26AAC">
        <w:rPr>
          <w:szCs w:val="22"/>
        </w:rPr>
        <w:t xml:space="preserve"> </w:t>
      </w:r>
    </w:p>
    <w:p w:rsidR="0061038B" w:rsidRPr="00D05B84" w:rsidP="0023411B" w14:paraId="3B0027C8" w14:textId="04CBDD6B">
      <w:pPr>
        <w:spacing w:after="120" w:line="259" w:lineRule="auto"/>
        <w:jc w:val="both"/>
        <w:rPr>
          <w:b/>
          <w:bCs/>
        </w:rPr>
      </w:pPr>
      <w:r w:rsidRPr="00E26AAC">
        <w:rPr>
          <w:szCs w:val="22"/>
        </w:rPr>
        <w:br w:type="page"/>
      </w:r>
      <w:r w:rsidRPr="00D05B84">
        <w:rPr>
          <w:b/>
          <w:bCs/>
        </w:rPr>
        <w:t xml:space="preserve">Category Two </w:t>
      </w:r>
    </w:p>
    <w:p w:rsidR="0061038B" w:rsidRPr="00E26AAC" w:rsidP="0061038B" w14:paraId="1002EC44" w14:textId="77777777">
      <w:pPr>
        <w:ind w:right="158"/>
        <w:rPr>
          <w:szCs w:val="22"/>
        </w:rPr>
      </w:pPr>
      <w:r w:rsidRPr="00E26AAC">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sidRPr="00E26AAC">
        <w:rPr>
          <w:i/>
          <w:szCs w:val="22"/>
        </w:rPr>
        <w:t xml:space="preserve"> </w:t>
      </w:r>
      <w:r w:rsidRPr="00E26AAC">
        <w:rPr>
          <w:szCs w:val="22"/>
        </w:rPr>
        <w:t xml:space="preserve">managed internal broadband services or managed Wi-Fi).  Category Two support is subject to district- or library system-wide budgets as set forth in 47 CFR § 54.502.  The eligible components and services in Category Two are. </w:t>
      </w:r>
    </w:p>
    <w:p w:rsidR="0061038B" w:rsidRPr="00E26AAC" w:rsidP="0061038B" w14:paraId="5B2EA08D" w14:textId="77777777">
      <w:pPr>
        <w:spacing w:line="259" w:lineRule="auto"/>
        <w:rPr>
          <w:szCs w:val="22"/>
        </w:rPr>
      </w:pPr>
      <w:r w:rsidRPr="00E26AAC">
        <w:rPr>
          <w:szCs w:val="22"/>
        </w:rPr>
        <w:t xml:space="preserve"> </w:t>
      </w:r>
    </w:p>
    <w:tbl>
      <w:tblPr>
        <w:tblW w:w="9177" w:type="dxa"/>
        <w:tblInd w:w="91" w:type="dxa"/>
        <w:tblCellMar>
          <w:top w:w="14" w:type="dxa"/>
          <w:left w:w="110" w:type="dxa"/>
          <w:right w:w="230" w:type="dxa"/>
        </w:tblCellMar>
        <w:tblLook w:val="04A0"/>
      </w:tblPr>
      <w:tblGrid>
        <w:gridCol w:w="9177"/>
      </w:tblGrid>
      <w:tr w14:paraId="469753EA" w14:textId="77777777" w:rsidTr="00EC63DC">
        <w:tblPrEx>
          <w:tblW w:w="9177" w:type="dxa"/>
          <w:tblInd w:w="91" w:type="dxa"/>
          <w:tblCellMar>
            <w:top w:w="14" w:type="dxa"/>
            <w:left w:w="110" w:type="dxa"/>
            <w:right w:w="230" w:type="dxa"/>
          </w:tblCellMar>
          <w:tblLook w:val="04A0"/>
        </w:tblPrEx>
        <w:trPr>
          <w:trHeight w:val="7230"/>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26D235BD" w14:textId="77777777">
            <w:pPr>
              <w:spacing w:after="114" w:line="259" w:lineRule="auto"/>
              <w:ind w:left="126"/>
              <w:jc w:val="center"/>
              <w:rPr>
                <w:szCs w:val="22"/>
              </w:rPr>
            </w:pPr>
            <w:r w:rsidRPr="00E87C98">
              <w:rPr>
                <w:b/>
                <w:szCs w:val="22"/>
              </w:rPr>
              <w:t xml:space="preserve">Eligible Broadband Internal Connections </w:t>
            </w:r>
          </w:p>
          <w:p w:rsidR="0061038B" w:rsidRPr="00E87C98" w:rsidP="0061038B" w14:paraId="69645871" w14:textId="77777777">
            <w:pPr>
              <w:widowControl/>
              <w:numPr>
                <w:ilvl w:val="0"/>
                <w:numId w:val="12"/>
              </w:numPr>
              <w:ind w:hanging="360"/>
              <w:rPr>
                <w:szCs w:val="22"/>
              </w:rPr>
            </w:pPr>
            <w:r w:rsidRPr="00E87C98">
              <w:rPr>
                <w:szCs w:val="22"/>
              </w:rPr>
              <w:t xml:space="preserve">Antennas, connectors, and related components used for internal broadband connections </w:t>
            </w:r>
          </w:p>
          <w:p w:rsidR="0061038B" w:rsidRPr="00E87C98" w:rsidP="0061038B" w14:paraId="49A1DD83" w14:textId="77777777">
            <w:pPr>
              <w:widowControl/>
              <w:numPr>
                <w:ilvl w:val="0"/>
                <w:numId w:val="12"/>
              </w:numPr>
              <w:ind w:hanging="360"/>
              <w:rPr>
                <w:szCs w:val="22"/>
              </w:rPr>
            </w:pPr>
            <w:r w:rsidRPr="00E87C98">
              <w:rPr>
                <w:szCs w:val="22"/>
              </w:rPr>
              <w:t xml:space="preserve">Cabling </w:t>
            </w:r>
          </w:p>
          <w:p w:rsidR="0061038B" w:rsidRPr="00E87C98" w:rsidP="0061038B" w14:paraId="61BBCB19" w14:textId="77777777">
            <w:pPr>
              <w:widowControl/>
              <w:numPr>
                <w:ilvl w:val="0"/>
                <w:numId w:val="12"/>
              </w:numPr>
              <w:ind w:hanging="360"/>
              <w:rPr>
                <w:szCs w:val="22"/>
              </w:rPr>
            </w:pPr>
            <w:r w:rsidRPr="00E87C98">
              <w:rPr>
                <w:szCs w:val="22"/>
              </w:rPr>
              <w:t xml:space="preserve">Caching </w:t>
            </w:r>
          </w:p>
          <w:p w:rsidR="0061038B" w:rsidRPr="00E87C98" w:rsidP="0061038B" w14:paraId="7C6B561F" w14:textId="77777777">
            <w:pPr>
              <w:widowControl/>
              <w:numPr>
                <w:ilvl w:val="0"/>
                <w:numId w:val="12"/>
              </w:numPr>
              <w:ind w:hanging="360"/>
              <w:rPr>
                <w:szCs w:val="22"/>
              </w:rPr>
            </w:pPr>
            <w:r w:rsidRPr="00E87C98">
              <w:rPr>
                <w:szCs w:val="22"/>
              </w:rPr>
              <w:t xml:space="preserve">Firewall services and firewall components separate from basic firewall protection provided </w:t>
            </w:r>
          </w:p>
          <w:p w:rsidR="0061038B" w:rsidRPr="00E87C98" w:rsidP="00EC63DC" w14:paraId="3CD3CD83" w14:textId="77777777">
            <w:pPr>
              <w:ind w:left="720"/>
              <w:rPr>
                <w:szCs w:val="22"/>
              </w:rPr>
            </w:pPr>
            <w:r w:rsidRPr="00E87C98">
              <w:rPr>
                <w:szCs w:val="22"/>
              </w:rPr>
              <w:t xml:space="preserve">as a standard component of a vendor’s Internet access service </w:t>
            </w:r>
          </w:p>
          <w:p w:rsidR="0061038B" w:rsidRPr="00E87C98" w:rsidP="0061038B" w14:paraId="247FE3F2" w14:textId="77777777">
            <w:pPr>
              <w:widowControl/>
              <w:numPr>
                <w:ilvl w:val="0"/>
                <w:numId w:val="12"/>
              </w:numPr>
              <w:ind w:hanging="360"/>
              <w:rPr>
                <w:szCs w:val="22"/>
              </w:rPr>
            </w:pPr>
            <w:r w:rsidRPr="00E87C98">
              <w:rPr>
                <w:szCs w:val="22"/>
              </w:rPr>
              <w:t xml:space="preserve">Racks </w:t>
            </w:r>
          </w:p>
          <w:p w:rsidR="0061038B" w:rsidRPr="00E87C98" w:rsidP="0061038B" w14:paraId="59588E15" w14:textId="77777777">
            <w:pPr>
              <w:widowControl/>
              <w:numPr>
                <w:ilvl w:val="0"/>
                <w:numId w:val="12"/>
              </w:numPr>
              <w:ind w:hanging="360"/>
              <w:rPr>
                <w:szCs w:val="22"/>
              </w:rPr>
            </w:pPr>
            <w:r w:rsidRPr="00E87C98">
              <w:rPr>
                <w:szCs w:val="22"/>
              </w:rPr>
              <w:t xml:space="preserve">Routers </w:t>
            </w:r>
          </w:p>
          <w:p w:rsidR="0061038B" w:rsidRPr="00E87C98" w:rsidP="0061038B" w14:paraId="354FAD4C" w14:textId="77777777">
            <w:pPr>
              <w:widowControl/>
              <w:numPr>
                <w:ilvl w:val="0"/>
                <w:numId w:val="12"/>
              </w:numPr>
              <w:ind w:hanging="360"/>
              <w:rPr>
                <w:szCs w:val="22"/>
              </w:rPr>
            </w:pPr>
            <w:r w:rsidRPr="00E87C98">
              <w:rPr>
                <w:szCs w:val="22"/>
              </w:rPr>
              <w:t xml:space="preserve">Switches </w:t>
            </w:r>
          </w:p>
          <w:p w:rsidR="0061038B" w:rsidRPr="00E87C98" w:rsidP="0061038B" w14:paraId="4CB80524" w14:textId="77777777">
            <w:pPr>
              <w:widowControl/>
              <w:numPr>
                <w:ilvl w:val="0"/>
                <w:numId w:val="12"/>
              </w:numPr>
              <w:ind w:hanging="360"/>
              <w:rPr>
                <w:szCs w:val="22"/>
              </w:rPr>
            </w:pPr>
            <w:r w:rsidRPr="00E87C98">
              <w:rPr>
                <w:szCs w:val="22"/>
              </w:rPr>
              <w:t xml:space="preserve">Uninterruptible Power Supply (UPS)/Battery Backup </w:t>
            </w:r>
          </w:p>
          <w:p w:rsidR="0061038B" w:rsidRPr="00E87C98" w:rsidP="0061038B" w14:paraId="4AAA0953" w14:textId="77777777">
            <w:pPr>
              <w:widowControl/>
              <w:numPr>
                <w:ilvl w:val="0"/>
                <w:numId w:val="12"/>
              </w:numPr>
              <w:ind w:hanging="360"/>
              <w:rPr>
                <w:szCs w:val="22"/>
              </w:rPr>
            </w:pPr>
            <w:r w:rsidRPr="00E87C98">
              <w:rPr>
                <w:szCs w:val="22"/>
              </w:rPr>
              <w:t xml:space="preserve">Access points used in a local area network (LAN) or wireless local area network (WLAN) environment (such as wireless access points) </w:t>
            </w:r>
          </w:p>
          <w:p w:rsidR="0061038B" w:rsidRPr="00E87C98" w:rsidP="0061038B" w14:paraId="7834876C" w14:textId="77777777">
            <w:pPr>
              <w:widowControl/>
              <w:numPr>
                <w:ilvl w:val="0"/>
                <w:numId w:val="12"/>
              </w:numPr>
              <w:ind w:hanging="360"/>
              <w:rPr>
                <w:szCs w:val="22"/>
              </w:rPr>
            </w:pPr>
            <w:r w:rsidRPr="00E87C98">
              <w:rPr>
                <w:szCs w:val="22"/>
              </w:rPr>
              <w:t xml:space="preserve">Wireless controller systems </w:t>
            </w:r>
          </w:p>
          <w:p w:rsidR="0061038B" w:rsidRPr="00E87C98" w:rsidP="0061038B" w14:paraId="123C2503" w14:textId="77777777">
            <w:pPr>
              <w:widowControl/>
              <w:numPr>
                <w:ilvl w:val="0"/>
                <w:numId w:val="12"/>
              </w:numPr>
              <w:ind w:hanging="360"/>
              <w:rPr>
                <w:szCs w:val="22"/>
              </w:rPr>
            </w:pPr>
            <w:r w:rsidRPr="00E87C98">
              <w:rPr>
                <w:szCs w:val="22"/>
              </w:rPr>
              <w:t xml:space="preserve">Software supporting the components on this list used to distribute high-speed broadband throughout school buildings and libraries (applicants should request software in the same category as the associated service being obtained or installed). </w:t>
            </w:r>
          </w:p>
          <w:p w:rsidR="0061038B" w:rsidRPr="00E87C98" w:rsidP="00EC63DC" w14:paraId="2864916C" w14:textId="77777777">
            <w:pPr>
              <w:widowControl/>
              <w:spacing w:line="259" w:lineRule="auto"/>
              <w:ind w:left="360"/>
              <w:rPr>
                <w:szCs w:val="22"/>
              </w:rPr>
            </w:pPr>
          </w:p>
          <w:p w:rsidR="0061038B" w:rsidRPr="00E87C98" w:rsidP="00EC63DC" w14:paraId="352BB1F4" w14:textId="77777777">
            <w:pPr>
              <w:spacing w:after="120"/>
              <w:rPr>
                <w:szCs w:val="22"/>
              </w:rPr>
            </w:pPr>
            <w:r w:rsidRPr="00E87C98">
              <w:rPr>
                <w:i/>
                <w:szCs w:val="22"/>
              </w:rPr>
              <w:t>Notes</w:t>
            </w:r>
            <w:r w:rsidRPr="00E87C98">
              <w:rPr>
                <w:szCs w:val="22"/>
              </w:rPr>
              <w:t xml:space="preserve">:  (1) Functionalities listed above that can be virtualized in the cloud, and equipment that combines eligible functionalities, like routing and switching, are also eligible. </w:t>
            </w:r>
          </w:p>
          <w:p w:rsidR="0061038B" w:rsidRPr="00E87C98" w:rsidP="0061038B" w14:paraId="6856AFAF" w14:textId="77777777">
            <w:pPr>
              <w:widowControl/>
              <w:numPr>
                <w:ilvl w:val="0"/>
                <w:numId w:val="13"/>
              </w:numPr>
              <w:spacing w:after="120"/>
              <w:rPr>
                <w:szCs w:val="22"/>
              </w:rPr>
            </w:pPr>
            <w:r w:rsidRPr="00E87C98">
              <w:rPr>
                <w:szCs w:val="22"/>
              </w:rPr>
              <w:t xml:space="preserve">A manufacturer’s multi-year warranty for a period up to three years that is provided as an integral part of an eligible component, without a separately identifiable cost, may be included in the cost of the component. </w:t>
            </w:r>
          </w:p>
          <w:p w:rsidR="0061038B" w:rsidRPr="00E87C98" w:rsidP="0061038B" w14:paraId="609EC8CE" w14:textId="77777777">
            <w:pPr>
              <w:widowControl/>
              <w:numPr>
                <w:ilvl w:val="0"/>
                <w:numId w:val="13"/>
              </w:numPr>
              <w:spacing w:after="120"/>
              <w:rPr>
                <w:szCs w:val="22"/>
              </w:rPr>
            </w:pPr>
            <w:r w:rsidRPr="00E87C98">
              <w:rPr>
                <w:szCs w:val="22"/>
              </w:rPr>
              <w:t xml:space="preserve">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  </w:t>
            </w:r>
          </w:p>
          <w:p w:rsidR="0061038B" w:rsidRPr="00E87C98" w:rsidP="0061038B" w14:paraId="468A66D2" w14:textId="77777777">
            <w:pPr>
              <w:widowControl/>
              <w:numPr>
                <w:ilvl w:val="0"/>
                <w:numId w:val="13"/>
              </w:numPr>
              <w:spacing w:after="120"/>
              <w:rPr>
                <w:szCs w:val="22"/>
              </w:rPr>
            </w:pPr>
            <w:r w:rsidRPr="00E87C98">
              <w:rPr>
                <w:szCs w:val="22"/>
              </w:rPr>
              <w:t xml:space="preserve">Applicants may request </w:t>
            </w:r>
            <w:bookmarkStart w:id="2" w:name="_Hlk77604705"/>
            <w:r w:rsidRPr="00E87C98">
              <w:rPr>
                <w:szCs w:val="22"/>
              </w:rPr>
              <w:t xml:space="preserve">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  </w:t>
            </w:r>
            <w:bookmarkEnd w:id="2"/>
            <w:r w:rsidRPr="00E87C98">
              <w:rPr>
                <w:szCs w:val="22"/>
              </w:rPr>
              <w:t>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tc>
      </w:tr>
      <w:tr w14:paraId="6DA4E24A" w14:textId="77777777" w:rsidTr="00EC63DC">
        <w:tblPrEx>
          <w:tblW w:w="9177" w:type="dxa"/>
          <w:tblInd w:w="91" w:type="dxa"/>
          <w:tblCellMar>
            <w:top w:w="14" w:type="dxa"/>
            <w:left w:w="110" w:type="dxa"/>
            <w:right w:w="115" w:type="dxa"/>
          </w:tblCellMar>
          <w:tblLook w:val="04A0"/>
        </w:tblPrEx>
        <w:trPr>
          <w:trHeight w:val="370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2B70F79C" w14:textId="77777777">
            <w:pPr>
              <w:spacing w:after="117" w:line="259" w:lineRule="auto"/>
              <w:ind w:left="9"/>
              <w:jc w:val="center"/>
              <w:rPr>
                <w:szCs w:val="22"/>
              </w:rPr>
            </w:pPr>
            <w:r w:rsidRPr="00E87C98">
              <w:rPr>
                <w:b/>
                <w:szCs w:val="22"/>
              </w:rPr>
              <w:t xml:space="preserve">Eligible Managed Internal Broadband Services </w:t>
            </w:r>
          </w:p>
          <w:p w:rsidR="0061038B" w:rsidRPr="00E87C98" w:rsidP="0061038B" w14:paraId="27D7D332" w14:textId="77777777">
            <w:pPr>
              <w:widowControl/>
              <w:numPr>
                <w:ilvl w:val="0"/>
                <w:numId w:val="14"/>
              </w:numPr>
              <w:ind w:hanging="360"/>
              <w:rPr>
                <w:szCs w:val="22"/>
              </w:rPr>
            </w:pPr>
            <w:r w:rsidRPr="00E87C98">
              <w:rPr>
                <w:szCs w:val="22"/>
              </w:rPr>
              <w:t xml:space="preserve">Services provided by a third-party for the operation, management, and monitoring of eligible broadband internal connections are eligible managed internal broadband services (e.g., managed Wi-Fi). </w:t>
            </w:r>
          </w:p>
          <w:p w:rsidR="0061038B" w:rsidRPr="00E87C98" w:rsidP="0061038B" w14:paraId="1DCDEF7F" w14:textId="77777777">
            <w:pPr>
              <w:widowControl/>
              <w:numPr>
                <w:ilvl w:val="0"/>
                <w:numId w:val="14"/>
              </w:numPr>
              <w:ind w:hanging="360"/>
              <w:rPr>
                <w:szCs w:val="22"/>
              </w:rPr>
            </w:pPr>
            <w:r w:rsidRPr="00E87C98">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61038B" w:rsidRPr="00E87C98" w:rsidP="0061038B" w14:paraId="006995CF" w14:textId="77777777">
            <w:pPr>
              <w:widowControl/>
              <w:numPr>
                <w:ilvl w:val="0"/>
                <w:numId w:val="14"/>
              </w:numPr>
              <w:ind w:hanging="360"/>
              <w:rPr>
                <w:szCs w:val="22"/>
              </w:rPr>
            </w:pPr>
            <w:r w:rsidRPr="00E87C98">
              <w:rPr>
                <w:szCs w:val="22"/>
              </w:rPr>
              <w:t xml:space="preserve">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 </w:t>
            </w:r>
          </w:p>
        </w:tc>
      </w:tr>
      <w:tr w14:paraId="6C988EFA" w14:textId="77777777" w:rsidTr="00EC63DC">
        <w:tblPrEx>
          <w:tblW w:w="9177" w:type="dxa"/>
          <w:tblInd w:w="91" w:type="dxa"/>
          <w:tblCellMar>
            <w:top w:w="14" w:type="dxa"/>
            <w:left w:w="110" w:type="dxa"/>
            <w:right w:w="115" w:type="dxa"/>
          </w:tblCellMar>
          <w:tblLook w:val="04A0"/>
        </w:tblPrEx>
        <w:trPr>
          <w:trHeight w:val="3132"/>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698A24A5" w14:textId="77777777">
            <w:pPr>
              <w:spacing w:after="96" w:line="259" w:lineRule="auto"/>
              <w:ind w:left="8"/>
              <w:jc w:val="center"/>
              <w:rPr>
                <w:szCs w:val="22"/>
              </w:rPr>
            </w:pPr>
            <w:r w:rsidRPr="00E87C98">
              <w:rPr>
                <w:b/>
                <w:szCs w:val="22"/>
              </w:rPr>
              <w:t>Basic Maintenance of Eligible Broadband Internal Connections</w:t>
            </w:r>
            <w:r w:rsidRPr="00E87C98">
              <w:rPr>
                <w:szCs w:val="22"/>
              </w:rPr>
              <w:t xml:space="preserve"> </w:t>
            </w:r>
          </w:p>
          <w:p w:rsidR="0061038B" w:rsidRPr="00E87C98" w:rsidP="00EC63DC" w14:paraId="73ACCE97" w14:textId="77777777">
            <w:pPr>
              <w:spacing w:after="120"/>
              <w:rPr>
                <w:szCs w:val="22"/>
              </w:rPr>
            </w:pPr>
            <w:r w:rsidRPr="00E87C98">
              <w:rPr>
                <w:szCs w:val="22"/>
              </w:rPr>
              <w:t xml:space="preserve">E-Rate support is available for basic maintenance and technical support appropriate to maintain reliable operation when provided for eligible broadband internal connections. </w:t>
            </w:r>
          </w:p>
          <w:p w:rsidR="0061038B" w:rsidRPr="00E87C98" w:rsidP="00EC63DC" w14:paraId="477E7256" w14:textId="77777777">
            <w:pPr>
              <w:rPr>
                <w:szCs w:val="22"/>
              </w:rPr>
            </w:pPr>
            <w:r w:rsidRPr="00E87C98">
              <w:rPr>
                <w:szCs w:val="22"/>
              </w:rPr>
              <w:t xml:space="preserve">The following basic maintenance services are eligible: </w:t>
            </w:r>
          </w:p>
          <w:p w:rsidR="0061038B" w:rsidRPr="00E87C98" w:rsidP="0061038B" w14:paraId="58F53444" w14:textId="77777777">
            <w:pPr>
              <w:widowControl/>
              <w:numPr>
                <w:ilvl w:val="0"/>
                <w:numId w:val="15"/>
              </w:numPr>
              <w:ind w:hanging="360"/>
              <w:rPr>
                <w:szCs w:val="22"/>
              </w:rPr>
            </w:pPr>
            <w:r w:rsidRPr="00E87C98">
              <w:rPr>
                <w:szCs w:val="22"/>
              </w:rPr>
              <w:t xml:space="preserve">Repair and upkeep of eligible hardware </w:t>
            </w:r>
          </w:p>
          <w:p w:rsidR="0061038B" w:rsidRPr="00E87C98" w:rsidP="0061038B" w14:paraId="51E30B8A" w14:textId="77777777">
            <w:pPr>
              <w:widowControl/>
              <w:numPr>
                <w:ilvl w:val="0"/>
                <w:numId w:val="15"/>
              </w:numPr>
              <w:ind w:hanging="360"/>
              <w:rPr>
                <w:szCs w:val="22"/>
              </w:rPr>
            </w:pPr>
            <w:r w:rsidRPr="00E87C98">
              <w:rPr>
                <w:szCs w:val="22"/>
              </w:rPr>
              <w:t xml:space="preserve">Wire and cable maintenance </w:t>
            </w:r>
          </w:p>
          <w:p w:rsidR="0061038B" w:rsidRPr="00E87C98" w:rsidP="0061038B" w14:paraId="0E3E8A1F" w14:textId="77777777">
            <w:pPr>
              <w:widowControl/>
              <w:numPr>
                <w:ilvl w:val="0"/>
                <w:numId w:val="15"/>
              </w:numPr>
              <w:ind w:hanging="360"/>
              <w:rPr>
                <w:szCs w:val="22"/>
              </w:rPr>
            </w:pPr>
            <w:r w:rsidRPr="00E87C98">
              <w:rPr>
                <w:szCs w:val="22"/>
              </w:rPr>
              <w:t xml:space="preserve">Configuration changes </w:t>
            </w:r>
          </w:p>
          <w:p w:rsidR="0061038B" w:rsidRPr="00E87C98" w:rsidP="0061038B" w14:paraId="10458AB3" w14:textId="77777777">
            <w:pPr>
              <w:widowControl/>
              <w:numPr>
                <w:ilvl w:val="0"/>
                <w:numId w:val="15"/>
              </w:numPr>
              <w:ind w:hanging="360"/>
              <w:rPr>
                <w:szCs w:val="22"/>
              </w:rPr>
            </w:pPr>
            <w:r w:rsidRPr="00E87C98">
              <w:rPr>
                <w:szCs w:val="22"/>
              </w:rPr>
              <w:t xml:space="preserve">Basic technical support including online and telephone-based technical support </w:t>
            </w:r>
          </w:p>
          <w:p w:rsidR="0061038B" w:rsidRPr="00E87C98" w:rsidP="0061038B" w14:paraId="56E6BAC9" w14:textId="77777777">
            <w:pPr>
              <w:widowControl/>
              <w:numPr>
                <w:ilvl w:val="0"/>
                <w:numId w:val="15"/>
              </w:numPr>
              <w:ind w:hanging="360"/>
              <w:rPr>
                <w:szCs w:val="22"/>
              </w:rPr>
            </w:pPr>
            <w:r w:rsidRPr="00E87C98">
              <w:rPr>
                <w:szCs w:val="22"/>
              </w:rPr>
              <w:t>Software upgrades and patches including bug fixes and security patches</w:t>
            </w:r>
            <w:r w:rsidRPr="00E87C98">
              <w:rPr>
                <w:b/>
                <w:szCs w:val="22"/>
              </w:rPr>
              <w:t xml:space="preserve"> </w:t>
            </w:r>
          </w:p>
        </w:tc>
      </w:tr>
    </w:tbl>
    <w:p w:rsidR="0061038B" w:rsidRPr="0023411B" w:rsidP="00025077" w14:paraId="4F62BFAB" w14:textId="3DF00082">
      <w:pPr>
        <w:spacing w:after="120"/>
        <w:rPr>
          <w:b/>
          <w:bCs/>
        </w:rPr>
      </w:pPr>
      <w:r>
        <w:br w:type="page"/>
      </w:r>
      <w:r w:rsidRPr="0023411B">
        <w:rPr>
          <w:b/>
          <w:bCs/>
        </w:rPr>
        <w:t xml:space="preserve">Eligibility Limitations for Category Two Services </w:t>
      </w:r>
    </w:p>
    <w:tbl>
      <w:tblPr>
        <w:tblW w:w="9182" w:type="dxa"/>
        <w:tblInd w:w="91" w:type="dxa"/>
        <w:tblCellMar>
          <w:top w:w="133" w:type="dxa"/>
          <w:left w:w="106" w:type="dxa"/>
          <w:right w:w="79" w:type="dxa"/>
        </w:tblCellMar>
        <w:tblLook w:val="04A0"/>
      </w:tblPr>
      <w:tblGrid>
        <w:gridCol w:w="9182"/>
      </w:tblGrid>
      <w:tr w14:paraId="6D10DF7D" w14:textId="77777777" w:rsidTr="00EC63DC">
        <w:tblPrEx>
          <w:tblW w:w="9182" w:type="dxa"/>
          <w:tblInd w:w="91" w:type="dxa"/>
          <w:tblCellMar>
            <w:top w:w="133" w:type="dxa"/>
            <w:left w:w="106" w:type="dxa"/>
            <w:right w:w="79" w:type="dxa"/>
          </w:tblCellMar>
          <w:tblLook w:val="04A0"/>
        </w:tblPrEx>
        <w:trPr>
          <w:trHeight w:val="1889"/>
        </w:trPr>
        <w:tc>
          <w:tcPr>
            <w:tcW w:w="9182"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1A5FECEC" w14:textId="77777777">
            <w:pPr>
              <w:rPr>
                <w:szCs w:val="22"/>
              </w:rPr>
            </w:pPr>
            <w:r w:rsidRPr="00E87C98">
              <w:rPr>
                <w:b/>
                <w:szCs w:val="22"/>
              </w:rPr>
              <w:t>Eligibility limitations for managed internal broadband services</w:t>
            </w:r>
            <w:r w:rsidRPr="00E87C98">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E87C98">
              <w:rPr>
                <w:i/>
                <w:szCs w:val="22"/>
              </w:rPr>
              <w:t>,</w:t>
            </w:r>
            <w:r w:rsidRPr="00E87C98">
              <w:rPr>
                <w:szCs w:val="22"/>
              </w:rPr>
              <w:t xml:space="preserve"> servers other than those that are necessary to provide caching), which, if included in the contract, must be cost allocated out of any funding request. </w:t>
            </w:r>
          </w:p>
        </w:tc>
      </w:tr>
      <w:tr w14:paraId="6CA095A1" w14:textId="77777777" w:rsidTr="00EC63DC">
        <w:tblPrEx>
          <w:tblW w:w="9182" w:type="dxa"/>
          <w:tblInd w:w="91" w:type="dxa"/>
          <w:tblCellMar>
            <w:top w:w="133" w:type="dxa"/>
            <w:left w:w="106" w:type="dxa"/>
            <w:right w:w="79" w:type="dxa"/>
          </w:tblCellMar>
          <w:tblLook w:val="04A0"/>
        </w:tblPrEx>
        <w:trPr>
          <w:trHeight w:val="4633"/>
        </w:trPr>
        <w:tc>
          <w:tcPr>
            <w:tcW w:w="9182"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3B5AC2BC" w14:textId="77777777">
            <w:pPr>
              <w:spacing w:after="118" w:line="238" w:lineRule="auto"/>
              <w:rPr>
                <w:szCs w:val="22"/>
              </w:rPr>
            </w:pPr>
            <w:r w:rsidRPr="00E87C98">
              <w:rPr>
                <w:b/>
                <w:szCs w:val="22"/>
              </w:rPr>
              <w:t>Eligibility limitations for basic maintenance</w:t>
            </w:r>
            <w:r w:rsidRPr="00E87C98">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w:t>
            </w:r>
          </w:p>
          <w:p w:rsidR="0061038B" w:rsidRPr="00E87C98" w:rsidP="00EC63DC" w14:paraId="23ED77BF" w14:textId="77777777">
            <w:pPr>
              <w:rPr>
                <w:szCs w:val="22"/>
              </w:rPr>
            </w:pPr>
            <w:r w:rsidRPr="00E87C98">
              <w:rPr>
                <w:szCs w:val="22"/>
              </w:rPr>
              <w:t xml:space="preserve">Basic maintenance does not include: </w:t>
            </w:r>
          </w:p>
          <w:p w:rsidR="0061038B" w:rsidRPr="00E87C98" w:rsidP="0061038B" w14:paraId="68179EDE" w14:textId="77777777">
            <w:pPr>
              <w:widowControl/>
              <w:numPr>
                <w:ilvl w:val="0"/>
                <w:numId w:val="16"/>
              </w:numPr>
              <w:ind w:hanging="360"/>
              <w:rPr>
                <w:szCs w:val="22"/>
              </w:rPr>
            </w:pPr>
            <w:r w:rsidRPr="00E87C98">
              <w:rPr>
                <w:szCs w:val="22"/>
              </w:rPr>
              <w:t xml:space="preserve">Services that maintain ineligible equipment </w:t>
            </w:r>
          </w:p>
          <w:p w:rsidR="0061038B" w:rsidRPr="00E87C98" w:rsidP="0061038B" w14:paraId="6D36AB99" w14:textId="77777777">
            <w:pPr>
              <w:widowControl/>
              <w:numPr>
                <w:ilvl w:val="0"/>
                <w:numId w:val="16"/>
              </w:numPr>
              <w:ind w:hanging="360"/>
              <w:rPr>
                <w:szCs w:val="22"/>
              </w:rPr>
            </w:pPr>
            <w:r w:rsidRPr="00E87C98">
              <w:rPr>
                <w:szCs w:val="22"/>
              </w:rPr>
              <w:t xml:space="preserve">Upfront estimates that cover the full cost of every piece of eligible equipment </w:t>
            </w:r>
          </w:p>
          <w:p w:rsidR="0061038B" w:rsidRPr="00E87C98" w:rsidP="0061038B" w14:paraId="6561FD92" w14:textId="77777777">
            <w:pPr>
              <w:widowControl/>
              <w:numPr>
                <w:ilvl w:val="0"/>
                <w:numId w:val="16"/>
              </w:numPr>
              <w:ind w:hanging="360"/>
              <w:rPr>
                <w:szCs w:val="22"/>
              </w:rPr>
            </w:pPr>
            <w:r w:rsidRPr="00E87C98">
              <w:rPr>
                <w:szCs w:val="22"/>
              </w:rPr>
              <w:t xml:space="preserve">Services that enhance the utility of equipment beyond the transport of information, or diagnostic services in excess of those necessary to maintain the equipment’s ability to transport information </w:t>
            </w:r>
          </w:p>
          <w:p w:rsidR="0061038B" w:rsidRPr="00E87C98" w:rsidP="0061038B" w14:paraId="7B49C6F1" w14:textId="77777777">
            <w:pPr>
              <w:widowControl/>
              <w:numPr>
                <w:ilvl w:val="0"/>
                <w:numId w:val="16"/>
              </w:numPr>
              <w:ind w:hanging="360"/>
              <w:rPr>
                <w:szCs w:val="22"/>
              </w:rPr>
            </w:pPr>
            <w:r w:rsidRPr="00E87C98">
              <w:rPr>
                <w:szCs w:val="22"/>
              </w:rPr>
              <w:t xml:space="preserve">Network management services, including 24-hour network monitoring </w:t>
            </w:r>
          </w:p>
          <w:p w:rsidR="0061038B" w:rsidRPr="00E87C98" w:rsidP="0061038B" w14:paraId="586203E2" w14:textId="77777777">
            <w:pPr>
              <w:widowControl/>
              <w:numPr>
                <w:ilvl w:val="0"/>
                <w:numId w:val="16"/>
              </w:numPr>
              <w:ind w:hanging="360"/>
              <w:rPr>
                <w:szCs w:val="22"/>
              </w:rPr>
            </w:pPr>
            <w:r w:rsidRPr="00E87C98">
              <w:rPr>
                <w:szCs w:val="22"/>
              </w:rPr>
              <w:t xml:space="preserve">On-site technical support (i.e., contractor duty station at the applicant site), unless applicants present sufficient evidence of cost-effectiveness </w:t>
            </w:r>
          </w:p>
          <w:p w:rsidR="0061038B" w:rsidRPr="00E87C98" w:rsidP="0061038B" w14:paraId="433BEA84" w14:textId="77777777">
            <w:pPr>
              <w:widowControl/>
              <w:numPr>
                <w:ilvl w:val="0"/>
                <w:numId w:val="16"/>
              </w:numPr>
              <w:ind w:hanging="360"/>
              <w:rPr>
                <w:szCs w:val="22"/>
              </w:rPr>
            </w:pPr>
            <w:r w:rsidRPr="00E87C98">
              <w:rPr>
                <w:szCs w:val="22"/>
              </w:rPr>
              <w:t>Unbundled warranties</w:t>
            </w:r>
            <w:r w:rsidRPr="00E87C98">
              <w:rPr>
                <w:b/>
                <w:szCs w:val="22"/>
              </w:rPr>
              <w:t xml:space="preserve"> </w:t>
            </w:r>
          </w:p>
        </w:tc>
      </w:tr>
    </w:tbl>
    <w:p w:rsidR="0061038B" w:rsidRPr="0023411B" w:rsidP="0023411B" w14:paraId="7A5AD8FF" w14:textId="4EB1AB16">
      <w:pPr>
        <w:spacing w:after="120"/>
        <w:rPr>
          <w:b/>
          <w:bCs/>
        </w:rPr>
      </w:pPr>
      <w:r>
        <w:rPr>
          <w:b/>
          <w:bCs/>
        </w:rPr>
        <w:br w:type="page"/>
      </w:r>
      <w:r w:rsidRPr="0023411B">
        <w:rPr>
          <w:b/>
          <w:bCs/>
        </w:rPr>
        <w:t xml:space="preserve">Eligibility Explanations for Certain Category One and Category Two Services </w:t>
      </w:r>
    </w:p>
    <w:tbl>
      <w:tblPr>
        <w:tblW w:w="9249" w:type="dxa"/>
        <w:tblInd w:w="113" w:type="dxa"/>
        <w:tblCellMar>
          <w:top w:w="133" w:type="dxa"/>
          <w:bottom w:w="8" w:type="dxa"/>
          <w:right w:w="58" w:type="dxa"/>
        </w:tblCellMar>
        <w:tblLook w:val="04A0"/>
      </w:tblPr>
      <w:tblGrid>
        <w:gridCol w:w="9249"/>
      </w:tblGrid>
      <w:tr w14:paraId="552396D3" w14:textId="77777777" w:rsidTr="0061038B">
        <w:tblPrEx>
          <w:tblW w:w="9249" w:type="dxa"/>
          <w:tblInd w:w="113" w:type="dxa"/>
          <w:tblCellMar>
            <w:top w:w="133" w:type="dxa"/>
            <w:bottom w:w="8" w:type="dxa"/>
            <w:right w:w="58" w:type="dxa"/>
          </w:tblCellMar>
          <w:tblLook w:val="04A0"/>
        </w:tblPrEx>
        <w:trPr>
          <w:trHeight w:val="1130"/>
        </w:trPr>
        <w:tc>
          <w:tcPr>
            <w:tcW w:w="9249"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0A43B01E" w14:textId="77777777">
            <w:pPr>
              <w:widowControl/>
              <w:spacing w:after="120"/>
              <w:rPr>
                <w:snapToGrid/>
                <w:kern w:val="0"/>
                <w:sz w:val="24"/>
                <w:szCs w:val="24"/>
              </w:rPr>
            </w:pPr>
            <w:r w:rsidRPr="00E87C98">
              <w:rPr>
                <w:b/>
                <w:szCs w:val="22"/>
              </w:rPr>
              <w:t>National Security Supply Chain Restrictions</w:t>
            </w:r>
            <w:r w:rsidRPr="00E87C98">
              <w:rPr>
                <w:szCs w:val="22"/>
              </w:rPr>
              <w:t>:  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w:t>
            </w:r>
            <w:r w:rsidRPr="00E87C98">
              <w:rPr>
                <w:sz w:val="24"/>
                <w:szCs w:val="24"/>
              </w:rPr>
              <w:t xml:space="preserve"> </w:t>
            </w:r>
          </w:p>
          <w:p w:rsidR="0061038B" w:rsidRPr="00E87C98" w:rsidP="00EC63DC" w14:paraId="61C81D94" w14:textId="77777777">
            <w:pPr>
              <w:spacing w:line="259" w:lineRule="auto"/>
              <w:rPr>
                <w:szCs w:val="22"/>
              </w:rPr>
            </w:pPr>
          </w:p>
        </w:tc>
      </w:tr>
      <w:tr w14:paraId="1BFCDA80" w14:textId="77777777" w:rsidTr="0061038B">
        <w:tblPrEx>
          <w:tblW w:w="9249" w:type="dxa"/>
          <w:tblInd w:w="113" w:type="dxa"/>
          <w:tblCellMar>
            <w:top w:w="133" w:type="dxa"/>
            <w:bottom w:w="8" w:type="dxa"/>
            <w:right w:w="58" w:type="dxa"/>
          </w:tblCellMar>
          <w:tblLook w:val="04A0"/>
        </w:tblPrEx>
        <w:trPr>
          <w:trHeight w:val="2141"/>
        </w:trPr>
        <w:tc>
          <w:tcPr>
            <w:tcW w:w="9249"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515DF13F" w14:textId="77777777">
            <w:pPr>
              <w:rPr>
                <w:szCs w:val="22"/>
              </w:rPr>
            </w:pPr>
            <w:r w:rsidRPr="00E87C98">
              <w:rPr>
                <w:b/>
                <w:szCs w:val="22"/>
              </w:rPr>
              <w:t>Internet access/ISP service</w:t>
            </w:r>
            <w:r w:rsidRPr="00E87C98">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E87C98">
              <w:rPr>
                <w:color w:val="010101"/>
                <w:szCs w:val="22"/>
              </w:rPr>
              <w:t xml:space="preserve">Firewall protection that is provided by a vendor other than the Internet access service provider or priced out separately will be considered a Category Two internal connections component.  </w:t>
            </w:r>
            <w:r w:rsidRPr="00E87C98">
              <w:rPr>
                <w:szCs w:val="22"/>
              </w:rPr>
              <w:t>Examples of items that are ineligible components of Internet access services include applications, content, e-mail, and end-user devices and equipment</w:t>
            </w:r>
            <w:r>
              <w:rPr>
                <w:szCs w:val="22"/>
              </w:rPr>
              <w:t>,</w:t>
            </w:r>
            <w:r w:rsidRPr="00E87C98">
              <w:rPr>
                <w:szCs w:val="22"/>
              </w:rPr>
              <w:t xml:space="preserve"> such as computers, laptops, and tablets. </w:t>
            </w:r>
          </w:p>
        </w:tc>
      </w:tr>
      <w:tr w14:paraId="6E0B6433" w14:textId="77777777" w:rsidTr="0061038B">
        <w:tblPrEx>
          <w:tblW w:w="9249" w:type="dxa"/>
          <w:tblInd w:w="113" w:type="dxa"/>
          <w:tblCellMar>
            <w:top w:w="133" w:type="dxa"/>
            <w:bottom w:w="8" w:type="dxa"/>
            <w:right w:w="58" w:type="dxa"/>
          </w:tblCellMar>
          <w:tblLook w:val="04A0"/>
        </w:tblPrEx>
        <w:trPr>
          <w:trHeight w:val="3898"/>
        </w:trPr>
        <w:tc>
          <w:tcPr>
            <w:tcW w:w="9249"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4E572775" w14:textId="77777777">
            <w:pPr>
              <w:spacing w:after="115" w:line="242" w:lineRule="auto"/>
              <w:ind w:right="28"/>
              <w:rPr>
                <w:szCs w:val="22"/>
              </w:rPr>
            </w:pPr>
            <w:r w:rsidRPr="00E87C98">
              <w:rPr>
                <w:b/>
                <w:szCs w:val="22"/>
              </w:rPr>
              <w:t>Wireless services</w:t>
            </w:r>
            <w:r w:rsidRPr="00E87C98">
              <w:rPr>
                <w:szCs w:val="22"/>
              </w:rPr>
              <w:t xml:space="preserve"> </w:t>
            </w:r>
            <w:r w:rsidRPr="00E87C98">
              <w:rPr>
                <w:b/>
                <w:szCs w:val="22"/>
              </w:rPr>
              <w:t>and wireless Internet access</w:t>
            </w:r>
            <w:r w:rsidRPr="00E87C98">
              <w:rPr>
                <w:szCs w:val="22"/>
              </w:rPr>
              <w:t xml:space="preserve"> – As clarified in the </w:t>
            </w:r>
            <w:r w:rsidRPr="00E87C98">
              <w:rPr>
                <w:i/>
                <w:szCs w:val="22"/>
              </w:rPr>
              <w:t>2014 Second E-Rate Order</w:t>
            </w:r>
            <w:r w:rsidRPr="00E87C98">
              <w:rPr>
                <w:szCs w:val="22"/>
              </w:rPr>
              <w:t xml:space="preserve"> (FCC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 </w:t>
            </w:r>
          </w:p>
          <w:p w:rsidR="0061038B" w:rsidRPr="00E87C98" w:rsidP="00EC63DC" w14:paraId="00918DDF" w14:textId="77777777">
            <w:pPr>
              <w:spacing w:after="116" w:line="239" w:lineRule="auto"/>
              <w:rPr>
                <w:szCs w:val="22"/>
              </w:rPr>
            </w:pPr>
            <w:r>
              <w:t xml:space="preserve">Off-campus use, even if used for an educational purpose, is generally ineligible for support and must be cost-allocated out of any funding request. </w:t>
            </w:r>
          </w:p>
          <w:p w:rsidR="0061038B" w:rsidRPr="00E87C98" w:rsidP="00EC63DC" w14:paraId="6AFC59BC" w14:textId="77777777">
            <w:pPr>
              <w:spacing w:line="259" w:lineRule="auto"/>
              <w:rPr>
                <w:szCs w:val="22"/>
              </w:rPr>
            </w:pPr>
            <w:r w:rsidRPr="00E87C98">
              <w:rPr>
                <w:szCs w:val="22"/>
              </w:rPr>
              <w:t>Managed internal broadband services, such as managed Wi-Fi, are eligible only for Category Two support.</w:t>
            </w:r>
            <w:r w:rsidRPr="00E87C98">
              <w:rPr>
                <w:b/>
                <w:szCs w:val="22"/>
              </w:rPr>
              <w:t xml:space="preserve"> </w:t>
            </w:r>
          </w:p>
        </w:tc>
      </w:tr>
      <w:tr w14:paraId="21FA871E" w14:textId="77777777" w:rsidTr="0061038B">
        <w:tblPrEx>
          <w:tblW w:w="9249" w:type="dxa"/>
          <w:tblInd w:w="113" w:type="dxa"/>
          <w:tblCellMar>
            <w:top w:w="133" w:type="dxa"/>
            <w:bottom w:w="8" w:type="dxa"/>
            <w:right w:w="58" w:type="dxa"/>
          </w:tblCellMar>
          <w:tblLook w:val="04A0"/>
        </w:tblPrEx>
        <w:trPr>
          <w:trHeight w:val="3841"/>
        </w:trPr>
        <w:tc>
          <w:tcPr>
            <w:tcW w:w="9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38B" w:rsidRPr="00E87C98" w:rsidP="00EC63DC" w14:paraId="460FFB47" w14:textId="77777777">
            <w:pPr>
              <w:spacing w:after="132" w:line="242" w:lineRule="auto"/>
              <w:rPr>
                <w:szCs w:val="22"/>
              </w:rPr>
            </w:pPr>
            <w:r w:rsidRPr="00E87C98">
              <w:rPr>
                <w:b/>
                <w:szCs w:val="22"/>
              </w:rPr>
              <w:t>Connections between buildings of a single school</w:t>
            </w:r>
            <w:r w:rsidRPr="00E87C98">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 </w:t>
            </w:r>
          </w:p>
          <w:p w:rsidR="0061038B" w:rsidRPr="00E87C98" w:rsidP="0061038B" w14:paraId="6E27AB48" w14:textId="77777777">
            <w:pPr>
              <w:widowControl/>
              <w:numPr>
                <w:ilvl w:val="0"/>
                <w:numId w:val="17"/>
              </w:numPr>
              <w:ind w:hanging="360"/>
              <w:rPr>
                <w:szCs w:val="22"/>
              </w:rPr>
            </w:pPr>
            <w:r w:rsidRPr="00E87C98">
              <w:rPr>
                <w:szCs w:val="22"/>
              </w:rPr>
              <w:t xml:space="preserve">Connections between buildings on different campuses of a single school are considered to be Category One data transmission services. </w:t>
            </w:r>
          </w:p>
          <w:p w:rsidR="0061038B" w:rsidRPr="00E87C98" w:rsidP="0061038B" w14:paraId="02E2D6DB" w14:textId="77777777">
            <w:pPr>
              <w:widowControl/>
              <w:numPr>
                <w:ilvl w:val="0"/>
                <w:numId w:val="17"/>
              </w:numPr>
              <w:ind w:hanging="360"/>
              <w:rPr>
                <w:szCs w:val="22"/>
              </w:rPr>
            </w:pPr>
            <w:r w:rsidRPr="00E87C98">
              <w:rPr>
                <w:szCs w:val="22"/>
              </w:rPr>
              <w:t xml:space="preserve">Connections between different schools with campuses located on the same property (e.g., an elementary school and middle school located on the same property) are considered to be Category One data transmission services, unless they share the same building. </w:t>
            </w:r>
          </w:p>
          <w:p w:rsidR="0061038B" w:rsidRPr="00E87C98" w:rsidP="0061038B" w14:paraId="53594009" w14:textId="77777777">
            <w:pPr>
              <w:widowControl/>
              <w:numPr>
                <w:ilvl w:val="0"/>
                <w:numId w:val="17"/>
              </w:numPr>
              <w:spacing w:after="120"/>
              <w:ind w:hanging="360"/>
              <w:rPr>
                <w:szCs w:val="22"/>
              </w:rPr>
            </w:pPr>
            <w:r w:rsidRPr="00E87C98">
              <w:rPr>
                <w:szCs w:val="22"/>
              </w:rPr>
              <w:t>Connections between buildings of a single school on the same campus are considered to be Category Two internal connections.</w:t>
            </w:r>
            <w:r w:rsidRPr="00E87C98">
              <w:rPr>
                <w:b/>
                <w:szCs w:val="22"/>
              </w:rPr>
              <w:t xml:space="preserve"> </w:t>
            </w:r>
          </w:p>
        </w:tc>
      </w:tr>
      <w:tr w14:paraId="5F3B82F6" w14:textId="77777777" w:rsidTr="0061038B">
        <w:tblPrEx>
          <w:tblW w:w="9249" w:type="dxa"/>
          <w:tblInd w:w="113" w:type="dxa"/>
          <w:tblCellMar>
            <w:top w:w="133" w:type="dxa"/>
            <w:bottom w:w="8" w:type="dxa"/>
            <w:right w:w="58" w:type="dxa"/>
          </w:tblCellMar>
          <w:tblLook w:val="04A0"/>
        </w:tblPrEx>
        <w:trPr>
          <w:trHeight w:val="1634"/>
        </w:trPr>
        <w:tc>
          <w:tcPr>
            <w:tcW w:w="9249"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231E5F52" w14:textId="77777777">
            <w:pPr>
              <w:rPr>
                <w:szCs w:val="22"/>
              </w:rPr>
            </w:pPr>
            <w:r w:rsidRPr="00E87C98">
              <w:rPr>
                <w:b/>
                <w:szCs w:val="22"/>
              </w:rPr>
              <w:t>Network equipment with mixed eligibility</w:t>
            </w:r>
            <w:r w:rsidRPr="00E87C98">
              <w:rPr>
                <w:szCs w:val="22"/>
              </w:rPr>
              <w:t xml:space="preserve"> – On-premises equipment that connects to a Category Two-eligible LAN is eligible for Category One support if it is necessary to make a Category One broadband service functional.  If the price for components that enable the LAN can be isolated from the price of the components that enable the Category One service, those costs should be cost-allocated out of the Category One funding request. </w:t>
            </w:r>
          </w:p>
        </w:tc>
      </w:tr>
    </w:tbl>
    <w:p w:rsidR="0061038B" w:rsidRPr="00025077" w:rsidP="00025077" w14:paraId="11E15A55" w14:textId="073407AA">
      <w:pPr>
        <w:spacing w:after="120"/>
      </w:pPr>
      <w:r>
        <w:br w:type="page"/>
      </w:r>
      <w:r w:rsidRPr="00A51A42">
        <w:rPr>
          <w:b/>
          <w:bCs/>
        </w:rPr>
        <w:t xml:space="preserve">Miscellaneous </w:t>
      </w:r>
    </w:p>
    <w:p w:rsidR="0061038B" w:rsidP="0061038B" w14:paraId="0D53243B" w14:textId="084A520F">
      <w:pPr>
        <w:ind w:right="274"/>
        <w:rPr>
          <w:szCs w:val="22"/>
        </w:rPr>
      </w:pPr>
      <w:r w:rsidRPr="00E26AAC">
        <w:rPr>
          <w:szCs w:val="22"/>
        </w:rPr>
        <w:t xml:space="preserve">As described below, various miscellaneous services associated with Category One or Category Two are eligible for support.  Applicants should request eligible miscellaneous services in the same category as the associated service being obtained or installed. </w:t>
      </w:r>
    </w:p>
    <w:p w:rsidR="001D6718" w:rsidP="0061038B" w14:paraId="263AAE2A" w14:textId="77777777">
      <w:pPr>
        <w:ind w:right="274"/>
        <w:rPr>
          <w:szCs w:val="22"/>
        </w:rPr>
      </w:pPr>
    </w:p>
    <w:tbl>
      <w:tblPr>
        <w:tblW w:w="9177" w:type="dxa"/>
        <w:tblInd w:w="91" w:type="dxa"/>
        <w:tblCellMar>
          <w:top w:w="14" w:type="dxa"/>
          <w:left w:w="110" w:type="dxa"/>
          <w:right w:w="96" w:type="dxa"/>
        </w:tblCellMar>
        <w:tblLook w:val="04A0"/>
      </w:tblPr>
      <w:tblGrid>
        <w:gridCol w:w="9177"/>
      </w:tblGrid>
      <w:tr w14:paraId="1CCF0C70" w14:textId="77777777" w:rsidTr="00EC63DC">
        <w:tblPrEx>
          <w:tblW w:w="9177" w:type="dxa"/>
          <w:tblInd w:w="91" w:type="dxa"/>
          <w:tblCellMar>
            <w:top w:w="14" w:type="dxa"/>
            <w:left w:w="110" w:type="dxa"/>
            <w:right w:w="96" w:type="dxa"/>
          </w:tblCellMar>
          <w:tblLook w:val="04A0"/>
        </w:tblPrEx>
        <w:trPr>
          <w:trHeight w:val="4275"/>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5A3D0C97" w14:textId="77777777">
            <w:pPr>
              <w:spacing w:after="93" w:line="259" w:lineRule="auto"/>
              <w:ind w:right="9"/>
              <w:jc w:val="center"/>
              <w:rPr>
                <w:szCs w:val="22"/>
              </w:rPr>
            </w:pPr>
            <w:r w:rsidRPr="00E87C98">
              <w:rPr>
                <w:b/>
                <w:szCs w:val="22"/>
              </w:rPr>
              <w:t xml:space="preserve">Fees </w:t>
            </w:r>
          </w:p>
          <w:p w:rsidR="0061038B" w:rsidRPr="00E87C98" w:rsidP="00EC63DC" w14:paraId="7318D472" w14:textId="77777777">
            <w:pPr>
              <w:rPr>
                <w:szCs w:val="22"/>
              </w:rPr>
            </w:pPr>
            <w:r w:rsidRPr="00E87C98">
              <w:rPr>
                <w:szCs w:val="22"/>
              </w:rPr>
              <w:t xml:space="preserve">Fees and charges that are a necessary component of an eligible product or service are eligible, including: </w:t>
            </w:r>
          </w:p>
          <w:p w:rsidR="0061038B" w:rsidRPr="00E87C98" w:rsidP="0061038B" w14:paraId="1A9B0038" w14:textId="77777777">
            <w:pPr>
              <w:widowControl/>
              <w:numPr>
                <w:ilvl w:val="0"/>
                <w:numId w:val="18"/>
              </w:numPr>
              <w:ind w:hanging="360"/>
              <w:rPr>
                <w:szCs w:val="22"/>
              </w:rPr>
            </w:pPr>
            <w:r w:rsidRPr="00E87C98">
              <w:rPr>
                <w:szCs w:val="22"/>
              </w:rPr>
              <w:t xml:space="preserve">Change fees </w:t>
            </w:r>
          </w:p>
          <w:p w:rsidR="0061038B" w:rsidRPr="00E87C98" w:rsidP="0061038B" w14:paraId="47641FE9" w14:textId="77777777">
            <w:pPr>
              <w:widowControl/>
              <w:numPr>
                <w:ilvl w:val="0"/>
                <w:numId w:val="18"/>
              </w:numPr>
              <w:ind w:hanging="360"/>
              <w:rPr>
                <w:szCs w:val="22"/>
              </w:rPr>
            </w:pPr>
            <w:r w:rsidRPr="00E87C98">
              <w:rPr>
                <w:szCs w:val="22"/>
              </w:rPr>
              <w:t xml:space="preserve">Contingency fees are eligible if they are reasonable and a regular business practice of the service provider.  Contingency fees will be reimbursed only if the work is performed. </w:t>
            </w:r>
          </w:p>
          <w:p w:rsidR="0061038B" w:rsidRPr="00E87C98" w:rsidP="0061038B" w14:paraId="672916FE" w14:textId="77777777">
            <w:pPr>
              <w:widowControl/>
              <w:numPr>
                <w:ilvl w:val="0"/>
                <w:numId w:val="18"/>
              </w:numPr>
              <w:ind w:hanging="360"/>
              <w:rPr>
                <w:szCs w:val="22"/>
              </w:rPr>
            </w:pPr>
            <w:r w:rsidRPr="00E87C98">
              <w:rPr>
                <w:szCs w:val="22"/>
              </w:rPr>
              <w:t xml:space="preserve">Freight assurance fees </w:t>
            </w:r>
          </w:p>
          <w:p w:rsidR="0061038B" w:rsidRPr="00E87C98" w:rsidP="0061038B" w14:paraId="2E63F6F3" w14:textId="77777777">
            <w:pPr>
              <w:widowControl/>
              <w:numPr>
                <w:ilvl w:val="0"/>
                <w:numId w:val="18"/>
              </w:numPr>
              <w:ind w:hanging="360"/>
              <w:rPr>
                <w:szCs w:val="22"/>
              </w:rPr>
            </w:pPr>
            <w:r w:rsidRPr="00E87C98">
              <w:rPr>
                <w:szCs w:val="22"/>
              </w:rPr>
              <w:t xml:space="preserve">Lease or rental fees on eligible equipment </w:t>
            </w:r>
          </w:p>
          <w:p w:rsidR="0061038B" w:rsidRPr="00E87C98" w:rsidP="0061038B" w14:paraId="4C05989A" w14:textId="77777777">
            <w:pPr>
              <w:widowControl/>
              <w:numPr>
                <w:ilvl w:val="0"/>
                <w:numId w:val="18"/>
              </w:numPr>
              <w:ind w:hanging="360"/>
              <w:rPr>
                <w:szCs w:val="22"/>
              </w:rPr>
            </w:pPr>
            <w:r w:rsidRPr="00E87C98">
              <w:rPr>
                <w:szCs w:val="22"/>
              </w:rPr>
              <w:t xml:space="preserve">Per diem and/or travel time costs are eligible only if a contract with a vendor for the eligible product or services specifically provides for these costs. </w:t>
            </w:r>
          </w:p>
          <w:p w:rsidR="0061038B" w:rsidRPr="00E87C98" w:rsidP="0061038B" w14:paraId="0DBC1B00" w14:textId="77777777">
            <w:pPr>
              <w:widowControl/>
              <w:numPr>
                <w:ilvl w:val="0"/>
                <w:numId w:val="18"/>
              </w:numPr>
              <w:ind w:hanging="360"/>
              <w:rPr>
                <w:szCs w:val="22"/>
              </w:rPr>
            </w:pPr>
            <w:r w:rsidRPr="00E87C98">
              <w:rPr>
                <w:szCs w:val="22"/>
              </w:rPr>
              <w:t xml:space="preserve">Shipping charges </w:t>
            </w:r>
          </w:p>
          <w:p w:rsidR="0061038B" w:rsidRPr="00E87C98" w:rsidP="0061038B" w14:paraId="04647451" w14:textId="77777777">
            <w:pPr>
              <w:widowControl/>
              <w:numPr>
                <w:ilvl w:val="0"/>
                <w:numId w:val="18"/>
              </w:numPr>
              <w:ind w:hanging="360"/>
              <w:rPr>
                <w:szCs w:val="22"/>
              </w:rPr>
            </w:pPr>
            <w:r w:rsidRPr="00E87C98">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r w:rsidRPr="00E87C98">
              <w:rPr>
                <w:b/>
                <w:szCs w:val="22"/>
              </w:rPr>
              <w:t xml:space="preserve"> </w:t>
            </w:r>
          </w:p>
        </w:tc>
      </w:tr>
      <w:tr w14:paraId="16DFDCF3" w14:textId="77777777" w:rsidTr="00EC63DC">
        <w:tblPrEx>
          <w:tblW w:w="9177" w:type="dxa"/>
          <w:tblInd w:w="91" w:type="dxa"/>
          <w:tblCellMar>
            <w:top w:w="14" w:type="dxa"/>
            <w:left w:w="110" w:type="dxa"/>
            <w:right w:w="96" w:type="dxa"/>
          </w:tblCellMar>
          <w:tblLook w:val="04A0"/>
        </w:tblPrEx>
        <w:trPr>
          <w:trHeight w:val="3296"/>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61038B" w:rsidRPr="00E87C98" w:rsidP="00EC63DC" w14:paraId="4E1CE354" w14:textId="77777777">
            <w:pPr>
              <w:spacing w:after="96" w:line="259" w:lineRule="auto"/>
              <w:ind w:right="8"/>
              <w:jc w:val="center"/>
              <w:rPr>
                <w:szCs w:val="22"/>
              </w:rPr>
            </w:pPr>
            <w:r w:rsidRPr="00E87C98">
              <w:rPr>
                <w:b/>
                <w:szCs w:val="22"/>
              </w:rPr>
              <w:t xml:space="preserve">Installation, Activation, and Initial Configuration </w:t>
            </w:r>
          </w:p>
          <w:p w:rsidR="0061038B" w:rsidRPr="00E87C98" w:rsidP="00EC63DC" w14:paraId="4549E1A9" w14:textId="77777777">
            <w:pPr>
              <w:rPr>
                <w:szCs w:val="22"/>
              </w:rPr>
            </w:pPr>
            <w:r w:rsidRPr="00E87C98">
              <w:rPr>
                <w:szCs w:val="22"/>
              </w:rPr>
              <w:t xml:space="preserve">Installation, activation, and initial configuration of eligible components are eligible.  These services may include: </w:t>
            </w:r>
          </w:p>
          <w:p w:rsidR="0061038B" w:rsidRPr="00E87C98" w:rsidP="0061038B" w14:paraId="3E62E98F" w14:textId="77777777">
            <w:pPr>
              <w:widowControl/>
              <w:numPr>
                <w:ilvl w:val="0"/>
                <w:numId w:val="19"/>
              </w:numPr>
              <w:ind w:hanging="360"/>
              <w:rPr>
                <w:szCs w:val="22"/>
              </w:rPr>
            </w:pPr>
            <w:r w:rsidRPr="00E87C98">
              <w:rPr>
                <w:szCs w:val="22"/>
              </w:rPr>
              <w:t xml:space="preserve">Design and engineering costs if these services are provided as an integral component of the installation of the relevant services </w:t>
            </w:r>
          </w:p>
          <w:p w:rsidR="0061038B" w:rsidRPr="00E87C98" w:rsidP="0061038B" w14:paraId="73A6F2A1" w14:textId="77777777">
            <w:pPr>
              <w:widowControl/>
              <w:numPr>
                <w:ilvl w:val="0"/>
                <w:numId w:val="19"/>
              </w:numPr>
              <w:ind w:hanging="360"/>
              <w:rPr>
                <w:szCs w:val="22"/>
              </w:rPr>
            </w:pPr>
            <w:r w:rsidRPr="00E87C98">
              <w:rPr>
                <w:szCs w:val="22"/>
              </w:rPr>
              <w:t xml:space="preserve">Project management costs if these services are provided as an integral component of the installation of the relevant services </w:t>
            </w:r>
          </w:p>
          <w:p w:rsidR="0061038B" w:rsidRPr="00E87C98" w:rsidP="0061038B" w14:paraId="66B708F7" w14:textId="77777777">
            <w:pPr>
              <w:widowControl/>
              <w:numPr>
                <w:ilvl w:val="0"/>
                <w:numId w:val="19"/>
              </w:numPr>
              <w:ind w:hanging="360"/>
              <w:rPr>
                <w:szCs w:val="22"/>
              </w:rPr>
            </w:pPr>
            <w:r w:rsidRPr="00E87C98">
              <w:rPr>
                <w:szCs w:val="22"/>
              </w:rPr>
              <w:t xml:space="preserve">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 </w:t>
            </w:r>
          </w:p>
        </w:tc>
      </w:tr>
    </w:tbl>
    <w:p w:rsidR="0061038B" w:rsidRPr="00E26AAC" w:rsidP="00A51A42" w14:paraId="252C1B5D" w14:textId="77777777">
      <w:pPr>
        <w:rPr>
          <w:szCs w:val="22"/>
        </w:rPr>
      </w:pPr>
    </w:p>
    <w:sectPr w:rsidSect="0023411B">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8063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17702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9570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3A65B0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7F" w14:paraId="6E5E3077" w14:textId="77777777">
    <w:pPr>
      <w:pStyle w:val="Footer"/>
      <w:framePr w:wrap="around" w:vAnchor="text" w:hAnchor="margin" w:xAlign="center" w:y="1"/>
    </w:pPr>
    <w:r>
      <w:fldChar w:fldCharType="begin"/>
    </w:r>
    <w:r>
      <w:instrText xml:space="preserve">PAGE  </w:instrText>
    </w:r>
    <w:r w:rsidR="00135846">
      <w:fldChar w:fldCharType="separate"/>
    </w:r>
    <w:r>
      <w:fldChar w:fldCharType="end"/>
    </w:r>
  </w:p>
  <w:p w:rsidR="00C2657F" w14:paraId="2E76260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7F" w14:paraId="1D85B3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7F" w14:paraId="617E7F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782" w14:paraId="3717F01E" w14:textId="77777777">
      <w:r>
        <w:separator/>
      </w:r>
    </w:p>
  </w:footnote>
  <w:footnote w:type="continuationSeparator" w:id="1">
    <w:p w:rsidR="00F72782" w14:paraId="7DF53532" w14:textId="77777777">
      <w:pPr>
        <w:rPr>
          <w:sz w:val="20"/>
        </w:rPr>
      </w:pPr>
      <w:r>
        <w:rPr>
          <w:sz w:val="20"/>
        </w:rPr>
        <w:t xml:space="preserve">(Continued from previous page)  </w:t>
      </w:r>
      <w:r>
        <w:rPr>
          <w:sz w:val="20"/>
        </w:rPr>
        <w:separator/>
      </w:r>
    </w:p>
  </w:footnote>
  <w:footnote w:type="continuationNotice" w:id="2">
    <w:p w:rsidR="00F72782" w:rsidP="00910F12" w14:paraId="74868F4A" w14:textId="77777777">
      <w:pPr>
        <w:jc w:val="right"/>
        <w:rPr>
          <w:sz w:val="20"/>
        </w:rPr>
      </w:pPr>
      <w:r>
        <w:rPr>
          <w:sz w:val="20"/>
        </w:rPr>
        <w:t>(continued….)</w:t>
      </w:r>
    </w:p>
  </w:footnote>
  <w:footnote w:id="3">
    <w:p w:rsidR="0061038B" w:rsidRPr="006A19A2" w:rsidP="0061038B" w14:paraId="29C38333" w14:textId="77777777">
      <w:pPr>
        <w:pStyle w:val="FootnoteText"/>
      </w:pPr>
      <w:r w:rsidRPr="006A19A2">
        <w:rPr>
          <w:rStyle w:val="FootnoteReference"/>
          <w:sz w:val="20"/>
        </w:rPr>
        <w:footnoteRef/>
      </w:r>
      <w:r w:rsidRPr="006A19A2">
        <w:t xml:space="preserve"> </w:t>
      </w:r>
      <w:r w:rsidRPr="006A19A2">
        <w:rPr>
          <w:i/>
          <w:iCs/>
        </w:rPr>
        <w:t>See</w:t>
      </w:r>
      <w:r w:rsidRPr="006A19A2">
        <w:t xml:space="preserve"> 47 CFR § 54.502(</w:t>
      </w:r>
      <w:r>
        <w:t>e</w:t>
      </w:r>
      <w:r w:rsidRPr="006A19A2">
        <w:t>) (detailing the procedures for seeking comment on a draft E-Rate program eligible services list); Attachment, Draft Schools and Libraries Eligible Services List for Funding Year 202</w:t>
      </w:r>
      <w:r>
        <w:t>3</w:t>
      </w:r>
      <w:r w:rsidRPr="006A19A2">
        <w:t>.</w:t>
      </w:r>
    </w:p>
  </w:footnote>
  <w:footnote w:id="4">
    <w:p w:rsidR="0061038B" w:rsidP="0061038B" w14:paraId="4C8CF7C5" w14:textId="77777777">
      <w:pPr>
        <w:pStyle w:val="FootnoteText"/>
      </w:pPr>
      <w:r>
        <w:rPr>
          <w:rStyle w:val="FootnoteReference"/>
        </w:rPr>
        <w:footnoteRef/>
      </w:r>
      <w:r>
        <w:t xml:space="preserve">  On May 11, 2022, Chairwoman </w:t>
      </w:r>
      <w:r>
        <w:t>Rosenworcel</w:t>
      </w:r>
      <w:r>
        <w:t xml:space="preserve"> circulated that a Declaratory Ruling, if adopted, would allow for providing Wi-Fi on school buses, finding that it serves an educational purpose and that the provision of such service is eligible for E-Rate support.  </w:t>
      </w:r>
      <w:r w:rsidRPr="00765979">
        <w:rPr>
          <w:i/>
          <w:iCs/>
        </w:rPr>
        <w:t>See</w:t>
      </w:r>
      <w:r>
        <w:t xml:space="preserve"> Press Release, FCC, Chairwoman </w:t>
      </w:r>
      <w:r>
        <w:t>Rosenworcel</w:t>
      </w:r>
      <w:r>
        <w:t xml:space="preserve"> Circulates Ruling Making Wi-Fi on School Buses Eligible for E-Rate Support (May 11, 2022).  If adopted, the Bureau will separately seek comment on the specific services and equipment needed to provide Wi-Fi on school buses.  </w:t>
      </w:r>
    </w:p>
  </w:footnote>
  <w:footnote w:id="5">
    <w:p w:rsidR="0061038B" w:rsidRPr="006A19A2" w:rsidP="0061038B" w14:paraId="570A1BE7" w14:textId="77777777">
      <w:pPr>
        <w:pStyle w:val="FootnoteText"/>
      </w:pPr>
      <w:r w:rsidRPr="006A19A2">
        <w:rPr>
          <w:rStyle w:val="FootnoteReference"/>
          <w:sz w:val="20"/>
        </w:rPr>
        <w:footnoteRef/>
      </w:r>
      <w:r w:rsidRPr="006A19A2">
        <w:t xml:space="preserve"> 47 CFR § 1.419.</w:t>
      </w:r>
    </w:p>
  </w:footnote>
  <w:footnote w:id="6">
    <w:p w:rsidR="0061038B" w:rsidRPr="006A19A2" w:rsidP="0061038B" w14:paraId="39DD56DE" w14:textId="77777777">
      <w:pPr>
        <w:pStyle w:val="FootnoteText"/>
      </w:pPr>
      <w:r w:rsidRPr="006A19A2">
        <w:rPr>
          <w:rStyle w:val="FootnoteReference"/>
          <w:sz w:val="20"/>
        </w:rPr>
        <w:footnoteRef/>
      </w:r>
      <w:r w:rsidRPr="006A19A2">
        <w:t xml:space="preserve"> </w:t>
      </w:r>
      <w:r w:rsidRPr="006A19A2">
        <w:rPr>
          <w:i/>
          <w:iCs/>
        </w:rPr>
        <w:t xml:space="preserve">See FCC Announces Closure of FCC Headquarters Open Window and Change in Hand-Delivery Policy, </w:t>
      </w:r>
      <w:r w:rsidRPr="006A19A2">
        <w:t>Public Notice, DA 20-304 (March 19, 2020), https://www.fcc.gov/document/fcc-closes-headquarters-open-window-andchanges-hand-delivery-policy.</w:t>
      </w:r>
    </w:p>
  </w:footnote>
  <w:footnote w:id="7">
    <w:p w:rsidR="0061038B" w:rsidRPr="004A7FAF" w:rsidP="0061038B" w14:paraId="7B5A5657" w14:textId="77777777">
      <w:pPr>
        <w:pStyle w:val="FootnoteText"/>
      </w:pPr>
      <w:r w:rsidRPr="004A7FAF">
        <w:rPr>
          <w:rStyle w:val="FootnoteReference"/>
          <w:sz w:val="20"/>
        </w:rPr>
        <w:footnoteRef/>
      </w:r>
      <w:r w:rsidRPr="004A7FAF">
        <w:t xml:space="preserve"> Documents will generally be available electronically in ASCII, Microsoft Word, and/or Adobe Acrobat.</w:t>
      </w:r>
    </w:p>
  </w:footnote>
  <w:footnote w:id="8">
    <w:p w:rsidR="0061038B" w:rsidRPr="004A7FAF" w:rsidP="0061038B" w14:paraId="53AF43B0" w14:textId="77777777">
      <w:pPr>
        <w:pStyle w:val="FootnoteText"/>
      </w:pPr>
      <w:r w:rsidRPr="004A7FAF">
        <w:rPr>
          <w:rStyle w:val="FootnoteReference"/>
          <w:sz w:val="20"/>
        </w:rPr>
        <w:footnoteRef/>
      </w:r>
      <w:r w:rsidRPr="004A7FAF">
        <w:t xml:space="preserve"> 47 CFR §§ 1.1200 </w:t>
      </w:r>
      <w:r w:rsidRPr="004A7FAF">
        <w:rPr>
          <w:i/>
          <w:iCs/>
        </w:rPr>
        <w:t>et seq</w:t>
      </w:r>
      <w:r w:rsidRPr="004A7FAF">
        <w:t>.</w:t>
      </w:r>
    </w:p>
  </w:footnote>
  <w:footnote w:id="9">
    <w:p w:rsidR="0061038B" w:rsidRPr="004A7FAF" w:rsidP="0061038B" w14:paraId="05C488FD" w14:textId="77777777">
      <w:pPr>
        <w:pStyle w:val="FootnoteText"/>
      </w:pPr>
      <w:r w:rsidRPr="004A7FAF">
        <w:rPr>
          <w:rStyle w:val="FootnoteReference"/>
          <w:sz w:val="20"/>
        </w:rPr>
        <w:footnoteRef/>
      </w:r>
      <w:r w:rsidRPr="004A7FAF">
        <w:t xml:space="preserve"> 47 CFR § 1.1206(b).</w:t>
      </w:r>
    </w:p>
  </w:footnote>
  <w:footnote w:id="10">
    <w:p w:rsidR="0061038B" w:rsidRPr="004A7FAF" w:rsidP="0061038B" w14:paraId="5FC8016A" w14:textId="77777777">
      <w:pPr>
        <w:pStyle w:val="FootnoteText"/>
      </w:pPr>
      <w:r w:rsidRPr="004A7FAF">
        <w:rPr>
          <w:rStyle w:val="FootnoteReference"/>
          <w:sz w:val="20"/>
        </w:rPr>
        <w:footnoteRef/>
      </w:r>
      <w:r w:rsidRPr="004A7FAF">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20F270" w14:textId="547BAE65">
    <w:pPr>
      <w:tabs>
        <w:tab w:val="center" w:pos="4680"/>
        <w:tab w:val="right" w:pos="9360"/>
      </w:tabs>
    </w:pPr>
    <w:r w:rsidRPr="009838BC">
      <w:rPr>
        <w:b/>
      </w:rPr>
      <w:tab/>
      <w:t>Federal Communications Commission</w:t>
    </w:r>
    <w:r w:rsidRPr="009838BC">
      <w:rPr>
        <w:b/>
      </w:rPr>
      <w:tab/>
    </w:r>
    <w:r w:rsidR="001D6718">
      <w:rPr>
        <w:b/>
      </w:rPr>
      <w:t>DA  22-878</w:t>
    </w:r>
  </w:p>
  <w:p w:rsidR="009838BC" w:rsidRPr="009838BC" w:rsidP="009838BC" w14:paraId="3701639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5C6AA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C2B840D" w14:textId="77777777">
                <w:pPr>
                  <w:rPr>
                    <w:rFonts w:ascii="Arial" w:hAnsi="Arial"/>
                    <w:b/>
                    <w:snapToGrid/>
                  </w:rPr>
                </w:pPr>
                <w:r>
                  <w:rPr>
                    <w:rFonts w:ascii="Arial" w:hAnsi="Arial"/>
                    <w:b/>
                  </w:rPr>
                  <w:t>Federal Communications Commission</w:t>
                </w:r>
              </w:p>
              <w:p w:rsidR="00DE0AB8" w:rsidP="00DE0AB8" w14:paraId="0C75D65F" w14:textId="77777777">
                <w:pPr>
                  <w:rPr>
                    <w:rFonts w:ascii="Arial" w:hAnsi="Arial"/>
                    <w:b/>
                  </w:rPr>
                </w:pPr>
                <w:r>
                  <w:rPr>
                    <w:rFonts w:ascii="Arial" w:hAnsi="Arial"/>
                    <w:b/>
                  </w:rPr>
                  <w:t>45 L Street NE</w:t>
                </w:r>
              </w:p>
              <w:p w:rsidR="009838BC" w:rsidP="00DE0AB8" w14:paraId="1FADA05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174CE1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959A96B" w14:textId="77777777">
                <w:pPr>
                  <w:spacing w:before="40"/>
                  <w:jc w:val="right"/>
                  <w:rPr>
                    <w:rFonts w:ascii="Arial" w:hAnsi="Arial"/>
                    <w:b/>
                    <w:sz w:val="16"/>
                  </w:rPr>
                </w:pPr>
                <w:r>
                  <w:rPr>
                    <w:rFonts w:ascii="Arial" w:hAnsi="Arial"/>
                    <w:b/>
                    <w:sz w:val="16"/>
                  </w:rPr>
                  <w:t>News Media Information 202 / 418-0500</w:t>
                </w:r>
              </w:p>
              <w:p w:rsidR="009838BC" w:rsidP="009838BC" w14:paraId="0FC544A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DE70818" w14:textId="77777777">
                <w:pPr>
                  <w:jc w:val="right"/>
                </w:pPr>
                <w:r>
                  <w:rPr>
                    <w:rFonts w:ascii="Arial" w:hAnsi="Arial"/>
                    <w:b/>
                    <w:sz w:val="16"/>
                  </w:rPr>
                  <w:t>TTY: 1-888-835-5322</w:t>
                </w:r>
              </w:p>
            </w:txbxContent>
          </v:textbox>
        </v:shape>
      </w:pict>
    </w:r>
  </w:p>
  <w:p w:rsidR="006F7393" w:rsidRPr="009838BC" w:rsidP="009838BC" w14:paraId="2913AD30"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7F" w14:paraId="4F3DE6B7" w14:textId="5CFDC27E">
    <w:pPr>
      <w:tabs>
        <w:tab w:val="center" w:pos="4680"/>
        <w:tab w:val="right" w:pos="9360"/>
      </w:tabs>
    </w:pPr>
    <w:r>
      <w:rPr>
        <w:b/>
      </w:rPr>
      <w:tab/>
      <w:t>Federal Communications Commission</w:t>
    </w:r>
    <w:r>
      <w:rPr>
        <w:b/>
      </w:rPr>
      <w:tab/>
      <w:t>DA 22-</w:t>
    </w:r>
    <w:r w:rsidR="001D6718">
      <w:rPr>
        <w:b/>
      </w:rPr>
      <w:t>878</w:t>
    </w:r>
  </w:p>
  <w:p w:rsidR="00C2657F" w14:paraId="14C8D406" w14:textId="10396274">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7F" w14:paraId="18F227B6" w14:textId="57BBB3E5">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5" type="#_x0000_t75" style="width:468pt;height:112.5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F24CE8"/>
    <w:multiLevelType w:val="hybridMultilevel"/>
    <w:tmpl w:val="4946987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EB1AF9"/>
    <w:multiLevelType w:val="hybridMultilevel"/>
    <w:tmpl w:val="179E7776"/>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D3512E5"/>
    <w:multiLevelType w:val="hybridMultilevel"/>
    <w:tmpl w:val="3D1A67A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99968F6"/>
    <w:multiLevelType w:val="hybridMultilevel"/>
    <w:tmpl w:val="D494ED4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CD73906"/>
    <w:multiLevelType w:val="hybridMultilevel"/>
    <w:tmpl w:val="7E561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B76927"/>
    <w:multiLevelType w:val="hybridMultilevel"/>
    <w:tmpl w:val="93B4C586"/>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84D7345"/>
    <w:multiLevelType w:val="hybridMultilevel"/>
    <w:tmpl w:val="DEAA9F00"/>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C411E20"/>
    <w:multiLevelType w:val="hybridMultilevel"/>
    <w:tmpl w:val="C5E80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785410"/>
    <w:multiLevelType w:val="hybridMultilevel"/>
    <w:tmpl w:val="79702A40"/>
    <w:lvl w:ilvl="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DA42048"/>
    <w:multiLevelType w:val="hybridMultilevel"/>
    <w:tmpl w:val="500651C4"/>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DBE5C14"/>
    <w:multiLevelType w:val="hybridMultilevel"/>
    <w:tmpl w:val="8A94DC6A"/>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75708F2"/>
    <w:multiLevelType w:val="hybridMultilevel"/>
    <w:tmpl w:val="B8122BA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AC94860"/>
    <w:multiLevelType w:val="hybridMultilevel"/>
    <w:tmpl w:val="9824281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5"/>
  </w:num>
  <w:num w:numId="3">
    <w:abstractNumId w:val="4"/>
  </w:num>
  <w:num w:numId="4">
    <w:abstractNumId w:val="13"/>
  </w:num>
  <w:num w:numId="5">
    <w:abstractNumId w:val="3"/>
  </w:num>
  <w:num w:numId="6">
    <w:abstractNumId w:val="0"/>
  </w:num>
  <w:num w:numId="7">
    <w:abstractNumId w:val="8"/>
  </w:num>
  <w:num w:numId="8">
    <w:abstractNumId w:val="11"/>
  </w:num>
  <w:num w:numId="9">
    <w:abstractNumId w:val="6"/>
  </w:num>
  <w:num w:numId="10">
    <w:abstractNumId w:val="1"/>
  </w:num>
  <w:num w:numId="11">
    <w:abstractNumId w:val="12"/>
  </w:num>
  <w:num w:numId="12">
    <w:abstractNumId w:val="9"/>
  </w:num>
  <w:num w:numId="13">
    <w:abstractNumId w:val="5"/>
  </w:num>
  <w:num w:numId="14">
    <w:abstractNumId w:val="16"/>
  </w:num>
  <w:num w:numId="15">
    <w:abstractNumId w:val="17"/>
  </w:num>
  <w:num w:numId="16">
    <w:abstractNumId w:val="7"/>
  </w:num>
  <w:num w:numId="17">
    <w:abstractNumId w:val="1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2"/>
    <w:rsid w:val="000072CE"/>
    <w:rsid w:val="00013A8B"/>
    <w:rsid w:val="00021445"/>
    <w:rsid w:val="00025077"/>
    <w:rsid w:val="00036039"/>
    <w:rsid w:val="00037F90"/>
    <w:rsid w:val="000875BF"/>
    <w:rsid w:val="00096D8C"/>
    <w:rsid w:val="000B5D93"/>
    <w:rsid w:val="000C0B65"/>
    <w:rsid w:val="000E3D42"/>
    <w:rsid w:val="000E5884"/>
    <w:rsid w:val="00122BD5"/>
    <w:rsid w:val="00135846"/>
    <w:rsid w:val="001979D9"/>
    <w:rsid w:val="001D6718"/>
    <w:rsid w:val="001D6BCF"/>
    <w:rsid w:val="001E01CA"/>
    <w:rsid w:val="002060D9"/>
    <w:rsid w:val="00226822"/>
    <w:rsid w:val="0023411B"/>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7FAF"/>
    <w:rsid w:val="004C12D0"/>
    <w:rsid w:val="004C2EE3"/>
    <w:rsid w:val="004E4A22"/>
    <w:rsid w:val="00511968"/>
    <w:rsid w:val="0055614C"/>
    <w:rsid w:val="00607BA5"/>
    <w:rsid w:val="0061038B"/>
    <w:rsid w:val="00626EB6"/>
    <w:rsid w:val="006353A3"/>
    <w:rsid w:val="00655D03"/>
    <w:rsid w:val="00683F84"/>
    <w:rsid w:val="006A19A2"/>
    <w:rsid w:val="006A6A81"/>
    <w:rsid w:val="006E26AF"/>
    <w:rsid w:val="006F7393"/>
    <w:rsid w:val="0070224F"/>
    <w:rsid w:val="007115F7"/>
    <w:rsid w:val="00765979"/>
    <w:rsid w:val="00785689"/>
    <w:rsid w:val="0079754B"/>
    <w:rsid w:val="007A1E6D"/>
    <w:rsid w:val="00822CE0"/>
    <w:rsid w:val="00837C62"/>
    <w:rsid w:val="00841AB1"/>
    <w:rsid w:val="008C22FD"/>
    <w:rsid w:val="00910F12"/>
    <w:rsid w:val="00926503"/>
    <w:rsid w:val="00930ECF"/>
    <w:rsid w:val="00950306"/>
    <w:rsid w:val="009838BC"/>
    <w:rsid w:val="00A45F4F"/>
    <w:rsid w:val="00A51A42"/>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2657F"/>
    <w:rsid w:val="00C34006"/>
    <w:rsid w:val="00C426B1"/>
    <w:rsid w:val="00C82B6B"/>
    <w:rsid w:val="00C90D6A"/>
    <w:rsid w:val="00CC72B6"/>
    <w:rsid w:val="00D0218D"/>
    <w:rsid w:val="00D05B84"/>
    <w:rsid w:val="00D216CD"/>
    <w:rsid w:val="00D82C8B"/>
    <w:rsid w:val="00DA2529"/>
    <w:rsid w:val="00DB130A"/>
    <w:rsid w:val="00DC10A1"/>
    <w:rsid w:val="00DC655F"/>
    <w:rsid w:val="00DD7EBD"/>
    <w:rsid w:val="00DE0AB8"/>
    <w:rsid w:val="00DF62B6"/>
    <w:rsid w:val="00E07225"/>
    <w:rsid w:val="00E155B7"/>
    <w:rsid w:val="00E26AAC"/>
    <w:rsid w:val="00E5409F"/>
    <w:rsid w:val="00E77212"/>
    <w:rsid w:val="00E87C98"/>
    <w:rsid w:val="00EC0185"/>
    <w:rsid w:val="00EC63DC"/>
    <w:rsid w:val="00F021FA"/>
    <w:rsid w:val="00F57ACA"/>
    <w:rsid w:val="00F62E97"/>
    <w:rsid w:val="00F64209"/>
    <w:rsid w:val="00F72782"/>
    <w:rsid w:val="00F86E0D"/>
    <w:rsid w:val="00F93BF5"/>
    <w:rsid w:val="00F96F63"/>
    <w:rsid w:val="4050ED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FC4955"/>
  <w15:chartTrackingRefBased/>
  <w15:docId w15:val="{CA86DDB3-53A0-4B19-82F2-A776C89C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Char,fn Char Char,fn Char Char Char Char,fn Char1"/>
    <w:link w:val="FootnoteTextChar"/>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basedOn w:val="DefaultParagraphFont"/>
    <w:link w:val="FootnoteText"/>
    <w:semiHidden/>
    <w:rsid w:val="0061038B"/>
  </w:style>
  <w:style w:type="paragraph" w:styleId="ListParagraph">
    <w:name w:val="List Paragraph"/>
    <w:basedOn w:val="Normal"/>
    <w:uiPriority w:val="34"/>
    <w:qFormat/>
    <w:rsid w:val="0061038B"/>
    <w:pPr>
      <w:widowControl/>
      <w:spacing w:after="14" w:line="248" w:lineRule="auto"/>
      <w:ind w:left="720" w:hanging="10"/>
      <w:contextualSpacing/>
    </w:pPr>
    <w:rPr>
      <w:snapToGrid/>
      <w:color w:val="000000"/>
      <w:kern w:val="0"/>
      <w:szCs w:val="22"/>
    </w:rPr>
  </w:style>
  <w:style w:type="character" w:styleId="CommentReference">
    <w:name w:val="annotation reference"/>
    <w:uiPriority w:val="99"/>
    <w:semiHidden/>
    <w:unhideWhenUsed/>
    <w:rsid w:val="0061038B"/>
    <w:rPr>
      <w:sz w:val="16"/>
      <w:szCs w:val="16"/>
    </w:rPr>
  </w:style>
  <w:style w:type="paragraph" w:styleId="CommentText">
    <w:name w:val="annotation text"/>
    <w:basedOn w:val="Normal"/>
    <w:link w:val="CommentTextChar"/>
    <w:uiPriority w:val="99"/>
    <w:unhideWhenUsed/>
    <w:rsid w:val="0061038B"/>
    <w:rPr>
      <w:sz w:val="20"/>
    </w:rPr>
  </w:style>
  <w:style w:type="character" w:customStyle="1" w:styleId="CommentTextChar">
    <w:name w:val="Comment Text Char"/>
    <w:basedOn w:val="DefaultParagraphFont"/>
    <w:link w:val="CommentText"/>
    <w:uiPriority w:val="99"/>
    <w:rsid w:val="0061038B"/>
    <w:rPr>
      <w:snapToGrid w:val="0"/>
      <w:kern w:val="28"/>
    </w:rPr>
  </w:style>
  <w:style w:type="character" w:customStyle="1" w:styleId="Heading1Char">
    <w:name w:val="Heading 1 Char"/>
    <w:link w:val="Heading1"/>
    <w:uiPriority w:val="9"/>
    <w:rsid w:val="0061038B"/>
    <w:rPr>
      <w:rFonts w:ascii="Times New Roman Bold" w:hAnsi="Times New Roman Bold"/>
      <w:b/>
      <w:caps/>
      <w:snapToGrid w:val="0"/>
      <w:kern w:val="28"/>
      <w:sz w:val="22"/>
    </w:rPr>
  </w:style>
  <w:style w:type="character" w:customStyle="1" w:styleId="Heading2Char">
    <w:name w:val="Heading 2 Char"/>
    <w:link w:val="Heading2"/>
    <w:rsid w:val="0061038B"/>
    <w:rPr>
      <w:b/>
      <w:snapToGrid w:val="0"/>
      <w:kern w:val="28"/>
      <w:sz w:val="22"/>
    </w:rPr>
  </w:style>
  <w:style w:type="character" w:customStyle="1" w:styleId="HeaderChar">
    <w:name w:val="Header Char"/>
    <w:link w:val="Header"/>
    <w:rsid w:val="0061038B"/>
    <w:rPr>
      <w:rFonts w:ascii="Arial" w:hAnsi="Arial" w:cs="Arial"/>
      <w:b/>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usac.org/e-rate/applicant-process/before-you-begin/eligible-services-list/"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