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4C2EE3" w14:paraId="3E821DA9"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20B8B5F0" w14:textId="77777777">
      <w:pPr>
        <w:pStyle w:val="StyleBoldCentered"/>
      </w:pPr>
      <w:r>
        <w:t>F</w:t>
      </w:r>
      <w:r>
        <w:rPr>
          <w:caps w:val="0"/>
        </w:rPr>
        <w:t>ederal Communications Commission</w:t>
      </w:r>
    </w:p>
    <w:p w:rsidR="004C2EE3" w:rsidP="00096D8C" w14:paraId="69286DFC" w14:textId="77777777">
      <w:pPr>
        <w:pStyle w:val="StyleBoldCentered"/>
      </w:pPr>
      <w:r>
        <w:rPr>
          <w:caps w:val="0"/>
        </w:rPr>
        <w:t>Washington, D.C. 20554</w:t>
      </w:r>
    </w:p>
    <w:p w:rsidR="004C2EE3" w:rsidP="0070224F" w14:paraId="4F10466C" w14:textId="77777777"/>
    <w:p w:rsidR="004C2EE3" w:rsidP="0070224F" w14:paraId="3E6A69F6" w14:textId="77777777"/>
    <w:tbl>
      <w:tblPr>
        <w:tblW w:w="0" w:type="auto"/>
        <w:tblLayout w:type="fixed"/>
        <w:tblLook w:val="0000"/>
      </w:tblPr>
      <w:tblGrid>
        <w:gridCol w:w="4698"/>
        <w:gridCol w:w="630"/>
        <w:gridCol w:w="4248"/>
      </w:tblGrid>
      <w:tr w14:paraId="3806EBDA" w14:textId="77777777">
        <w:tblPrEx>
          <w:tblW w:w="0" w:type="auto"/>
          <w:tblLayout w:type="fixed"/>
          <w:tblLook w:val="0000"/>
        </w:tblPrEx>
        <w:tc>
          <w:tcPr>
            <w:tcW w:w="4698" w:type="dxa"/>
          </w:tcPr>
          <w:p w:rsidR="004C2EE3" w14:paraId="136FDC36" w14:textId="77777777">
            <w:pPr>
              <w:tabs>
                <w:tab w:val="center" w:pos="4680"/>
              </w:tabs>
              <w:suppressAutoHyphens/>
              <w:rPr>
                <w:spacing w:val="-2"/>
              </w:rPr>
            </w:pPr>
            <w:r>
              <w:rPr>
                <w:spacing w:val="-2"/>
              </w:rPr>
              <w:t>In the Matter of</w:t>
            </w:r>
          </w:p>
          <w:p w:rsidR="004C2EE3" w14:paraId="455FAEED" w14:textId="77777777">
            <w:pPr>
              <w:tabs>
                <w:tab w:val="center" w:pos="4680"/>
              </w:tabs>
              <w:suppressAutoHyphens/>
              <w:rPr>
                <w:spacing w:val="-2"/>
              </w:rPr>
            </w:pPr>
          </w:p>
          <w:p w:rsidR="00F404C9" w:rsidP="00F404C9" w14:paraId="4B591052" w14:textId="468CCBCA">
            <w:pPr>
              <w:tabs>
                <w:tab w:val="center" w:pos="4680"/>
              </w:tabs>
              <w:suppressAutoHyphens/>
              <w:rPr>
                <w:spacing w:val="-2"/>
              </w:rPr>
            </w:pPr>
            <w:r>
              <w:rPr>
                <w:spacing w:val="-2"/>
              </w:rPr>
              <w:t>Connect America Fund</w:t>
            </w:r>
          </w:p>
          <w:p w:rsidR="00F404C9" w:rsidP="00F404C9" w14:paraId="2272DADA" w14:textId="2B42A833">
            <w:pPr>
              <w:tabs>
                <w:tab w:val="center" w:pos="4680"/>
              </w:tabs>
              <w:suppressAutoHyphens/>
              <w:rPr>
                <w:spacing w:val="-2"/>
              </w:rPr>
            </w:pPr>
          </w:p>
          <w:p w:rsidR="00F404C9" w:rsidP="00F404C9" w14:paraId="373B7F8C" w14:textId="1A4F13E1">
            <w:pPr>
              <w:tabs>
                <w:tab w:val="center" w:pos="4680"/>
              </w:tabs>
              <w:suppressAutoHyphens/>
              <w:rPr>
                <w:spacing w:val="-2"/>
              </w:rPr>
            </w:pPr>
            <w:r>
              <w:rPr>
                <w:spacing w:val="-2"/>
              </w:rPr>
              <w:t>Connect America Fund Phase II Auction</w:t>
            </w:r>
          </w:p>
          <w:p w:rsidR="004C2EE3" w:rsidRPr="007115F7" w:rsidP="007115F7" w14:paraId="02C6937E" w14:textId="0BDD7EE0">
            <w:pPr>
              <w:tabs>
                <w:tab w:val="center" w:pos="4680"/>
              </w:tabs>
              <w:suppressAutoHyphens/>
              <w:rPr>
                <w:spacing w:val="-2"/>
              </w:rPr>
            </w:pPr>
          </w:p>
        </w:tc>
        <w:tc>
          <w:tcPr>
            <w:tcW w:w="630" w:type="dxa"/>
          </w:tcPr>
          <w:p w:rsidR="004C2EE3" w14:paraId="1714F0A3" w14:textId="77777777">
            <w:pPr>
              <w:tabs>
                <w:tab w:val="center" w:pos="4680"/>
              </w:tabs>
              <w:suppressAutoHyphens/>
              <w:rPr>
                <w:b/>
                <w:spacing w:val="-2"/>
              </w:rPr>
            </w:pPr>
            <w:r>
              <w:rPr>
                <w:b/>
                <w:spacing w:val="-2"/>
              </w:rPr>
              <w:t>)</w:t>
            </w:r>
          </w:p>
          <w:p w:rsidR="004C2EE3" w14:paraId="196068F9" w14:textId="77777777">
            <w:pPr>
              <w:tabs>
                <w:tab w:val="center" w:pos="4680"/>
              </w:tabs>
              <w:suppressAutoHyphens/>
              <w:rPr>
                <w:b/>
                <w:spacing w:val="-2"/>
              </w:rPr>
            </w:pPr>
            <w:r>
              <w:rPr>
                <w:b/>
                <w:spacing w:val="-2"/>
              </w:rPr>
              <w:t>)</w:t>
            </w:r>
          </w:p>
          <w:p w:rsidR="004C2EE3" w14:paraId="22A7D513" w14:textId="77777777">
            <w:pPr>
              <w:tabs>
                <w:tab w:val="center" w:pos="4680"/>
              </w:tabs>
              <w:suppressAutoHyphens/>
              <w:rPr>
                <w:b/>
                <w:spacing w:val="-2"/>
              </w:rPr>
            </w:pPr>
            <w:r>
              <w:rPr>
                <w:b/>
                <w:spacing w:val="-2"/>
              </w:rPr>
              <w:t>)</w:t>
            </w:r>
          </w:p>
          <w:p w:rsidR="004C2EE3" w14:paraId="1BA611B9" w14:textId="77777777">
            <w:pPr>
              <w:tabs>
                <w:tab w:val="center" w:pos="4680"/>
              </w:tabs>
              <w:suppressAutoHyphens/>
              <w:rPr>
                <w:b/>
                <w:spacing w:val="-2"/>
              </w:rPr>
            </w:pPr>
            <w:r>
              <w:rPr>
                <w:b/>
                <w:spacing w:val="-2"/>
              </w:rPr>
              <w:t>)</w:t>
            </w:r>
          </w:p>
          <w:p w:rsidR="004C2EE3" w14:paraId="4D029530" w14:textId="77777777">
            <w:pPr>
              <w:tabs>
                <w:tab w:val="center" w:pos="4680"/>
              </w:tabs>
              <w:suppressAutoHyphens/>
              <w:rPr>
                <w:b/>
                <w:spacing w:val="-2"/>
              </w:rPr>
            </w:pPr>
            <w:r>
              <w:rPr>
                <w:b/>
                <w:spacing w:val="-2"/>
              </w:rPr>
              <w:t>)</w:t>
            </w:r>
          </w:p>
          <w:p w:rsidR="004C2EE3" w14:paraId="77222801" w14:textId="77777777">
            <w:pPr>
              <w:tabs>
                <w:tab w:val="center" w:pos="4680"/>
              </w:tabs>
              <w:suppressAutoHyphens/>
              <w:rPr>
                <w:b/>
                <w:spacing w:val="-2"/>
              </w:rPr>
            </w:pPr>
            <w:r>
              <w:rPr>
                <w:b/>
                <w:spacing w:val="-2"/>
              </w:rPr>
              <w:t>)</w:t>
            </w:r>
          </w:p>
          <w:p w:rsidR="004C2EE3" w:rsidRPr="00035A22" w14:paraId="72F9955F" w14:textId="45F0437C">
            <w:pPr>
              <w:tabs>
                <w:tab w:val="center" w:pos="4680"/>
              </w:tabs>
              <w:suppressAutoHyphens/>
              <w:rPr>
                <w:b/>
                <w:spacing w:val="-2"/>
              </w:rPr>
            </w:pPr>
            <w:r>
              <w:rPr>
                <w:b/>
                <w:spacing w:val="-2"/>
              </w:rPr>
              <w:t>)</w:t>
            </w:r>
          </w:p>
        </w:tc>
        <w:tc>
          <w:tcPr>
            <w:tcW w:w="4248" w:type="dxa"/>
          </w:tcPr>
          <w:p w:rsidR="004C2EE3" w14:paraId="6BE45B77" w14:textId="77777777">
            <w:pPr>
              <w:tabs>
                <w:tab w:val="center" w:pos="4680"/>
              </w:tabs>
              <w:suppressAutoHyphens/>
              <w:rPr>
                <w:spacing w:val="-2"/>
              </w:rPr>
            </w:pPr>
          </w:p>
          <w:p w:rsidR="004C2EE3" w14:paraId="3295CB1C" w14:textId="77777777">
            <w:pPr>
              <w:pStyle w:val="TOAHeading"/>
              <w:tabs>
                <w:tab w:val="center" w:pos="4680"/>
                <w:tab w:val="clear" w:pos="9360"/>
              </w:tabs>
              <w:rPr>
                <w:spacing w:val="-2"/>
              </w:rPr>
            </w:pPr>
          </w:p>
          <w:p w:rsidR="004C2EE3" w14:paraId="4F60904D" w14:textId="77777777">
            <w:pPr>
              <w:tabs>
                <w:tab w:val="center" w:pos="4680"/>
              </w:tabs>
              <w:suppressAutoHyphens/>
              <w:rPr>
                <w:spacing w:val="-2"/>
              </w:rPr>
            </w:pPr>
            <w:r>
              <w:rPr>
                <w:spacing w:val="-2"/>
              </w:rPr>
              <w:t>WC Docket No. 10-90</w:t>
            </w:r>
          </w:p>
          <w:p w:rsidR="00F404C9" w14:paraId="18ED4BBF" w14:textId="77777777">
            <w:pPr>
              <w:tabs>
                <w:tab w:val="center" w:pos="4680"/>
              </w:tabs>
              <w:suppressAutoHyphens/>
              <w:rPr>
                <w:spacing w:val="-2"/>
              </w:rPr>
            </w:pPr>
          </w:p>
          <w:p w:rsidR="00F404C9" w14:paraId="379DB3C9" w14:textId="3A9E52A8">
            <w:pPr>
              <w:tabs>
                <w:tab w:val="center" w:pos="4680"/>
              </w:tabs>
              <w:suppressAutoHyphens/>
              <w:rPr>
                <w:spacing w:val="-2"/>
              </w:rPr>
            </w:pPr>
            <w:r>
              <w:rPr>
                <w:spacing w:val="-2"/>
              </w:rPr>
              <w:t>AU Docket No. 17-182</w:t>
            </w:r>
          </w:p>
        </w:tc>
      </w:tr>
    </w:tbl>
    <w:p w:rsidR="004C2EE3" w:rsidP="0070224F" w14:paraId="7C92EF1F" w14:textId="77777777"/>
    <w:p w:rsidR="00841AB1" w:rsidP="00F021FA" w14:paraId="2BEC6BCD" w14:textId="27051E2E">
      <w:pPr>
        <w:pStyle w:val="StyleBoldCentered"/>
      </w:pPr>
      <w:r>
        <w:t>Order</w:t>
      </w:r>
    </w:p>
    <w:p w:rsidR="004C2EE3" w14:paraId="27F074E9" w14:textId="77777777">
      <w:pPr>
        <w:tabs>
          <w:tab w:val="left" w:pos="-720"/>
        </w:tabs>
        <w:suppressAutoHyphens/>
        <w:spacing w:line="227" w:lineRule="auto"/>
        <w:rPr>
          <w:spacing w:val="-2"/>
        </w:rPr>
      </w:pPr>
    </w:p>
    <w:p w:rsidR="004C2EE3" w:rsidP="00133F79" w14:paraId="4EC1D587" w14:textId="166F5FC3">
      <w:pPr>
        <w:tabs>
          <w:tab w:val="left" w:pos="720"/>
          <w:tab w:val="right" w:pos="9360"/>
        </w:tabs>
        <w:suppressAutoHyphens/>
        <w:spacing w:line="227" w:lineRule="auto"/>
        <w:rPr>
          <w:spacing w:val="-2"/>
        </w:rPr>
      </w:pPr>
      <w:r>
        <w:rPr>
          <w:b/>
          <w:spacing w:val="-2"/>
        </w:rPr>
        <w:t xml:space="preserve">Adopted:  </w:t>
      </w:r>
      <w:r w:rsidR="00F404C9">
        <w:rPr>
          <w:b/>
          <w:spacing w:val="-2"/>
        </w:rPr>
        <w:t>August 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F404C9">
        <w:rPr>
          <w:b/>
          <w:spacing w:val="-2"/>
        </w:rPr>
        <w:t>August 9, 2022</w:t>
      </w:r>
    </w:p>
    <w:p w:rsidR="00822CE0" w14:paraId="7D296F6F" w14:textId="77777777"/>
    <w:p w:rsidR="004C2EE3" w14:paraId="39A4FBE5" w14:textId="6E93FB14">
      <w:pPr>
        <w:rPr>
          <w:spacing w:val="-2"/>
        </w:rPr>
      </w:pPr>
      <w:r>
        <w:t xml:space="preserve">By </w:t>
      </w:r>
      <w:r w:rsidR="004E4A22">
        <w:t>the</w:t>
      </w:r>
      <w:r w:rsidR="002A2D2E">
        <w:t xml:space="preserve"> </w:t>
      </w:r>
      <w:r w:rsidR="00F404C9">
        <w:rPr>
          <w:spacing w:val="-2"/>
        </w:rPr>
        <w:t>Chief, Wireline Competition Bureau</w:t>
      </w:r>
      <w:r>
        <w:rPr>
          <w:spacing w:val="-2"/>
        </w:rPr>
        <w:t>:</w:t>
      </w:r>
    </w:p>
    <w:p w:rsidR="00822CE0" w14:paraId="096062BA" w14:textId="77777777">
      <w:pPr>
        <w:rPr>
          <w:spacing w:val="-2"/>
        </w:rPr>
      </w:pPr>
    </w:p>
    <w:p w:rsidR="00412FC5" w:rsidP="00C36B4C" w14:paraId="51B82793" w14:textId="0517A4DA">
      <w:pPr>
        <w:pStyle w:val="Heading1"/>
      </w:pPr>
      <w:r>
        <w:t>Introduction</w:t>
      </w:r>
    </w:p>
    <w:p w:rsidR="00F404C9" w:rsidRPr="00C9299B" w:rsidP="00F404C9" w14:paraId="3CD0C3B9" w14:textId="77777777">
      <w:pPr>
        <w:pStyle w:val="ParaNum"/>
      </w:pPr>
      <w:r w:rsidRPr="00133C02">
        <w:t>In this</w:t>
      </w:r>
      <w:r>
        <w:t xml:space="preserve"> Order, the Wireline Competition Bureau (Bureau), in conjunction with the Rural Broadband Auctions Task Force (</w:t>
      </w:r>
      <w:r>
        <w:t>RBATF</w:t>
      </w:r>
      <w:r>
        <w:t>) and the Office of Economics and Analytics (OEA), partially grants Northern Arapaho Tribal Industries’ (</w:t>
      </w:r>
      <w:r>
        <w:t>NATI</w:t>
      </w:r>
      <w:r>
        <w:t>) petition requesting a temporary waiver of the requirement to increase the value of its letter of credit (LOC) for the Connect America Fund Phase II auction (Auction 903).</w:t>
      </w:r>
      <w:r>
        <w:rPr>
          <w:rStyle w:val="FootnoteReference"/>
        </w:rPr>
        <w:footnoteReference w:id="3"/>
      </w:r>
      <w:r>
        <w:t xml:space="preserve">  We allow </w:t>
      </w:r>
      <w:r>
        <w:t>NATI</w:t>
      </w:r>
      <w:r>
        <w:t xml:space="preserve"> to maintain the value of its current LOC, until the Universal Service Administrative Company (USAC) completes its verification process for the locations to which </w:t>
      </w:r>
      <w:r>
        <w:t>NATI</w:t>
      </w:r>
      <w:r>
        <w:t xml:space="preserve"> has certified deployment. </w:t>
      </w:r>
      <w:bookmarkStart w:id="0" w:name="_Hlk36464921"/>
    </w:p>
    <w:bookmarkEnd w:id="0"/>
    <w:p w:rsidR="00F404C9" w:rsidP="00F404C9" w14:paraId="2FF16D92" w14:textId="77777777">
      <w:pPr>
        <w:pStyle w:val="Heading1"/>
      </w:pPr>
      <w:r>
        <w:t>BACKGROUND</w:t>
      </w:r>
    </w:p>
    <w:p w:rsidR="00F404C9" w:rsidRPr="00D3563D" w:rsidP="00F404C9" w14:paraId="5C0539F4" w14:textId="77777777">
      <w:pPr>
        <w:pStyle w:val="ParaNum"/>
      </w:pPr>
      <w:r>
        <w:t>The Commission requires that before being authorized to receive support awarded by Auction 903, an applicant must obtain a LOC issued by a qualified bank to protect the public’s funds.</w:t>
      </w:r>
      <w:r>
        <w:rPr>
          <w:rStyle w:val="FootnoteReference"/>
        </w:rPr>
        <w:footnoteReference w:id="4"/>
      </w:r>
      <w:r>
        <w:t xml:space="preserve">  The LOC must increase in value until USAC verifies that the support recipient has met certain service milestones.</w:t>
      </w:r>
      <w:r>
        <w:rPr>
          <w:rStyle w:val="FootnoteReference"/>
        </w:rPr>
        <w:footnoteReference w:id="5"/>
      </w:r>
      <w:r>
        <w:t xml:space="preserve">  In response to the COVID-19 pandemic, </w:t>
      </w:r>
      <w:r w:rsidRPr="00D3563D">
        <w:rPr>
          <w:szCs w:val="22"/>
        </w:rPr>
        <w:t>in the summer of 2020 the</w:t>
      </w:r>
      <w:r>
        <w:rPr>
          <w:szCs w:val="22"/>
        </w:rPr>
        <w:t xml:space="preserve"> </w:t>
      </w:r>
      <w:r w:rsidRPr="00D3563D">
        <w:rPr>
          <w:szCs w:val="22"/>
        </w:rPr>
        <w:t xml:space="preserve">Bureau, in conjunction with the </w:t>
      </w:r>
      <w:r w:rsidRPr="00D3563D">
        <w:rPr>
          <w:szCs w:val="22"/>
        </w:rPr>
        <w:t>R</w:t>
      </w:r>
      <w:r>
        <w:rPr>
          <w:szCs w:val="22"/>
        </w:rPr>
        <w:t>BATF</w:t>
      </w:r>
      <w:r>
        <w:rPr>
          <w:szCs w:val="22"/>
        </w:rPr>
        <w:t xml:space="preserve"> and OEA</w:t>
      </w:r>
      <w:r w:rsidRPr="00D3563D">
        <w:rPr>
          <w:szCs w:val="22"/>
        </w:rPr>
        <w:t>,</w:t>
      </w:r>
      <w:r>
        <w:rPr>
          <w:szCs w:val="22"/>
        </w:rPr>
        <w:t xml:space="preserve"> </w:t>
      </w:r>
      <w:r w:rsidRPr="00D3563D">
        <w:rPr>
          <w:szCs w:val="22"/>
        </w:rPr>
        <w:t xml:space="preserve">waived the Commission’s </w:t>
      </w:r>
      <w:r>
        <w:rPr>
          <w:szCs w:val="22"/>
        </w:rPr>
        <w:t>LOC</w:t>
      </w:r>
      <w:r w:rsidRPr="00D3563D">
        <w:rPr>
          <w:szCs w:val="22"/>
        </w:rPr>
        <w:t xml:space="preserve"> rules for Auction 903 support recipients;</w:t>
      </w:r>
      <w:r>
        <w:rPr>
          <w:szCs w:val="22"/>
          <w:vertAlign w:val="superscript"/>
        </w:rPr>
        <w:footnoteReference w:id="6"/>
      </w:r>
      <w:r w:rsidRPr="00D3563D">
        <w:rPr>
          <w:szCs w:val="22"/>
        </w:rPr>
        <w:t xml:space="preserve"> last summer, the Bureau extended that waiver until the end of 2022.</w:t>
      </w:r>
      <w:r>
        <w:rPr>
          <w:rStyle w:val="FootnoteReference"/>
          <w:szCs w:val="22"/>
        </w:rPr>
        <w:footnoteReference w:id="7"/>
      </w:r>
      <w:r w:rsidRPr="00D3563D">
        <w:rPr>
          <w:szCs w:val="22"/>
        </w:rPr>
        <w:t xml:space="preserve">  Auction 903 support recipients were directed to comply with the less financially burdensome </w:t>
      </w:r>
      <w:r>
        <w:rPr>
          <w:szCs w:val="22"/>
        </w:rPr>
        <w:t>LOC</w:t>
      </w:r>
      <w:r w:rsidRPr="00D3563D">
        <w:rPr>
          <w:szCs w:val="22"/>
        </w:rPr>
        <w:t xml:space="preserve"> rules established by the Commission for</w:t>
      </w:r>
      <w:r>
        <w:rPr>
          <w:szCs w:val="22"/>
        </w:rPr>
        <w:t xml:space="preserve"> Auction 904,</w:t>
      </w:r>
      <w:r w:rsidRPr="00D3563D">
        <w:rPr>
          <w:szCs w:val="22"/>
        </w:rPr>
        <w:t xml:space="preserve"> the Rural Digital Opportunity Fund</w:t>
      </w:r>
      <w:r>
        <w:rPr>
          <w:szCs w:val="22"/>
        </w:rPr>
        <w:t xml:space="preserve"> (</w:t>
      </w:r>
      <w:r>
        <w:rPr>
          <w:szCs w:val="22"/>
        </w:rPr>
        <w:t>RDOF</w:t>
      </w:r>
      <w:r>
        <w:rPr>
          <w:szCs w:val="22"/>
        </w:rPr>
        <w:t>)</w:t>
      </w:r>
      <w:r w:rsidRPr="00D3563D">
        <w:rPr>
          <w:szCs w:val="22"/>
        </w:rPr>
        <w:t>.</w:t>
      </w:r>
      <w:r>
        <w:rPr>
          <w:sz w:val="20"/>
          <w:vertAlign w:val="superscript"/>
        </w:rPr>
        <w:footnoteReference w:id="8"/>
      </w:r>
    </w:p>
    <w:p w:rsidR="00F404C9" w:rsidP="00F404C9" w14:paraId="4F8D1D28" w14:textId="77777777">
      <w:pPr>
        <w:pStyle w:val="ParaNum"/>
        <w:widowControl/>
      </w:pPr>
      <w:r>
        <w:t xml:space="preserve">Under the </w:t>
      </w:r>
      <w:r>
        <w:t>RDOF</w:t>
      </w:r>
      <w:r>
        <w:t xml:space="preserve"> LOC rules, which are still being applied to Auction 903 recipients, a support recipient’s LOC must increase in value for each of the first four years of a recipient’s support </w:t>
      </w:r>
      <w:r>
        <w:t>term.</w:t>
      </w:r>
      <w:r>
        <w:rPr>
          <w:rStyle w:val="FootnoteReference"/>
        </w:rPr>
        <w:footnoteReference w:id="9"/>
      </w:r>
      <w:r>
        <w:t xml:space="preserve">  However, a support recipient can reduce the value of its LOC by certifying, and having USAC verify, that it has met its deployment milestones.</w:t>
      </w:r>
      <w:r>
        <w:rPr>
          <w:rStyle w:val="FootnoteReference"/>
        </w:rPr>
        <w:footnoteReference w:id="10"/>
      </w:r>
    </w:p>
    <w:p w:rsidR="00F404C9" w:rsidRPr="006D6D46" w:rsidP="00F404C9" w14:paraId="73A4675D" w14:textId="77777777">
      <w:pPr>
        <w:pStyle w:val="ParaNum"/>
      </w:pPr>
      <w:r>
        <w:rPr>
          <w:i/>
        </w:rPr>
        <w:t>NATI’s</w:t>
      </w:r>
      <w:r>
        <w:rPr>
          <w:i/>
        </w:rPr>
        <w:t xml:space="preserve"> </w:t>
      </w:r>
      <w:r w:rsidRPr="00C43DCE">
        <w:rPr>
          <w:i/>
        </w:rPr>
        <w:t>Petition</w:t>
      </w:r>
      <w:r>
        <w:rPr>
          <w:iCs/>
        </w:rPr>
        <w:t>.</w:t>
      </w:r>
      <w:r>
        <w:rPr>
          <w:i/>
        </w:rPr>
        <w:t xml:space="preserve"> </w:t>
      </w:r>
      <w:r w:rsidRPr="00C43DCE">
        <w:rPr>
          <w:iCs/>
        </w:rPr>
        <w:t>In</w:t>
      </w:r>
      <w:r>
        <w:rPr>
          <w:iCs/>
        </w:rPr>
        <w:t xml:space="preserve"> its petition, </w:t>
      </w:r>
      <w:r>
        <w:rPr>
          <w:iCs/>
        </w:rPr>
        <w:t>NATI</w:t>
      </w:r>
      <w:r>
        <w:rPr>
          <w:iCs/>
        </w:rPr>
        <w:t xml:space="preserve"> states that its current LOC is twice its amount of annual support, in accordance with </w:t>
      </w:r>
      <w:r>
        <w:rPr>
          <w:iCs/>
        </w:rPr>
        <w:t>RDOF</w:t>
      </w:r>
      <w:r>
        <w:rPr>
          <w:iCs/>
        </w:rPr>
        <w:t xml:space="preserve"> rules.</w:t>
      </w:r>
      <w:r>
        <w:rPr>
          <w:rStyle w:val="FootnoteReference"/>
          <w:iCs/>
        </w:rPr>
        <w:footnoteReference w:id="11"/>
      </w:r>
      <w:r>
        <w:rPr>
          <w:iCs/>
        </w:rPr>
        <w:t xml:space="preserve">  Consistent with those rules, </w:t>
      </w:r>
      <w:r>
        <w:rPr>
          <w:iCs/>
        </w:rPr>
        <w:t>NATI</w:t>
      </w:r>
      <w:r>
        <w:rPr>
          <w:iCs/>
        </w:rPr>
        <w:t xml:space="preserve"> would need to increase the value of its LOC to three times its annual support by August 9, 2022, i.e. the beginning of its fourth year of Auction 903 support.</w:t>
      </w:r>
      <w:r>
        <w:rPr>
          <w:rStyle w:val="FootnoteReference"/>
          <w:iCs/>
        </w:rPr>
        <w:footnoteReference w:id="12"/>
      </w:r>
      <w:r>
        <w:rPr>
          <w:iCs/>
        </w:rPr>
        <w:t xml:space="preserve">  </w:t>
      </w:r>
      <w:r>
        <w:rPr>
          <w:iCs/>
        </w:rPr>
        <w:t>NATI</w:t>
      </w:r>
      <w:r>
        <w:rPr>
          <w:iCs/>
        </w:rPr>
        <w:t xml:space="preserve"> asserts that it would be unable to obtain an LOC for that amount by the deadline.</w:t>
      </w:r>
      <w:r>
        <w:rPr>
          <w:rStyle w:val="FootnoteReference"/>
          <w:iCs/>
        </w:rPr>
        <w:footnoteReference w:id="13"/>
      </w:r>
      <w:r>
        <w:rPr>
          <w:iCs/>
        </w:rPr>
        <w:t xml:space="preserve">  Additionally, </w:t>
      </w:r>
      <w:r>
        <w:rPr>
          <w:iCs/>
        </w:rPr>
        <w:t>NATI</w:t>
      </w:r>
      <w:r>
        <w:rPr>
          <w:iCs/>
        </w:rPr>
        <w:t xml:space="preserve"> states that it has met the optional 20% deployment milestone by the end of the second deployment year, which would allow </w:t>
      </w:r>
      <w:r>
        <w:rPr>
          <w:iCs/>
        </w:rPr>
        <w:t>NATI</w:t>
      </w:r>
      <w:r>
        <w:rPr>
          <w:iCs/>
        </w:rPr>
        <w:t xml:space="preserve"> to reduce its LOC to one year of its annual support.</w:t>
      </w:r>
      <w:r>
        <w:rPr>
          <w:rStyle w:val="FootnoteReference"/>
          <w:iCs/>
        </w:rPr>
        <w:footnoteReference w:id="14"/>
      </w:r>
      <w:r>
        <w:rPr>
          <w:iCs/>
        </w:rPr>
        <w:t xml:space="preserve">  While reduction of an LOC amount is normally contingent upon USAC’s verification of deployment, </w:t>
      </w:r>
      <w:r>
        <w:rPr>
          <w:iCs/>
        </w:rPr>
        <w:t>NATI</w:t>
      </w:r>
      <w:r>
        <w:rPr>
          <w:iCs/>
        </w:rPr>
        <w:t xml:space="preserve"> states that it was unable to begin the verification process in a timely manner due to “financial and administrative challenges”</w:t>
      </w:r>
      <w:r>
        <w:rPr>
          <w:rStyle w:val="FootnoteReference"/>
          <w:iCs/>
        </w:rPr>
        <w:footnoteReference w:id="15"/>
      </w:r>
      <w:r>
        <w:rPr>
          <w:iCs/>
        </w:rPr>
        <w:t xml:space="preserve"> but has since begun the verification process with USAC.</w:t>
      </w:r>
    </w:p>
    <w:p w:rsidR="00F404C9" w:rsidP="00F404C9" w14:paraId="051E40D7" w14:textId="77777777">
      <w:pPr>
        <w:pStyle w:val="Heading1"/>
      </w:pPr>
      <w:r>
        <w:t>dISCUSSION</w:t>
      </w:r>
    </w:p>
    <w:p w:rsidR="00F404C9" w:rsidP="00F404C9" w14:paraId="74AA3ADD" w14:textId="77777777">
      <w:pPr>
        <w:pStyle w:val="ParaNum"/>
      </w:pPr>
      <w:r>
        <w:t>Generally, the Commission’s rules may be waived for good cause shown.</w:t>
      </w:r>
      <w:r>
        <w:rPr>
          <w:rStyle w:val="FootnoteReference"/>
        </w:rPr>
        <w:footnoteReference w:id="16"/>
      </w:r>
      <w:r>
        <w:t xml:space="preserve">  </w:t>
      </w:r>
      <w:r w:rsidRPr="00BB3C3D">
        <w:t>W</w:t>
      </w:r>
      <w:r w:rsidRPr="00BB3C3D">
        <w:rPr>
          <w:bCs/>
        </w:rPr>
        <w:t>aiver</w:t>
      </w:r>
      <w:r w:rsidRPr="00BB3C3D">
        <w:t xml:space="preserve"> of the Commission’s rules is appropriate only if both: (1) special circumstances warrant a deviation from the general rule, and (2) such deviation will serve the public interest.</w:t>
      </w:r>
      <w:r>
        <w:rPr>
          <w:rStyle w:val="FootnoteReference"/>
          <w:spacing w:val="-2"/>
        </w:rPr>
        <w:footnoteReference w:id="17"/>
      </w:r>
      <w:r w:rsidRPr="00F6751B">
        <w:t xml:space="preserve">  </w:t>
      </w:r>
      <w:r>
        <w:t xml:space="preserve">We find good cause to partially grant </w:t>
      </w:r>
      <w:r>
        <w:t>NATI’s</w:t>
      </w:r>
      <w:r>
        <w:t xml:space="preserve"> petition for waiver and temporarily waive section 54.804(c)(iv) of our letter of credit requirement until the conclusion of USAC’s verification of the locations </w:t>
      </w:r>
      <w:r>
        <w:t>NATI</w:t>
      </w:r>
      <w:r>
        <w:t xml:space="preserve"> has certified.</w:t>
      </w:r>
    </w:p>
    <w:p w:rsidR="00F404C9" w:rsidP="00F404C9" w14:paraId="41A12A6B" w14:textId="77777777">
      <w:pPr>
        <w:pStyle w:val="ParaNum"/>
      </w:pPr>
      <w:r>
        <w:t xml:space="preserve">Specifically, </w:t>
      </w:r>
      <w:r>
        <w:t>NATI</w:t>
      </w:r>
      <w:r>
        <w:t xml:space="preserve"> may maintain its LOC at its current value until USAC has completed the verification process for the locations </w:t>
      </w:r>
      <w:r>
        <w:t>NATI</w:t>
      </w:r>
      <w:r>
        <w:t xml:space="preserve"> had certified as of March 2022.  Upon completion of the verification process, if USAC verifies that </w:t>
      </w:r>
      <w:r>
        <w:t>NATI</w:t>
      </w:r>
      <w:r>
        <w:t xml:space="preserve"> provides service to at least 20% of its eligible locations, </w:t>
      </w:r>
      <w:r>
        <w:t>NATI</w:t>
      </w:r>
      <w:r>
        <w:t xml:space="preserve"> may reduce its LOC amount to the amount of one year of support.</w:t>
      </w:r>
      <w:r>
        <w:rPr>
          <w:rStyle w:val="FootnoteReference"/>
        </w:rPr>
        <w:footnoteReference w:id="18"/>
      </w:r>
      <w:r>
        <w:t xml:space="preserve">  If USAC is unable to make that verification, however, </w:t>
      </w:r>
      <w:r>
        <w:t>NATI</w:t>
      </w:r>
      <w:r>
        <w:t xml:space="preserve"> shall obtain an LOC valued at the required amount for Auction 903 support recipients within one month of USAC notifying </w:t>
      </w:r>
      <w:r>
        <w:t>NATI</w:t>
      </w:r>
      <w:r>
        <w:t xml:space="preserve"> that the verification process is complete.  Failure to timely increase the LOC will result in all Auction 903 support being withheld until </w:t>
      </w:r>
      <w:r>
        <w:t>NATI</w:t>
      </w:r>
      <w:r>
        <w:t xml:space="preserve"> complies.     </w:t>
      </w:r>
    </w:p>
    <w:p w:rsidR="00F404C9" w:rsidP="00F404C9" w14:paraId="5EE527B5" w14:textId="77777777">
      <w:pPr>
        <w:pStyle w:val="ParaNum"/>
        <w:widowControl/>
      </w:pPr>
      <w:r>
        <w:t xml:space="preserve">We find that the adoption of these measures supports a finding of good cause to partially grant </w:t>
      </w:r>
      <w:r>
        <w:t>NATI’s</w:t>
      </w:r>
      <w:r>
        <w:t xml:space="preserve"> Petition.  Because </w:t>
      </w:r>
      <w:r>
        <w:t>NATI</w:t>
      </w:r>
      <w:r>
        <w:t xml:space="preserve"> has already certified to meeting the 20% optional milestone and because it has begun the verification process with USAC, we believe that the limited duration of this waiver will minimize any potential harm to the Universal Service Fund; additionally, because </w:t>
      </w:r>
      <w:r>
        <w:t>NATI</w:t>
      </w:r>
      <w:r>
        <w:t xml:space="preserve"> must maintain its current LOC which is worth two years of its annual support, the Commission will be able to efficiently recover funds, should the need arise.</w:t>
      </w:r>
    </w:p>
    <w:p w:rsidR="00F404C9" w:rsidP="00F404C9" w14:paraId="1831269E" w14:textId="77777777">
      <w:pPr>
        <w:pStyle w:val="ParaNum"/>
        <w:widowControl/>
      </w:pPr>
      <w:r>
        <w:t xml:space="preserve">We also find that this limited waiver will serve the public interest.  Allowing </w:t>
      </w:r>
      <w:r>
        <w:t>NATI</w:t>
      </w:r>
      <w:r>
        <w:t xml:space="preserve"> to continue receiving support during the limited duration of USAC’s verification will facilitate the deployment of broadband in the Tribal areas </w:t>
      </w:r>
      <w:r>
        <w:t>NATI</w:t>
      </w:r>
      <w:r>
        <w:t xml:space="preserve"> serves, while pausing support during USAC’s verification process could hinder the deployment of much-needed broadband services, which would be contrary to the public interest.</w:t>
      </w:r>
    </w:p>
    <w:p w:rsidR="00F404C9" w:rsidP="00F404C9" w14:paraId="30A34966" w14:textId="77777777">
      <w:pPr>
        <w:pStyle w:val="ParaNum"/>
      </w:pPr>
      <w:r>
        <w:t>We emphasize, however, that it is incumbent on Auction recipients to initiate the verification process expeditiously. USAC provides detailed instructions on the verification process,</w:t>
      </w:r>
      <w:r>
        <w:rPr>
          <w:rStyle w:val="FootnoteReference"/>
        </w:rPr>
        <w:footnoteReference w:id="19"/>
      </w:r>
      <w:r>
        <w:t xml:space="preserve"> and we expect support recipients to familiarize themselves with these materials in order to meet future deadlines.  We also note that </w:t>
      </w:r>
      <w:r>
        <w:t>NATI</w:t>
      </w:r>
      <w:r>
        <w:t xml:space="preserve"> is a winning bidder in Auction 904.</w:t>
      </w:r>
      <w:r>
        <w:rPr>
          <w:rStyle w:val="FootnoteReference"/>
        </w:rPr>
        <w:footnoteReference w:id="20"/>
      </w:r>
      <w:r>
        <w:t xml:space="preserve">  Nothing in this order affects the requirement that </w:t>
      </w:r>
      <w:r>
        <w:t>NATI</w:t>
      </w:r>
      <w:r>
        <w:t xml:space="preserve"> obtain and maintain a separate LOC for that auction in accordance with </w:t>
      </w:r>
      <w:r>
        <w:t>RDOF</w:t>
      </w:r>
      <w:r>
        <w:t xml:space="preserve"> rules.</w:t>
      </w:r>
    </w:p>
    <w:p w:rsidR="00F404C9" w:rsidP="00F404C9" w14:paraId="0343AB45" w14:textId="77777777">
      <w:pPr>
        <w:pStyle w:val="Heading1"/>
      </w:pPr>
      <w:r>
        <w:t>oRDERING cLAUSES</w:t>
      </w:r>
    </w:p>
    <w:p w:rsidR="00F404C9" w:rsidRPr="0019242C" w:rsidP="00F404C9" w14:paraId="560E280B" w14:textId="77777777">
      <w:pPr>
        <w:pStyle w:val="ParaNum"/>
      </w:pPr>
      <w:r w:rsidRPr="0019242C">
        <w:t>Accordingly, IT IS ORDERED, pursuant to sections 1, 4(i), 5(c), and 254 of the Communications Act of 1934, as amended, 47 U.S.C. §§ 151, 154(i), 155(c), 254, and sections 0.91, 0.291,</w:t>
      </w:r>
      <w:r>
        <w:t xml:space="preserve"> </w:t>
      </w:r>
      <w:r w:rsidRPr="0019242C">
        <w:t>and 1.3 of the Commission’s rules, 47 CFR §§ 0.91, 0.291,</w:t>
      </w:r>
      <w:r>
        <w:t xml:space="preserve"> </w:t>
      </w:r>
      <w:r w:rsidRPr="0019242C">
        <w:t>1.3, that this Order IS ADOPTED.</w:t>
      </w:r>
    </w:p>
    <w:p w:rsidR="00F404C9" w:rsidP="00F404C9" w14:paraId="78230DC1" w14:textId="77777777">
      <w:pPr>
        <w:pStyle w:val="ParaNum"/>
      </w:pPr>
      <w:r w:rsidRPr="0019242C">
        <w:t>IT IS FURTHER ORDERED that</w:t>
      </w:r>
      <w:r>
        <w:t xml:space="preserve"> the petition for waiver filed by Northern Arapaho Tribal Industries IS PARTIALLY GRANTED </w:t>
      </w:r>
      <w:r w:rsidRPr="0019242C">
        <w:t>as described herein</w:t>
      </w:r>
      <w:r>
        <w:t>.</w:t>
      </w:r>
    </w:p>
    <w:p w:rsidR="00F404C9" w:rsidP="00F404C9" w14:paraId="73D39B33" w14:textId="77777777">
      <w:pPr>
        <w:pStyle w:val="ParaNum"/>
      </w:pPr>
      <w:r w:rsidRPr="0019242C">
        <w:t>IT IS FURTHER ORDERED that, pursuant to section 1.102(b)(1) of the Commission’s rules, 47 CFR § 1.102(b)(1), this Order SHALL BE EFFECTIVE upon release.</w:t>
      </w:r>
    </w:p>
    <w:p w:rsidR="00F404C9" w:rsidP="00F404C9" w14:paraId="17F5D78F" w14:textId="77777777">
      <w:pPr>
        <w:pStyle w:val="ParaNum"/>
        <w:numPr>
          <w:ilvl w:val="0"/>
          <w:numId w:val="0"/>
        </w:numPr>
      </w:pPr>
    </w:p>
    <w:p w:rsidR="00F404C9" w:rsidP="00F404C9" w14:paraId="4D5B4F4E" w14:textId="2D59BE8B">
      <w:pPr>
        <w:pStyle w:val="ParaNum"/>
        <w:numPr>
          <w:ilvl w:val="0"/>
          <w:numId w:val="0"/>
        </w:numPr>
      </w:pPr>
    </w:p>
    <w:p w:rsidR="00035A22" w:rsidP="00F404C9" w14:paraId="66EFB3CF" w14:textId="77777777">
      <w:pPr>
        <w:pStyle w:val="ParaNum"/>
        <w:numPr>
          <w:ilvl w:val="0"/>
          <w:numId w:val="0"/>
        </w:numPr>
      </w:pPr>
    </w:p>
    <w:p w:rsidR="00F404C9" w:rsidP="00F404C9" w14:paraId="42FE52AE" w14:textId="77777777">
      <w:r>
        <w:tab/>
      </w:r>
      <w:r>
        <w:tab/>
      </w:r>
      <w:r>
        <w:tab/>
      </w:r>
      <w:r>
        <w:tab/>
      </w:r>
      <w:r>
        <w:tab/>
      </w:r>
      <w:r>
        <w:tab/>
        <w:t>FEDERAL COMMUNICATIONS COMMISSION</w:t>
      </w:r>
    </w:p>
    <w:p w:rsidR="00F404C9" w:rsidP="00F404C9" w14:paraId="31B6B3E7" w14:textId="77777777"/>
    <w:p w:rsidR="00F404C9" w:rsidP="00F404C9" w14:paraId="492084D3" w14:textId="77777777"/>
    <w:p w:rsidR="00F404C9" w:rsidP="00F404C9" w14:paraId="7F947FAB" w14:textId="77777777"/>
    <w:p w:rsidR="00F404C9" w:rsidP="00F404C9" w14:paraId="7EF2CE56" w14:textId="77777777"/>
    <w:p w:rsidR="00F404C9" w:rsidP="00F404C9" w14:paraId="43E2A5F7" w14:textId="1984B8B8">
      <w:r>
        <w:tab/>
      </w:r>
      <w:r>
        <w:tab/>
      </w:r>
      <w:r>
        <w:tab/>
      </w:r>
      <w:r>
        <w:tab/>
      </w:r>
      <w:r>
        <w:tab/>
      </w:r>
      <w:r>
        <w:tab/>
        <w:t xml:space="preserve">Trent </w:t>
      </w:r>
      <w:r>
        <w:t xml:space="preserve">B. </w:t>
      </w:r>
      <w:r>
        <w:t>Harkrader</w:t>
      </w:r>
    </w:p>
    <w:p w:rsidR="00F404C9" w:rsidP="00F404C9" w14:paraId="6905BDC9" w14:textId="77777777">
      <w:r>
        <w:tab/>
      </w:r>
      <w:r>
        <w:tab/>
      </w:r>
      <w:r>
        <w:tab/>
      </w:r>
      <w:r>
        <w:tab/>
      </w:r>
      <w:r>
        <w:tab/>
      </w:r>
      <w:r>
        <w:tab/>
        <w:t>Chief</w:t>
      </w:r>
    </w:p>
    <w:p w:rsidR="00F404C9" w:rsidRPr="00F404C9" w:rsidP="00F404C9" w14:paraId="771BE2DC" w14:textId="663954C5">
      <w:r>
        <w:tab/>
      </w:r>
      <w:r>
        <w:tab/>
      </w:r>
      <w:r>
        <w:tab/>
      </w:r>
      <w:r>
        <w:tab/>
      </w:r>
      <w:r>
        <w:tab/>
      </w:r>
      <w:r>
        <w:tab/>
        <w:t>Wireline Competition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057575C2"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33505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1BE71ACA"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70F3698B"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404C9" w14:paraId="20D32079" w14:textId="77777777">
      <w:r>
        <w:separator/>
      </w:r>
    </w:p>
  </w:footnote>
  <w:footnote w:type="continuationSeparator" w:id="1">
    <w:p w:rsidR="00F404C9" w:rsidP="00C721AC" w14:paraId="12189E09" w14:textId="77777777">
      <w:pPr>
        <w:spacing w:before="120"/>
        <w:rPr>
          <w:sz w:val="20"/>
        </w:rPr>
      </w:pPr>
      <w:r>
        <w:rPr>
          <w:sz w:val="20"/>
        </w:rPr>
        <w:t xml:space="preserve">(Continued from previous page)  </w:t>
      </w:r>
      <w:r>
        <w:rPr>
          <w:sz w:val="20"/>
        </w:rPr>
        <w:separator/>
      </w:r>
    </w:p>
  </w:footnote>
  <w:footnote w:type="continuationNotice" w:id="2">
    <w:p w:rsidR="00F404C9" w:rsidP="00C721AC" w14:paraId="4AF164F2" w14:textId="77777777">
      <w:pPr>
        <w:jc w:val="right"/>
        <w:rPr>
          <w:sz w:val="20"/>
        </w:rPr>
      </w:pPr>
      <w:r>
        <w:rPr>
          <w:sz w:val="20"/>
        </w:rPr>
        <w:t>(continued….)</w:t>
      </w:r>
    </w:p>
  </w:footnote>
  <w:footnote w:id="3">
    <w:p w:rsidR="00F404C9" w:rsidP="00F404C9" w14:paraId="243C2709" w14:textId="77777777">
      <w:pPr>
        <w:pStyle w:val="FootnoteText"/>
      </w:pPr>
      <w:r>
        <w:rPr>
          <w:rStyle w:val="FootnoteReference"/>
        </w:rPr>
        <w:footnoteRef/>
      </w:r>
      <w:r>
        <w:t xml:space="preserve"> Petition for Temporary Waiver of August 1, 2022 Amended Letter of Credit Deadline, WC Docket No. 10-90, AU Docket No. 17-182 (filed July 28, 2022) (</w:t>
      </w:r>
      <w:r>
        <w:rPr>
          <w:i/>
          <w:iCs/>
        </w:rPr>
        <w:t>NATI</w:t>
      </w:r>
      <w:r>
        <w:rPr>
          <w:i/>
          <w:iCs/>
        </w:rPr>
        <w:t xml:space="preserve"> Petition</w:t>
      </w:r>
      <w:r>
        <w:t>).</w:t>
      </w:r>
    </w:p>
  </w:footnote>
  <w:footnote w:id="4">
    <w:p w:rsidR="00F404C9" w:rsidP="00F404C9" w14:paraId="32B23F3D" w14:textId="77777777">
      <w:pPr>
        <w:pStyle w:val="FootnoteText"/>
      </w:pPr>
      <w:r>
        <w:rPr>
          <w:rStyle w:val="FootnoteReference"/>
        </w:rPr>
        <w:footnoteRef/>
      </w:r>
      <w:r>
        <w:t xml:space="preserve"> 47 CFR § 54.315(c); </w:t>
      </w:r>
      <w:r w:rsidRPr="00B03C2A">
        <w:rPr>
          <w:i/>
          <w:iCs/>
        </w:rPr>
        <w:t>Connect America Fund et al.</w:t>
      </w:r>
      <w:r>
        <w:t xml:space="preserve">, Report and Order and Further Notice of Proposed Rulemaking, 31 FCC </w:t>
      </w:r>
      <w:r>
        <w:t>Rcd</w:t>
      </w:r>
      <w:r>
        <w:t xml:space="preserve"> 5949, 5989-99, paras. 119-40 (2016) (</w:t>
      </w:r>
      <w:r w:rsidRPr="00B03C2A">
        <w:rPr>
          <w:i/>
          <w:iCs/>
        </w:rPr>
        <w:t>CAF Phase II Auction Order</w:t>
      </w:r>
      <w:r>
        <w:t>).</w:t>
      </w:r>
    </w:p>
  </w:footnote>
  <w:footnote w:id="5">
    <w:p w:rsidR="00F404C9" w:rsidP="00F404C9" w14:paraId="7B30DF1F" w14:textId="77777777">
      <w:pPr>
        <w:pStyle w:val="FootnoteText"/>
      </w:pPr>
      <w:r>
        <w:rPr>
          <w:rStyle w:val="FootnoteReference"/>
        </w:rPr>
        <w:footnoteRef/>
      </w:r>
      <w:r>
        <w:t xml:space="preserve"> 47 CFR § 54.315(c)(1).</w:t>
      </w:r>
    </w:p>
  </w:footnote>
  <w:footnote w:id="6">
    <w:p w:rsidR="00F404C9" w:rsidRPr="001065D8" w:rsidP="00F404C9" w14:paraId="1CECB1E8" w14:textId="77777777">
      <w:pPr>
        <w:pStyle w:val="FootnoteText"/>
      </w:pPr>
      <w:r>
        <w:rPr>
          <w:rStyle w:val="FootnoteReference"/>
        </w:rPr>
        <w:footnoteRef/>
      </w:r>
      <w:r>
        <w:t xml:space="preserve"> </w:t>
      </w:r>
      <w:r>
        <w:rPr>
          <w:i/>
          <w:iCs/>
        </w:rPr>
        <w:t>See Connect America Fund, et al.</w:t>
      </w:r>
      <w:r>
        <w:t xml:space="preserve">, Order, 35 FCC </w:t>
      </w:r>
      <w:r>
        <w:t>Rcd</w:t>
      </w:r>
      <w:r>
        <w:t xml:space="preserve"> 6556 (WCB 2020) (</w:t>
      </w:r>
      <w:r w:rsidRPr="007C3069">
        <w:rPr>
          <w:i/>
          <w:iCs/>
        </w:rPr>
        <w:t>2020</w:t>
      </w:r>
      <w:r>
        <w:t xml:space="preserve"> </w:t>
      </w:r>
      <w:r w:rsidRPr="00610C2C">
        <w:rPr>
          <w:i/>
          <w:iCs/>
        </w:rPr>
        <w:t>Letter of Credit Waiver Order</w:t>
      </w:r>
      <w:r>
        <w:t>).</w:t>
      </w:r>
    </w:p>
  </w:footnote>
  <w:footnote w:id="7">
    <w:p w:rsidR="00F404C9" w:rsidRPr="00997E23" w:rsidP="00F404C9" w14:paraId="3F71DEAF" w14:textId="77777777">
      <w:pPr>
        <w:pStyle w:val="FootnoteText"/>
      </w:pPr>
      <w:r>
        <w:rPr>
          <w:rStyle w:val="FootnoteReference"/>
        </w:rPr>
        <w:footnoteRef/>
      </w:r>
      <w:r>
        <w:t xml:space="preserve"> </w:t>
      </w:r>
      <w:r>
        <w:rPr>
          <w:i/>
          <w:iCs/>
        </w:rPr>
        <w:t>See Connect America Fund, et al.</w:t>
      </w:r>
      <w:r>
        <w:t>, Order, DA 21-1502 (WCB 2021) (</w:t>
      </w:r>
      <w:r>
        <w:rPr>
          <w:i/>
          <w:iCs/>
        </w:rPr>
        <w:t>2021 Letter of Credit Waiver Extension Order</w:t>
      </w:r>
      <w:r>
        <w:t>).</w:t>
      </w:r>
    </w:p>
  </w:footnote>
  <w:footnote w:id="8">
    <w:p w:rsidR="00F404C9" w:rsidP="00F404C9" w14:paraId="0E78AB68" w14:textId="77777777">
      <w:pPr>
        <w:pStyle w:val="FootnoteText"/>
      </w:pPr>
      <w:r>
        <w:rPr>
          <w:rStyle w:val="FootnoteReference"/>
        </w:rPr>
        <w:footnoteRef/>
      </w:r>
      <w:r>
        <w:t xml:space="preserve"> </w:t>
      </w:r>
      <w:r w:rsidRPr="007C3069">
        <w:rPr>
          <w:i/>
          <w:iCs/>
        </w:rPr>
        <w:t>2020</w:t>
      </w:r>
      <w:r>
        <w:t xml:space="preserve"> </w:t>
      </w:r>
      <w:r w:rsidRPr="00610C2C">
        <w:rPr>
          <w:i/>
          <w:iCs/>
        </w:rPr>
        <w:t>Letter of Credit Waiver Order</w:t>
      </w:r>
      <w:r>
        <w:t xml:space="preserve">, 35 FCC </w:t>
      </w:r>
      <w:r>
        <w:t>Rcd</w:t>
      </w:r>
      <w:r>
        <w:t xml:space="preserve"> at 6558, para. 7.</w:t>
      </w:r>
    </w:p>
  </w:footnote>
  <w:footnote w:id="9">
    <w:p w:rsidR="00F404C9" w:rsidP="00F404C9" w14:paraId="4654615D" w14:textId="77777777">
      <w:pPr>
        <w:pStyle w:val="FootnoteText"/>
      </w:pPr>
      <w:r>
        <w:rPr>
          <w:rStyle w:val="FootnoteReference"/>
        </w:rPr>
        <w:footnoteRef/>
      </w:r>
      <w:r>
        <w:t xml:space="preserve"> 47 CFR § 54.804(c)(1)(i)-(iv).</w:t>
      </w:r>
    </w:p>
  </w:footnote>
  <w:footnote w:id="10">
    <w:p w:rsidR="00F404C9" w:rsidP="00F404C9" w14:paraId="2E28098C" w14:textId="77777777">
      <w:pPr>
        <w:pStyle w:val="FootnoteText"/>
      </w:pPr>
      <w:r>
        <w:rPr>
          <w:rStyle w:val="FootnoteReference"/>
        </w:rPr>
        <w:footnoteRef/>
      </w:r>
      <w:r>
        <w:t xml:space="preserve"> 47 CFR § 54.804(c)(1)(v).</w:t>
      </w:r>
    </w:p>
  </w:footnote>
  <w:footnote w:id="11">
    <w:p w:rsidR="00F404C9" w:rsidP="00F404C9" w14:paraId="510314C1" w14:textId="77777777">
      <w:pPr>
        <w:pStyle w:val="FootnoteText"/>
      </w:pPr>
      <w:r>
        <w:rPr>
          <w:rStyle w:val="FootnoteReference"/>
        </w:rPr>
        <w:footnoteRef/>
      </w:r>
      <w:r>
        <w:t xml:space="preserve"> </w:t>
      </w:r>
      <w:r>
        <w:t>NATI</w:t>
      </w:r>
      <w:r>
        <w:t xml:space="preserve"> Petition at 1.</w:t>
      </w:r>
    </w:p>
  </w:footnote>
  <w:footnote w:id="12">
    <w:p w:rsidR="00F404C9" w:rsidP="00F404C9" w14:paraId="7E40023B" w14:textId="5C16FF6F">
      <w:pPr>
        <w:pStyle w:val="FootnoteText"/>
      </w:pPr>
      <w:r>
        <w:rPr>
          <w:rStyle w:val="FootnoteReference"/>
        </w:rPr>
        <w:footnoteRef/>
      </w:r>
      <w:r>
        <w:t xml:space="preserve"> </w:t>
      </w:r>
      <w:r w:rsidRPr="00F404C9">
        <w:rPr>
          <w:i/>
          <w:iCs/>
        </w:rPr>
        <w:t>Id.</w:t>
      </w:r>
      <w:r>
        <w:t>; 47 CFR § 54.804(c)(1)(iv).</w:t>
      </w:r>
    </w:p>
  </w:footnote>
  <w:footnote w:id="13">
    <w:p w:rsidR="00F404C9" w:rsidP="00F404C9" w14:paraId="78A294A1" w14:textId="77777777">
      <w:pPr>
        <w:pStyle w:val="FootnoteText"/>
      </w:pPr>
      <w:r>
        <w:rPr>
          <w:rStyle w:val="FootnoteReference"/>
        </w:rPr>
        <w:footnoteRef/>
      </w:r>
      <w:r>
        <w:t xml:space="preserve"> </w:t>
      </w:r>
      <w:r>
        <w:t>NATI</w:t>
      </w:r>
      <w:r>
        <w:t xml:space="preserve"> Petition at 5-6.</w:t>
      </w:r>
    </w:p>
  </w:footnote>
  <w:footnote w:id="14">
    <w:p w:rsidR="00F404C9" w:rsidP="00F404C9" w14:paraId="102CE6CB" w14:textId="6257DCE9">
      <w:pPr>
        <w:pStyle w:val="FootnoteText"/>
      </w:pPr>
      <w:r>
        <w:rPr>
          <w:rStyle w:val="FootnoteReference"/>
        </w:rPr>
        <w:footnoteRef/>
      </w:r>
      <w:r>
        <w:t xml:space="preserve"> </w:t>
      </w:r>
      <w:r w:rsidRPr="00F404C9">
        <w:rPr>
          <w:i/>
          <w:iCs/>
        </w:rPr>
        <w:t>Id.</w:t>
      </w:r>
      <w:r>
        <w:t xml:space="preserve"> at 2.  </w:t>
      </w:r>
      <w:r>
        <w:t>NATI</w:t>
      </w:r>
      <w:r>
        <w:t xml:space="preserve"> states that it has deployed to over 27% of its locations and submitted and certified this data with USAC.  </w:t>
      </w:r>
      <w:r w:rsidRPr="00D97B39">
        <w:rPr>
          <w:i/>
          <w:iCs/>
        </w:rPr>
        <w:t>Id</w:t>
      </w:r>
      <w:r>
        <w:t>.</w:t>
      </w:r>
    </w:p>
  </w:footnote>
  <w:footnote w:id="15">
    <w:p w:rsidR="00F404C9" w:rsidP="00F404C9" w14:paraId="259EA86E" w14:textId="3A209780">
      <w:pPr>
        <w:pStyle w:val="FootnoteText"/>
      </w:pPr>
      <w:r>
        <w:rPr>
          <w:rStyle w:val="FootnoteReference"/>
        </w:rPr>
        <w:footnoteRef/>
      </w:r>
      <w:r>
        <w:t xml:space="preserve"> </w:t>
      </w:r>
      <w:r w:rsidRPr="00F404C9">
        <w:rPr>
          <w:i/>
          <w:iCs/>
        </w:rPr>
        <w:t>Id</w:t>
      </w:r>
      <w:r w:rsidRPr="00F404C9">
        <w:rPr>
          <w:i/>
          <w:iCs/>
        </w:rPr>
        <w:t>.</w:t>
      </w:r>
    </w:p>
  </w:footnote>
  <w:footnote w:id="16">
    <w:p w:rsidR="00F404C9" w:rsidP="00F404C9" w14:paraId="52B03DA8" w14:textId="77777777">
      <w:pPr>
        <w:pStyle w:val="FootnoteText"/>
      </w:pPr>
      <w:r>
        <w:rPr>
          <w:rStyle w:val="FootnoteReference"/>
        </w:rPr>
        <w:footnoteRef/>
      </w:r>
      <w:r>
        <w:t xml:space="preserve"> </w:t>
      </w:r>
      <w:r w:rsidRPr="007F4A5D">
        <w:t>47 CFR § 1.3</w:t>
      </w:r>
      <w:r>
        <w:t>.</w:t>
      </w:r>
    </w:p>
  </w:footnote>
  <w:footnote w:id="17">
    <w:p w:rsidR="00F404C9" w:rsidRPr="008C2A06" w:rsidP="00F404C9" w14:paraId="4E3A2AA0" w14:textId="77777777">
      <w:pPr>
        <w:pStyle w:val="FootnoteText"/>
      </w:pPr>
      <w:r w:rsidRPr="008C2A06">
        <w:rPr>
          <w:rStyle w:val="FootnoteReference"/>
        </w:rPr>
        <w:footnoteRef/>
      </w:r>
      <w:r w:rsidRPr="008C2A06">
        <w:t xml:space="preserve"> </w:t>
      </w:r>
      <w:r w:rsidRPr="008C2A06">
        <w:rPr>
          <w:i/>
        </w:rPr>
        <w:t>See Northeast Cellular Tel. Co. v. FCC</w:t>
      </w:r>
      <w:r w:rsidRPr="008C2A06">
        <w:t xml:space="preserve">, 897 F.2d 1164, 1166 (D.C. Cir. 1990) (citing </w:t>
      </w:r>
      <w:r w:rsidRPr="008C2A06">
        <w:rPr>
          <w:i/>
        </w:rPr>
        <w:t>WAIT Radio v. FCC</w:t>
      </w:r>
      <w:r w:rsidRPr="008C2A06">
        <w:t xml:space="preserve">, 418 F.2d 1153, 1157-59 (D.C. Cir. 1969), </w:t>
      </w:r>
      <w:r w:rsidRPr="008C2A06">
        <w:rPr>
          <w:i/>
        </w:rPr>
        <w:t>cert. denied</w:t>
      </w:r>
      <w:r>
        <w:t xml:space="preserve">, 93 </w:t>
      </w:r>
      <w:r>
        <w:t>S.Ct</w:t>
      </w:r>
      <w:r>
        <w:t>. 461 (1972)) (</w:t>
      </w:r>
      <w:r w:rsidRPr="00691864">
        <w:rPr>
          <w:i/>
        </w:rPr>
        <w:t>Northeast Cellular</w:t>
      </w:r>
      <w:r>
        <w:t>).</w:t>
      </w:r>
      <w:r w:rsidRPr="008C2A06">
        <w:rPr>
          <w:i/>
        </w:rPr>
        <w:t xml:space="preserve"> </w:t>
      </w:r>
    </w:p>
  </w:footnote>
  <w:footnote w:id="18">
    <w:p w:rsidR="00F404C9" w:rsidP="00F404C9" w14:paraId="288218BD" w14:textId="77777777">
      <w:pPr>
        <w:pStyle w:val="FootnoteText"/>
      </w:pPr>
      <w:r>
        <w:rPr>
          <w:rStyle w:val="FootnoteReference"/>
        </w:rPr>
        <w:footnoteRef/>
      </w:r>
      <w:r>
        <w:t xml:space="preserve"> 47 CFR § 54.804(c)(1)(v).</w:t>
      </w:r>
    </w:p>
  </w:footnote>
  <w:footnote w:id="19">
    <w:p w:rsidR="00F404C9" w:rsidP="00F404C9" w14:paraId="21FBD19F" w14:textId="0DA00B61">
      <w:pPr>
        <w:pStyle w:val="FootnoteText"/>
      </w:pPr>
      <w:r>
        <w:rPr>
          <w:rStyle w:val="FootnoteReference"/>
        </w:rPr>
        <w:footnoteRef/>
      </w:r>
      <w:r>
        <w:t xml:space="preserve"> </w:t>
      </w:r>
      <w:r w:rsidRPr="00C707AD">
        <w:t>USAC</w:t>
      </w:r>
      <w:r>
        <w:t xml:space="preserve">, </w:t>
      </w:r>
      <w:r w:rsidRPr="00C707AD">
        <w:t>High Cost</w:t>
      </w:r>
      <w:r>
        <w:t xml:space="preserve">, </w:t>
      </w:r>
      <w:r w:rsidRPr="00C707AD">
        <w:t>Resources</w:t>
      </w:r>
      <w:r>
        <w:t xml:space="preserve">, </w:t>
      </w:r>
      <w:r w:rsidRPr="00C707AD">
        <w:t>Fund Verification Reviews</w:t>
      </w:r>
      <w:r>
        <w:t xml:space="preserve">, </w:t>
      </w:r>
      <w:hyperlink r:id="rId1" w:history="1">
        <w:r w:rsidRPr="00C707AD">
          <w:rPr>
            <w:rStyle w:val="Hyperlink"/>
          </w:rPr>
          <w:t>https://www.usac.org/high-cost/resources/fund-verification-reviews/</w:t>
        </w:r>
      </w:hyperlink>
      <w:r>
        <w:t xml:space="preserve"> (last visited </w:t>
      </w:r>
      <w:r w:rsidR="00035A22">
        <w:t>Aug. 9, 2022</w:t>
      </w:r>
      <w:r>
        <w:t>)</w:t>
      </w:r>
      <w:r w:rsidR="00035A22">
        <w:t>.</w:t>
      </w:r>
    </w:p>
  </w:footnote>
  <w:footnote w:id="20">
    <w:p w:rsidR="00F404C9" w:rsidRPr="00E7372B" w:rsidP="00F404C9" w14:paraId="54A574C3" w14:textId="77777777">
      <w:pPr>
        <w:pStyle w:val="FootnoteText"/>
      </w:pPr>
      <w:r>
        <w:rPr>
          <w:rStyle w:val="FootnoteReference"/>
        </w:rPr>
        <w:footnoteRef/>
      </w:r>
      <w:r>
        <w:t xml:space="preserve"> </w:t>
      </w:r>
      <w:r>
        <w:rPr>
          <w:i/>
          <w:iCs/>
        </w:rPr>
        <w:t xml:space="preserve">See Auction 904 </w:t>
      </w:r>
      <w:r>
        <w:rPr>
          <w:i/>
          <w:iCs/>
        </w:rPr>
        <w:t>ETC</w:t>
      </w:r>
      <w:r>
        <w:rPr>
          <w:i/>
          <w:iCs/>
        </w:rPr>
        <w:t xml:space="preserve"> Designation Order</w:t>
      </w:r>
      <w:r>
        <w:t xml:space="preserve">, Order, 36 FCC </w:t>
      </w:r>
      <w:r>
        <w:t>Rcd</w:t>
      </w:r>
      <w:r>
        <w:t xml:space="preserve"> 9384 (WCB 2021) (designating </w:t>
      </w:r>
      <w:r>
        <w:t>NATI</w:t>
      </w:r>
      <w:r>
        <w:t xml:space="preserve"> as an </w:t>
      </w:r>
      <w:r>
        <w:t>ETC</w:t>
      </w:r>
      <w:r>
        <w:t xml:space="preserve"> in the areas where it was the winning bidder in Auction 904).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92707F8" w14:textId="27BFE2D4">
    <w:pPr>
      <w:pStyle w:val="Header"/>
      <w:rPr>
        <w:b w:val="0"/>
      </w:rPr>
    </w:pPr>
    <w:r>
      <w:tab/>
      <w:t>Federal Communications Commission</w:t>
    </w:r>
    <w:r>
      <w:tab/>
    </w:r>
    <w:r w:rsidR="00035A22">
      <w:t>DA  22-842</w:t>
    </w:r>
  </w:p>
  <w:p w:rsidR="00D25FB5" w14:paraId="6969A20A"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147A37AC"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74353FC" w14:textId="727C52B4">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035A22">
      <w:rPr>
        <w:spacing w:val="-2"/>
      </w:rPr>
      <w:t>DA  22-842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4C9"/>
    <w:rsid w:val="00035A22"/>
    <w:rsid w:val="00036039"/>
    <w:rsid w:val="00037F90"/>
    <w:rsid w:val="000875BF"/>
    <w:rsid w:val="00096D8C"/>
    <w:rsid w:val="000C0B65"/>
    <w:rsid w:val="000E05FE"/>
    <w:rsid w:val="000E3D42"/>
    <w:rsid w:val="001065D8"/>
    <w:rsid w:val="00122BD5"/>
    <w:rsid w:val="00133C02"/>
    <w:rsid w:val="00133F79"/>
    <w:rsid w:val="0019242C"/>
    <w:rsid w:val="00194A66"/>
    <w:rsid w:val="001D6BCF"/>
    <w:rsid w:val="001E01CA"/>
    <w:rsid w:val="001F32EA"/>
    <w:rsid w:val="00275CF5"/>
    <w:rsid w:val="0028301F"/>
    <w:rsid w:val="00285017"/>
    <w:rsid w:val="002A2D2E"/>
    <w:rsid w:val="002C00E8"/>
    <w:rsid w:val="00343749"/>
    <w:rsid w:val="003660ED"/>
    <w:rsid w:val="003B0550"/>
    <w:rsid w:val="003B694F"/>
    <w:rsid w:val="003F171C"/>
    <w:rsid w:val="00412FC5"/>
    <w:rsid w:val="00422276"/>
    <w:rsid w:val="004242F1"/>
    <w:rsid w:val="00445A00"/>
    <w:rsid w:val="00451B0F"/>
    <w:rsid w:val="004C2EE3"/>
    <w:rsid w:val="004E4A22"/>
    <w:rsid w:val="00511968"/>
    <w:rsid w:val="0055614C"/>
    <w:rsid w:val="00566D06"/>
    <w:rsid w:val="005E14C2"/>
    <w:rsid w:val="00607BA5"/>
    <w:rsid w:val="00610C2C"/>
    <w:rsid w:val="0061180A"/>
    <w:rsid w:val="00626EB6"/>
    <w:rsid w:val="00655D03"/>
    <w:rsid w:val="00683388"/>
    <w:rsid w:val="00683F84"/>
    <w:rsid w:val="00691864"/>
    <w:rsid w:val="006A6A81"/>
    <w:rsid w:val="006D6D46"/>
    <w:rsid w:val="006F7393"/>
    <w:rsid w:val="0070224F"/>
    <w:rsid w:val="007115F7"/>
    <w:rsid w:val="00785689"/>
    <w:rsid w:val="0079754B"/>
    <w:rsid w:val="007A1E6D"/>
    <w:rsid w:val="007B0EB2"/>
    <w:rsid w:val="007C3069"/>
    <w:rsid w:val="007F4A5D"/>
    <w:rsid w:val="00810B6F"/>
    <w:rsid w:val="00822CE0"/>
    <w:rsid w:val="00841AB1"/>
    <w:rsid w:val="008C2A06"/>
    <w:rsid w:val="008C68F1"/>
    <w:rsid w:val="00921803"/>
    <w:rsid w:val="00926503"/>
    <w:rsid w:val="009726D8"/>
    <w:rsid w:val="00997E23"/>
    <w:rsid w:val="009D7308"/>
    <w:rsid w:val="009F76DB"/>
    <w:rsid w:val="00A32C3B"/>
    <w:rsid w:val="00A45F4F"/>
    <w:rsid w:val="00A600A9"/>
    <w:rsid w:val="00AA55B7"/>
    <w:rsid w:val="00AA5B9E"/>
    <w:rsid w:val="00AB2407"/>
    <w:rsid w:val="00AB53DF"/>
    <w:rsid w:val="00B03C2A"/>
    <w:rsid w:val="00B07E5C"/>
    <w:rsid w:val="00B811F7"/>
    <w:rsid w:val="00BA5DC6"/>
    <w:rsid w:val="00BA6196"/>
    <w:rsid w:val="00BB3C3D"/>
    <w:rsid w:val="00BC6D8C"/>
    <w:rsid w:val="00C34006"/>
    <w:rsid w:val="00C36B4C"/>
    <w:rsid w:val="00C426B1"/>
    <w:rsid w:val="00C43DCE"/>
    <w:rsid w:val="00C66160"/>
    <w:rsid w:val="00C707AD"/>
    <w:rsid w:val="00C721AC"/>
    <w:rsid w:val="00C90D6A"/>
    <w:rsid w:val="00C9299B"/>
    <w:rsid w:val="00CA247E"/>
    <w:rsid w:val="00CA6D21"/>
    <w:rsid w:val="00CC72B6"/>
    <w:rsid w:val="00D0218D"/>
    <w:rsid w:val="00D25FB5"/>
    <w:rsid w:val="00D3563D"/>
    <w:rsid w:val="00D44223"/>
    <w:rsid w:val="00D97B39"/>
    <w:rsid w:val="00DA2529"/>
    <w:rsid w:val="00DB130A"/>
    <w:rsid w:val="00DB2EBB"/>
    <w:rsid w:val="00DC10A1"/>
    <w:rsid w:val="00DC655F"/>
    <w:rsid w:val="00DD0B59"/>
    <w:rsid w:val="00DD7EBD"/>
    <w:rsid w:val="00DF62B6"/>
    <w:rsid w:val="00E07225"/>
    <w:rsid w:val="00E5409F"/>
    <w:rsid w:val="00E7372B"/>
    <w:rsid w:val="00EE6488"/>
    <w:rsid w:val="00F021FA"/>
    <w:rsid w:val="00F404C9"/>
    <w:rsid w:val="00F62E97"/>
    <w:rsid w:val="00F64209"/>
    <w:rsid w:val="00F6751B"/>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10CB991"/>
  <w15:chartTrackingRefBased/>
  <w15:docId w15:val="{7AD0E7EF-A921-41D7-9C28-95F6D2593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 Cha,ALTS FOOTNOTE Char Char,ALTS FOOTNOTE Char Char Char Char,Footnote Text Char Char,Footnote Text Char Char Char Char,Footnote Text Char1,Footnote Text Char1 Char Char,f,fn Char,fn Char Char,fn Char Char Char Char,fn Char1"/>
    <w:link w:val="FootnoteTextChar"/>
    <w:rsid w:val="000E3D42"/>
    <w:pPr>
      <w:spacing w:after="120"/>
    </w:pPr>
  </w:style>
  <w:style w:type="character" w:styleId="FootnoteReference">
    <w:name w:val="footnote reference"/>
    <w:aliases w:val="(NECG) Footnote Reference,-E Funotenzeichen,A,Appel note de bas de p,FR,Footnote Reference/,Footnote Reference1,Ref,Style 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Heading1Char">
    <w:name w:val="Heading 1 Char"/>
    <w:link w:val="Heading1"/>
    <w:rsid w:val="00F404C9"/>
    <w:rPr>
      <w:rFonts w:ascii="Times New Roman Bold" w:hAnsi="Times New Roman Bold"/>
      <w:b/>
      <w:caps/>
      <w:snapToGrid w:val="0"/>
      <w:kern w:val="28"/>
      <w:sz w:val="22"/>
    </w:rPr>
  </w:style>
  <w:style w:type="character" w:customStyle="1" w:styleId="FootnoteTextChar">
    <w:name w:val="Footnote Text Char"/>
    <w:aliases w:val="ALTS FOOTNOTE Cha Char,ALTS FOOTNOTE Char Char Char,ALTS FOOTNOTE Char Char Char Char Char,Footnote Text Char Char Char,Footnote Text Char Char Char Char Char,Footnote Text Char1 Char,Footnote Text Char1 Char Char Char,f Char"/>
    <w:basedOn w:val="DefaultParagraphFont"/>
    <w:link w:val="FootnoteText"/>
    <w:rsid w:val="00F404C9"/>
  </w:style>
  <w:style w:type="character" w:customStyle="1" w:styleId="ParaNumChar">
    <w:name w:val="ParaNum Char"/>
    <w:link w:val="ParaNum"/>
    <w:locked/>
    <w:rsid w:val="00F404C9"/>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usac.org/high-cost/resources/fund-verification-reviews/"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