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4C2EE3" w14:paraId="149D6258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74D27A72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49B05542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0CC3A9E9" w14:textId="77777777"/>
    <w:p w:rsidR="004C2EE3" w:rsidP="0070224F" w14:paraId="4959F675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52980E68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:rsidRPr="004D2073" w14:paraId="1B50C3CB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4D2073">
              <w:rPr>
                <w:spacing w:val="-2"/>
                <w:szCs w:val="22"/>
              </w:rPr>
              <w:t>In the Matter of</w:t>
            </w:r>
          </w:p>
          <w:p w:rsidR="004C2EE3" w:rsidRPr="004D2073" w14:paraId="0473FBB2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4C2EE3" w:rsidRPr="004D2073" w:rsidP="007115F7" w14:paraId="38615556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4D2073">
              <w:rPr>
                <w:spacing w:val="-2"/>
                <w:szCs w:val="22"/>
              </w:rPr>
              <w:t>Lifeline and Link Up Reform and Modernization</w:t>
            </w:r>
          </w:p>
          <w:p w:rsidR="00576152" w:rsidRPr="004D2073" w:rsidP="00576152" w14:paraId="32C3D28C" w14:textId="77777777">
            <w:pPr>
              <w:rPr>
                <w:snapToGrid/>
                <w:kern w:val="0"/>
                <w:szCs w:val="22"/>
                <w:lang w:bidi="he-IL"/>
              </w:rPr>
            </w:pPr>
          </w:p>
          <w:p w:rsidR="00576152" w:rsidRPr="004D2073" w:rsidP="00576152" w14:paraId="17349681" w14:textId="3D59A2B5">
            <w:pPr>
              <w:rPr>
                <w:snapToGrid/>
                <w:kern w:val="0"/>
                <w:szCs w:val="22"/>
                <w:lang w:bidi="he-IL"/>
              </w:rPr>
            </w:pPr>
            <w:r w:rsidRPr="00576152">
              <w:rPr>
                <w:snapToGrid/>
                <w:kern w:val="0"/>
                <w:szCs w:val="22"/>
                <w:lang w:bidi="he-IL"/>
              </w:rPr>
              <w:t>Telecommunications Carriers Eligible for Universal Service Support</w:t>
            </w:r>
            <w:r w:rsidRPr="004D2073">
              <w:rPr>
                <w:snapToGrid/>
                <w:kern w:val="0"/>
                <w:szCs w:val="22"/>
                <w:lang w:bidi="he-IL"/>
              </w:rPr>
              <w:t xml:space="preserve"> </w:t>
            </w:r>
          </w:p>
          <w:p w:rsidR="00576152" w:rsidRPr="004D2073" w:rsidP="00576152" w14:paraId="2E924B25" w14:textId="77777777">
            <w:pPr>
              <w:rPr>
                <w:snapToGrid/>
                <w:kern w:val="0"/>
                <w:szCs w:val="22"/>
                <w:lang w:bidi="he-IL"/>
              </w:rPr>
            </w:pPr>
          </w:p>
          <w:p w:rsidR="00576152" w:rsidRPr="004D2073" w:rsidP="00576152" w14:paraId="63DDF158" w14:textId="577E97CC">
            <w:pPr>
              <w:rPr>
                <w:snapToGrid/>
                <w:kern w:val="0"/>
                <w:szCs w:val="22"/>
                <w:lang w:bidi="he-IL"/>
              </w:rPr>
            </w:pPr>
            <w:r w:rsidRPr="004D2073">
              <w:rPr>
                <w:snapToGrid/>
                <w:kern w:val="0"/>
                <w:szCs w:val="22"/>
                <w:lang w:bidi="he-IL"/>
              </w:rPr>
              <w:t>Connect America Fund</w:t>
            </w:r>
          </w:p>
          <w:p w:rsidR="00576152" w:rsidP="00576152" w14:paraId="3B78CB36" w14:textId="5480972E">
            <w:pPr>
              <w:widowControl/>
              <w:rPr>
                <w:snapToGrid/>
                <w:kern w:val="0"/>
                <w:szCs w:val="22"/>
                <w:lang w:bidi="he-IL"/>
              </w:rPr>
            </w:pPr>
          </w:p>
          <w:p w:rsidR="00576152" w:rsidP="00576152" w14:paraId="044D464B" w14:textId="6F38D12E">
            <w:pPr>
              <w:widowControl/>
              <w:rPr>
                <w:snapToGrid/>
                <w:kern w:val="0"/>
                <w:szCs w:val="22"/>
                <w:lang w:bidi="he-IL"/>
              </w:rPr>
            </w:pPr>
          </w:p>
          <w:p w:rsidR="00576152" w:rsidRPr="007115F7" w:rsidP="007115F7" w14:paraId="708B90EF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4C2EE3" w14:paraId="354426A6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128B71AB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0A946BEA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7AFCABB9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4A54CF7E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32A8F535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16D3C354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54F93585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77871E82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:rsidRPr="004D2073" w14:paraId="15AA5059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4C2EE3" w:rsidRPr="004D2073" w14:paraId="41D92832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  <w:szCs w:val="22"/>
              </w:rPr>
            </w:pPr>
          </w:p>
          <w:p w:rsidR="004D2073" w:rsidRPr="004D2073" w:rsidP="004D2073" w14:paraId="216F1697" w14:textId="001BC4F1">
            <w:pPr>
              <w:widowControl/>
              <w:rPr>
                <w:snapToGrid/>
                <w:kern w:val="0"/>
                <w:szCs w:val="22"/>
                <w:lang w:bidi="he-IL"/>
              </w:rPr>
            </w:pPr>
            <w:r w:rsidRPr="004D2073">
              <w:rPr>
                <w:snapToGrid/>
                <w:kern w:val="0"/>
                <w:szCs w:val="22"/>
                <w:lang w:bidi="he-IL"/>
              </w:rPr>
              <w:t>WC Docket No. 11-42</w:t>
            </w:r>
          </w:p>
          <w:p w:rsidR="004D2073" w:rsidRPr="004D2073" w:rsidP="004D2073" w14:paraId="445EF870" w14:textId="77777777">
            <w:pPr>
              <w:widowControl/>
              <w:rPr>
                <w:snapToGrid/>
                <w:kern w:val="0"/>
                <w:szCs w:val="22"/>
                <w:lang w:bidi="he-IL"/>
              </w:rPr>
            </w:pPr>
          </w:p>
          <w:p w:rsidR="004D2073" w:rsidRPr="004D2073" w:rsidP="004D2073" w14:paraId="3DC2612B" w14:textId="0A6DC4F2">
            <w:pPr>
              <w:widowControl/>
              <w:rPr>
                <w:snapToGrid/>
                <w:kern w:val="0"/>
                <w:szCs w:val="22"/>
                <w:lang w:bidi="he-IL"/>
              </w:rPr>
            </w:pPr>
            <w:r w:rsidRPr="004D2073">
              <w:rPr>
                <w:snapToGrid/>
                <w:kern w:val="0"/>
                <w:szCs w:val="22"/>
                <w:lang w:bidi="he-IL"/>
              </w:rPr>
              <w:t>WC Docket No. 09-197</w:t>
            </w:r>
          </w:p>
          <w:p w:rsidR="004D2073" w:rsidRPr="004D2073" w:rsidP="004D2073" w14:paraId="30293B20" w14:textId="77777777">
            <w:pPr>
              <w:widowControl/>
              <w:rPr>
                <w:snapToGrid/>
                <w:kern w:val="0"/>
                <w:szCs w:val="22"/>
                <w:lang w:bidi="he-IL"/>
              </w:rPr>
            </w:pPr>
          </w:p>
          <w:p w:rsidR="000D00EE" w:rsidP="004D2073" w14:paraId="198DF8B3" w14:textId="77777777">
            <w:pPr>
              <w:widowControl/>
              <w:rPr>
                <w:snapToGrid/>
                <w:kern w:val="0"/>
                <w:szCs w:val="22"/>
                <w:lang w:bidi="he-IL"/>
              </w:rPr>
            </w:pPr>
          </w:p>
          <w:p w:rsidR="004D2073" w:rsidRPr="004D2073" w:rsidP="004D2073" w14:paraId="65167EF1" w14:textId="22B875DA">
            <w:pPr>
              <w:widowControl/>
              <w:rPr>
                <w:snapToGrid/>
                <w:kern w:val="0"/>
                <w:szCs w:val="22"/>
                <w:lang w:bidi="he-IL"/>
              </w:rPr>
            </w:pPr>
            <w:r w:rsidRPr="004D2073">
              <w:rPr>
                <w:snapToGrid/>
                <w:kern w:val="0"/>
                <w:szCs w:val="22"/>
                <w:lang w:bidi="he-IL"/>
              </w:rPr>
              <w:t>WC Docket No. 10-90</w:t>
            </w:r>
          </w:p>
          <w:p w:rsidR="004C2EE3" w:rsidRPr="004D2073" w14:paraId="42E7D30A" w14:textId="669FF461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</w:tc>
      </w:tr>
    </w:tbl>
    <w:p w:rsidR="004C2EE3" w:rsidP="00576152" w14:paraId="2E6D9B93" w14:textId="77777777"/>
    <w:p w:rsidR="00841AB1" w:rsidP="00F021FA" w14:paraId="3DF6308B" w14:textId="7221088C">
      <w:pPr>
        <w:pStyle w:val="StyleBoldCentered"/>
      </w:pPr>
      <w:r>
        <w:t>Order</w:t>
      </w:r>
    </w:p>
    <w:p w:rsidR="004C2EE3" w14:paraId="28B10BAE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133F79" w14:paraId="2B19DB1E" w14:textId="08FD9D83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90111F">
        <w:rPr>
          <w:b/>
          <w:spacing w:val="-2"/>
        </w:rPr>
        <w:t>July 15, 2022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90111F">
        <w:rPr>
          <w:b/>
          <w:spacing w:val="-2"/>
        </w:rPr>
        <w:t>July 15, 2022</w:t>
      </w:r>
    </w:p>
    <w:p w:rsidR="00822CE0" w14:paraId="19F7DDA0" w14:textId="77777777"/>
    <w:p w:rsidR="004C2EE3" w14:paraId="54FE00CA" w14:textId="2170A7FB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BC76AD">
        <w:rPr>
          <w:spacing w:val="-2"/>
        </w:rPr>
        <w:t>Chief, Wireline Competition Bureau</w:t>
      </w:r>
    </w:p>
    <w:p w:rsidR="00822CE0" w14:paraId="2F713208" w14:textId="115ADFC8">
      <w:pPr>
        <w:rPr>
          <w:spacing w:val="-2"/>
        </w:rPr>
      </w:pPr>
    </w:p>
    <w:p w:rsidR="00412FC5" w:rsidP="00C36B4C" w14:paraId="24991EEC" w14:textId="6172DEEC">
      <w:pPr>
        <w:pStyle w:val="Heading1"/>
      </w:pPr>
      <w:r>
        <w:t>Introduction</w:t>
      </w:r>
    </w:p>
    <w:p w:rsidR="00D32D34" w:rsidP="00042381" w14:paraId="3F604E30" w14:textId="526A890D">
      <w:pPr>
        <w:pStyle w:val="ParaNum"/>
      </w:pPr>
      <w:r w:rsidRPr="00D32D34">
        <w:t>In this</w:t>
      </w:r>
      <w:r w:rsidR="00C144D4">
        <w:t xml:space="preserve"> Order</w:t>
      </w:r>
      <w:r w:rsidRPr="00D32D34">
        <w:t>, we address a Petition for Waiver filed by Blue Casa Telephone, LLC (Blue Casa) requesting a one-time waiver of the Federal Communications Commission’s (Commission’s) rules requiring a bienn</w:t>
      </w:r>
      <w:r w:rsidR="004951BB">
        <w:t>i</w:t>
      </w:r>
      <w:r w:rsidRPr="00D32D34">
        <w:t xml:space="preserve">al audit </w:t>
      </w:r>
      <w:r w:rsidR="00216FDF">
        <w:t>for</w:t>
      </w:r>
      <w:r w:rsidRPr="00D32D34">
        <w:t xml:space="preserve"> certain </w:t>
      </w:r>
      <w:r w:rsidR="00042381">
        <w:t xml:space="preserve">Lifeline </w:t>
      </w:r>
      <w:r w:rsidRPr="00D32D34">
        <w:t>Eligible Telecommunications Carriers (ETCs).</w:t>
      </w:r>
      <w:r>
        <w:rPr>
          <w:rStyle w:val="FootnoteReference"/>
        </w:rPr>
        <w:footnoteReference w:id="3"/>
      </w:r>
      <w:r w:rsidR="00042381">
        <w:t xml:space="preserve">  </w:t>
      </w:r>
      <w:r w:rsidRPr="00D32D34">
        <w:t xml:space="preserve">Blue Casa contends that </w:t>
      </w:r>
      <w:r w:rsidR="00032A3F">
        <w:t xml:space="preserve">a third-party audit is unnecessary because </w:t>
      </w:r>
      <w:r w:rsidRPr="00D32D34">
        <w:t>it</w:t>
      </w:r>
      <w:r w:rsidR="00290825">
        <w:t xml:space="preserve">s </w:t>
      </w:r>
      <w:r w:rsidR="0072084F">
        <w:t>Lifeline</w:t>
      </w:r>
      <w:r w:rsidR="006A5D2B">
        <w:t xml:space="preserve"> offerings</w:t>
      </w:r>
      <w:r w:rsidR="0072084F">
        <w:t xml:space="preserve"> are stringently regulated and supervised by </w:t>
      </w:r>
      <w:r w:rsidRPr="007E653F" w:rsidR="0072084F">
        <w:rPr>
          <w:bCs/>
          <w:color w:val="000000"/>
        </w:rPr>
        <w:t xml:space="preserve">the California Public Utilities Commission </w:t>
      </w:r>
      <w:r w:rsidR="00D114D4">
        <w:rPr>
          <w:bCs/>
          <w:color w:val="000000"/>
        </w:rPr>
        <w:t>(</w:t>
      </w:r>
      <w:r w:rsidRPr="007E653F" w:rsidR="0072084F">
        <w:rPr>
          <w:bCs/>
          <w:color w:val="000000"/>
        </w:rPr>
        <w:t>CPUC)</w:t>
      </w:r>
      <w:r w:rsidR="00043077">
        <w:rPr>
          <w:bCs/>
          <w:color w:val="000000"/>
        </w:rPr>
        <w:t xml:space="preserve"> and </w:t>
      </w:r>
      <w:r w:rsidR="006A5D2B">
        <w:rPr>
          <w:bCs/>
          <w:color w:val="000000"/>
        </w:rPr>
        <w:t>the Universal Service Administrative Company (USAC).</w:t>
      </w:r>
      <w:r w:rsidR="00835328">
        <w:rPr>
          <w:bCs/>
          <w:color w:val="000000"/>
        </w:rPr>
        <w:t xml:space="preserve"> </w:t>
      </w:r>
      <w:r w:rsidR="006A5D2B">
        <w:rPr>
          <w:bCs/>
          <w:color w:val="000000"/>
        </w:rPr>
        <w:t xml:space="preserve"> </w:t>
      </w:r>
      <w:r w:rsidR="00042381">
        <w:t xml:space="preserve">The Wireline Competition Bureau (Bureau) </w:t>
      </w:r>
      <w:r w:rsidR="00883AA0">
        <w:t>finds that</w:t>
      </w:r>
      <w:r w:rsidR="006A5D2B">
        <w:t xml:space="preserve"> Blue Casa</w:t>
      </w:r>
      <w:r w:rsidR="00883AA0">
        <w:t xml:space="preserve"> has not met the standard for </w:t>
      </w:r>
      <w:r w:rsidR="00EF03AA">
        <w:t>a waiver from the Lifeline biennial audit requirement</w:t>
      </w:r>
      <w:r w:rsidR="00F60D41">
        <w:t xml:space="preserve">, </w:t>
      </w:r>
      <w:r w:rsidR="00042381">
        <w:t xml:space="preserve">and as further discussed below, we deny Blue Casa’s </w:t>
      </w:r>
      <w:r w:rsidR="00F60D41">
        <w:t>petition for waiver</w:t>
      </w:r>
      <w:r w:rsidR="00042381">
        <w:t xml:space="preserve">. </w:t>
      </w:r>
      <w:r w:rsidRPr="00D23CE1" w:rsidR="00D23CE1">
        <w:t xml:space="preserve"> </w:t>
      </w:r>
    </w:p>
    <w:p w:rsidR="00D23CE1" w:rsidP="00D23CE1" w14:paraId="07A231D3" w14:textId="7382B0A8">
      <w:pPr>
        <w:pStyle w:val="Heading1"/>
      </w:pPr>
      <w:r>
        <w:t>background</w:t>
      </w:r>
    </w:p>
    <w:p w:rsidR="00F672F9" w:rsidP="00301E27" w14:paraId="5DCC6760" w14:textId="5C1894B5">
      <w:pPr>
        <w:pStyle w:val="ParaNum"/>
        <w:widowControl/>
      </w:pPr>
      <w:r w:rsidRPr="00D23CE1">
        <w:t xml:space="preserve">In the </w:t>
      </w:r>
      <w:r w:rsidRPr="004F498D">
        <w:rPr>
          <w:i/>
          <w:iCs/>
        </w:rPr>
        <w:t>2012 Lifeline Order</w:t>
      </w:r>
      <w:r w:rsidRPr="00D23CE1">
        <w:t xml:space="preserve">, the Commission adopted a biennial audit requirement, </w:t>
      </w:r>
      <w:r w:rsidR="001B4863">
        <w:t xml:space="preserve">to </w:t>
      </w:r>
      <w:r w:rsidRPr="00D23CE1">
        <w:t xml:space="preserve"> “strengthen our existing low-income oversight process to reduce improper payments and mitigate the potential for program violations.”</w:t>
      </w:r>
      <w:r>
        <w:rPr>
          <w:rStyle w:val="FootnoteReference"/>
        </w:rPr>
        <w:footnoteReference w:id="4"/>
      </w:r>
      <w:r w:rsidRPr="00D23CE1">
        <w:t xml:space="preserve">  The biennial audit requirement directed </w:t>
      </w:r>
      <w:r w:rsidR="00EA63CA">
        <w:t xml:space="preserve">certain </w:t>
      </w:r>
      <w:r w:rsidRPr="00D23CE1">
        <w:t>Lifeline provider</w:t>
      </w:r>
      <w:r w:rsidR="00BF5B0F">
        <w:t>s</w:t>
      </w:r>
      <w:r w:rsidRPr="00D23CE1">
        <w:t xml:space="preserve"> to hire an independent auditing firm to “assess the ETC’s overall compliance with the program’s requirements.”</w:t>
      </w:r>
      <w:r>
        <w:rPr>
          <w:rStyle w:val="FootnoteReference"/>
        </w:rPr>
        <w:footnoteReference w:id="5"/>
      </w:r>
      <w:r w:rsidRPr="00D23CE1">
        <w:t xml:space="preserve">  The biennial audits are intended to focus on a provider’s “overall compliance program and internal controls regarding Commission requirements implemented on a nationwide basis.”</w:t>
      </w:r>
      <w:r>
        <w:rPr>
          <w:rStyle w:val="FootnoteReference"/>
        </w:rPr>
        <w:footnoteReference w:id="6"/>
      </w:r>
      <w:r w:rsidR="00BF5B0F">
        <w:t xml:space="preserve">  </w:t>
      </w:r>
      <w:r>
        <w:t xml:space="preserve">For instance, biennial auditors are meant to review an ETC’s compliance with the Lifeline program rules </w:t>
      </w:r>
      <w:r>
        <w:t>requiring advertising of Lifeline availability, document retention, and adherence to the Lifeline program’s usage requirements.</w:t>
      </w:r>
      <w:r>
        <w:rPr>
          <w:rStyle w:val="FootnoteReference"/>
        </w:rPr>
        <w:footnoteReference w:id="7"/>
      </w:r>
      <w:r>
        <w:t xml:space="preserve">  </w:t>
      </w:r>
    </w:p>
    <w:p w:rsidR="001B7B1D" w:rsidP="00BF5B0F" w14:paraId="00C34022" w14:textId="72F3B53D">
      <w:pPr>
        <w:pStyle w:val="ParaNum"/>
      </w:pPr>
      <w:r w:rsidRPr="001B7B1D">
        <w:t xml:space="preserve">In the </w:t>
      </w:r>
      <w:r w:rsidRPr="00BF5B0F">
        <w:rPr>
          <w:i/>
          <w:iCs/>
        </w:rPr>
        <w:t>2019 Lifeline Order</w:t>
      </w:r>
      <w:r w:rsidRPr="001B7B1D">
        <w:t xml:space="preserve">, the Commission adopted a new approach </w:t>
      </w:r>
      <w:r w:rsidR="00BF5B0F">
        <w:t>for determining when an ETC would be subject to biennial audits</w:t>
      </w:r>
      <w:r w:rsidR="00EC0DEA">
        <w:t>.  This approach required the assessment of various</w:t>
      </w:r>
      <w:r w:rsidR="00BF5B0F">
        <w:t xml:space="preserve"> </w:t>
      </w:r>
      <w:r w:rsidRPr="001B7B1D">
        <w:t>risk-based factors—rather than the level of Lifeline disbursements—to identify ETCs that must complete biennial audits.</w:t>
      </w:r>
      <w:r>
        <w:rPr>
          <w:rStyle w:val="FootnoteReference"/>
        </w:rPr>
        <w:footnoteReference w:id="8"/>
      </w:r>
      <w:r w:rsidRPr="001B7B1D">
        <w:t xml:space="preserve">  Risk-based audits direct resources to where they are needed mo</w:t>
      </w:r>
      <w:r w:rsidR="00EC0DEA">
        <w:t>st</w:t>
      </w:r>
      <w:r w:rsidRPr="001B7B1D">
        <w:t>—the monitoring of ETCs that exhibit certain risk factors that warrant further investigation through an audit.</w:t>
      </w:r>
      <w:r>
        <w:rPr>
          <w:rStyle w:val="FootnoteReference"/>
        </w:rPr>
        <w:footnoteReference w:id="9"/>
      </w:r>
      <w:r w:rsidRPr="001B7B1D">
        <w:t xml:space="preserve">  The</w:t>
      </w:r>
      <w:r w:rsidR="00EC0DEA">
        <w:t xml:space="preserve"> Commission anticipated that the</w:t>
      </w:r>
      <w:r w:rsidRPr="001B7B1D">
        <w:t xml:space="preserve"> </w:t>
      </w:r>
      <w:r w:rsidR="000D5EB8">
        <w:t>shift</w:t>
      </w:r>
      <w:r w:rsidRPr="001B7B1D">
        <w:t xml:space="preserve"> </w:t>
      </w:r>
      <w:r w:rsidR="00EC0DEA">
        <w:t xml:space="preserve">may </w:t>
      </w:r>
      <w:r w:rsidRPr="001B7B1D">
        <w:t>result in cost savings for ETCs that were</w:t>
      </w:r>
      <w:r w:rsidR="00EC0DEA">
        <w:t xml:space="preserve"> previously</w:t>
      </w:r>
      <w:r w:rsidRPr="001B7B1D">
        <w:t xml:space="preserve"> targeted simply due to their size.</w:t>
      </w:r>
      <w:r>
        <w:rPr>
          <w:rStyle w:val="FootnoteReference"/>
        </w:rPr>
        <w:footnoteReference w:id="10"/>
      </w:r>
      <w:r w:rsidRPr="001B7B1D">
        <w:t xml:space="preserve">  </w:t>
      </w:r>
    </w:p>
    <w:p w:rsidR="008E3D34" w:rsidP="00BF5B0F" w14:paraId="127531E3" w14:textId="2571ECFE">
      <w:pPr>
        <w:pStyle w:val="ParaNum"/>
      </w:pPr>
      <w:r>
        <w:t xml:space="preserve">In late October 2021, USAC notified impacted Lifeline ETCs that they would be subject to </w:t>
      </w:r>
      <w:r w:rsidR="00800B79">
        <w:t xml:space="preserve">a biennial audit of </w:t>
      </w:r>
      <w:r w:rsidR="00406CC7">
        <w:t xml:space="preserve">Lifeline </w:t>
      </w:r>
      <w:r w:rsidR="00800B79">
        <w:t>activities conducted during the 2019 calendar year</w:t>
      </w:r>
      <w:r>
        <w:t>.  Blue Casa filed its petition for waiver in May 2022</w:t>
      </w:r>
      <w:r w:rsidR="00637611">
        <w:t>.  Blue Casa</w:t>
      </w:r>
      <w:r w:rsidR="000A5EE8">
        <w:t>’s petition</w:t>
      </w:r>
      <w:r w:rsidR="00637611">
        <w:t xml:space="preserve"> contends that since it operates exclusively in California, its Lifeline activities are highly monitored by the CPUC, which has a significant role in confirming a subscriber’s </w:t>
      </w:r>
      <w:r w:rsidR="000A5EE8">
        <w:t>eligibility</w:t>
      </w:r>
      <w:r w:rsidR="00637611">
        <w:t xml:space="preserve"> to participate in the Lifeline program.</w:t>
      </w:r>
      <w:r>
        <w:rPr>
          <w:rStyle w:val="FootnoteReference"/>
        </w:rPr>
        <w:footnoteReference w:id="11"/>
      </w:r>
      <w:r w:rsidR="00637611">
        <w:t xml:space="preserve"> </w:t>
      </w:r>
      <w:r>
        <w:t xml:space="preserve"> </w:t>
      </w:r>
      <w:r w:rsidR="000A5EE8">
        <w:t xml:space="preserve">Blue Casa also contends that the cost of completing a third-party audit would be approximately $20,000 and, considering Blue Casa’s </w:t>
      </w:r>
      <w:r w:rsidR="00380AF9">
        <w:t xml:space="preserve">relatively small </w:t>
      </w:r>
      <w:r w:rsidR="000A5EE8">
        <w:t>Lifeline subscriber base,</w:t>
      </w:r>
      <w:r>
        <w:t xml:space="preserve"> </w:t>
      </w:r>
      <w:r w:rsidR="000A5EE8">
        <w:t>such cost would be punitive.</w:t>
      </w:r>
      <w:r>
        <w:rPr>
          <w:rStyle w:val="FootnoteReference"/>
        </w:rPr>
        <w:footnoteReference w:id="12"/>
      </w:r>
      <w:r w:rsidR="00BA4DB1">
        <w:t xml:space="preserve">  The Bureau sought comment on Blue Casa’s petition </w:t>
      </w:r>
      <w:r w:rsidR="00F405C0">
        <w:t xml:space="preserve">and </w:t>
      </w:r>
      <w:r w:rsidR="0010643D">
        <w:t>received no comments</w:t>
      </w:r>
      <w:r w:rsidR="00BA4DB1">
        <w:t>.</w:t>
      </w:r>
      <w:r>
        <w:rPr>
          <w:rStyle w:val="FootnoteReference"/>
        </w:rPr>
        <w:footnoteReference w:id="13"/>
      </w:r>
    </w:p>
    <w:p w:rsidR="001B7B1D" w:rsidP="001B7B1D" w14:paraId="0A4138E8" w14:textId="36D7B040">
      <w:pPr>
        <w:pStyle w:val="Heading1"/>
      </w:pPr>
      <w:r>
        <w:t>Discussion</w:t>
      </w:r>
    </w:p>
    <w:p w:rsidR="001B7B1D" w:rsidP="001B7B1D" w14:paraId="0B91575A" w14:textId="36785E63">
      <w:pPr>
        <w:pStyle w:val="ParaNum"/>
      </w:pPr>
      <w:r w:rsidRPr="00A83B2B">
        <w:t>Generally, the Commission’s rules may be waived for good cause shown.</w:t>
      </w:r>
      <w:r>
        <w:rPr>
          <w:rStyle w:val="FootnoteReference"/>
        </w:rPr>
        <w:footnoteReference w:id="14"/>
      </w:r>
      <w:r w:rsidRPr="00A83B2B">
        <w:t xml:space="preserve">  The Commission may exercise its discretion to waive a rule where the particular facts make strict compliance inconsistent with the public interest.</w:t>
      </w:r>
      <w:r>
        <w:rPr>
          <w:rStyle w:val="FootnoteReference"/>
        </w:rPr>
        <w:footnoteReference w:id="15"/>
      </w:r>
      <w:r w:rsidRPr="00A83B2B">
        <w:t xml:space="preserve">  In addition, the Commission may take into account considerations of hardship, equity, or more effective implementation of overall policy on an individual basis.</w:t>
      </w:r>
      <w:r>
        <w:rPr>
          <w:rStyle w:val="FootnoteReference"/>
        </w:rPr>
        <w:footnoteReference w:id="16"/>
      </w:r>
      <w:r w:rsidRPr="00A83B2B">
        <w:t xml:space="preserve">  Waiver of the Commission’s rules is therefore appropriate only if special circumstances warrant a deviation from the general rule, and such a deviation will serve the public interest.</w:t>
      </w:r>
      <w:r>
        <w:rPr>
          <w:rStyle w:val="FootnoteReference"/>
        </w:rPr>
        <w:footnoteReference w:id="17"/>
      </w:r>
    </w:p>
    <w:p w:rsidR="00C26E4D" w:rsidP="00301E27" w14:paraId="00CF1554" w14:textId="46D4A92A">
      <w:pPr>
        <w:pStyle w:val="ParaNum"/>
        <w:widowControl/>
      </w:pPr>
      <w:r w:rsidRPr="00A83B2B">
        <w:t>The Commission adopted the biennial audit requirement as part of its efforts to address “growing concerns with waste, fraud, and abuse in the [Lifeline] program . . . .”</w:t>
      </w:r>
      <w:r>
        <w:rPr>
          <w:rStyle w:val="FootnoteReference"/>
        </w:rPr>
        <w:footnoteReference w:id="18"/>
      </w:r>
      <w:r w:rsidR="00B913AF">
        <w:t xml:space="preserve">  </w:t>
      </w:r>
      <w:r>
        <w:t>Blue Casa’s primary argument</w:t>
      </w:r>
      <w:r w:rsidR="00B913AF">
        <w:t xml:space="preserve"> in support of its petition</w:t>
      </w:r>
      <w:r>
        <w:t xml:space="preserve"> is that such an audit is unnecessary because </w:t>
      </w:r>
      <w:r w:rsidR="00A16DDA">
        <w:t>a large amount</w:t>
      </w:r>
      <w:r>
        <w:t xml:space="preserve"> of its Lifeline activities are monitored by the CPUC’s Third Party Administrator and by USAC.</w:t>
      </w:r>
      <w:r>
        <w:rPr>
          <w:rStyle w:val="FootnoteReference"/>
        </w:rPr>
        <w:footnoteReference w:id="19"/>
      </w:r>
      <w:r>
        <w:t xml:space="preserve">  We disagree with this characterization.  While the CPUC and USAC play a significant role in confirming eligibility of subscribers to participate in the Lifeline program</w:t>
      </w:r>
      <w:r w:rsidR="00B913AF">
        <w:t xml:space="preserve"> and preventing duplicat</w:t>
      </w:r>
      <w:r w:rsidR="00A826D3">
        <w:t>ive support</w:t>
      </w:r>
      <w:r w:rsidR="00B913AF">
        <w:t>,</w:t>
      </w:r>
      <w:r>
        <w:t xml:space="preserve"> Lifeline E</w:t>
      </w:r>
      <w:r w:rsidR="00A16DDA">
        <w:t>TC</w:t>
      </w:r>
      <w:r>
        <w:t xml:space="preserve">s have an </w:t>
      </w:r>
      <w:r w:rsidR="00A826D3">
        <w:t xml:space="preserve">independent </w:t>
      </w:r>
      <w:r>
        <w:t>obligation to comport with the Commission’s rules.</w:t>
      </w:r>
      <w:r>
        <w:rPr>
          <w:rStyle w:val="FootnoteReference"/>
        </w:rPr>
        <w:footnoteReference w:id="20"/>
      </w:r>
      <w:r w:rsidR="0037325B">
        <w:t xml:space="preserve">  </w:t>
      </w:r>
      <w:r w:rsidR="00B24DF6">
        <w:t xml:space="preserve">Those rules include requirements that </w:t>
      </w:r>
      <w:r w:rsidR="001B6D2B">
        <w:t>are not necessarily overseen by a state administrator’s eligibility verification process, such as</w:t>
      </w:r>
      <w:r w:rsidR="0037325B">
        <w:t xml:space="preserve"> Lifeline ETCs</w:t>
      </w:r>
      <w:r w:rsidR="001B6D2B">
        <w:t>’</w:t>
      </w:r>
      <w:r w:rsidR="0037325B">
        <w:t xml:space="preserve"> </w:t>
      </w:r>
      <w:r w:rsidR="001B6D2B">
        <w:t>obligation</w:t>
      </w:r>
      <w:r w:rsidR="0037325B">
        <w:t xml:space="preserve"> to maintain documentation</w:t>
      </w:r>
      <w:r w:rsidR="00897E2D">
        <w:t xml:space="preserve"> and certification</w:t>
      </w:r>
      <w:r w:rsidR="00D32E2C">
        <w:t>s</w:t>
      </w:r>
      <w:r w:rsidR="00897E2D">
        <w:t xml:space="preserve"> provided by</w:t>
      </w:r>
      <w:r w:rsidR="0037325B">
        <w:t xml:space="preserve"> state administrators before they can claim a subscriber for reimbursement.</w:t>
      </w:r>
      <w:r>
        <w:rPr>
          <w:rStyle w:val="FootnoteReference"/>
        </w:rPr>
        <w:footnoteReference w:id="21"/>
      </w:r>
      <w:r w:rsidR="0037325B">
        <w:t xml:space="preserve">  Additionally, there are certain </w:t>
      </w:r>
      <w:r w:rsidR="00B45CBA">
        <w:t>Lifeline requirements, like the</w:t>
      </w:r>
      <w:r w:rsidR="00B65A50">
        <w:t xml:space="preserve"> requirement to</w:t>
      </w:r>
      <w:r w:rsidR="00B45CBA">
        <w:t xml:space="preserve"> advertis</w:t>
      </w:r>
      <w:r w:rsidR="00B65A50">
        <w:t>e</w:t>
      </w:r>
      <w:r w:rsidR="00B45CBA">
        <w:t xml:space="preserve"> </w:t>
      </w:r>
      <w:r w:rsidR="00B65A50">
        <w:t>the availability of the</w:t>
      </w:r>
      <w:r w:rsidR="00B45CBA">
        <w:t xml:space="preserve"> Lifeline</w:t>
      </w:r>
      <w:r w:rsidR="00B65A50">
        <w:t>-supported service</w:t>
      </w:r>
      <w:r w:rsidR="00B45CBA">
        <w:t xml:space="preserve">, that do not </w:t>
      </w:r>
      <w:r w:rsidR="00A1027B">
        <w:t>directly involve a</w:t>
      </w:r>
      <w:r w:rsidR="00B45CBA">
        <w:t xml:space="preserve"> state</w:t>
      </w:r>
      <w:r w:rsidR="00A1027B">
        <w:t xml:space="preserve"> administrator</w:t>
      </w:r>
      <w:r w:rsidR="00B45CBA">
        <w:t xml:space="preserve"> or USAC at all</w:t>
      </w:r>
      <w:r w:rsidR="00A1027B">
        <w:t>,</w:t>
      </w:r>
      <w:r w:rsidR="00B45CBA">
        <w:t xml:space="preserve"> and </w:t>
      </w:r>
      <w:r w:rsidR="00A1027B">
        <w:t xml:space="preserve">the Commission’s program audits, including the biennial audits, are critical to ensuring that ETCs are in </w:t>
      </w:r>
      <w:r w:rsidR="00B45CBA">
        <w:t>compliance with such requirements.</w:t>
      </w:r>
      <w:r>
        <w:rPr>
          <w:rStyle w:val="FootnoteReference"/>
        </w:rPr>
        <w:footnoteReference w:id="22"/>
      </w:r>
      <w:r w:rsidR="00B45CBA">
        <w:t xml:space="preserve">  </w:t>
      </w:r>
    </w:p>
    <w:p w:rsidR="00F64B18" w:rsidP="00597AF9" w14:paraId="49EFE168" w14:textId="5FD49A2F">
      <w:pPr>
        <w:pStyle w:val="ParaNum"/>
      </w:pPr>
      <w:r>
        <w:t>Blue Casa also contends that complying with the biennial audit requirement would result in punitive costs for their limited Lifeline operation.</w:t>
      </w:r>
      <w:r>
        <w:rPr>
          <w:rStyle w:val="FootnoteReference"/>
        </w:rPr>
        <w:footnoteReference w:id="23"/>
      </w:r>
      <w:r>
        <w:t xml:space="preserve">  </w:t>
      </w:r>
      <w:r w:rsidR="00405ADF">
        <w:t>In</w:t>
      </w:r>
      <w:r w:rsidR="000054ED">
        <w:t xml:space="preserve"> the first half of 2022</w:t>
      </w:r>
      <w:r w:rsidR="00E541FA">
        <w:t>,</w:t>
      </w:r>
      <w:r w:rsidR="000054ED">
        <w:t xml:space="preserve"> Blue Casa </w:t>
      </w:r>
      <w:r w:rsidR="009438F0">
        <w:t>wa</w:t>
      </w:r>
      <w:r w:rsidR="000054ED">
        <w:t xml:space="preserve">s reimbursed approximately $16,000 </w:t>
      </w:r>
      <w:r w:rsidR="00E541FA">
        <w:t>per</w:t>
      </w:r>
      <w:r w:rsidR="000054ED">
        <w:t xml:space="preserve"> month</w:t>
      </w:r>
      <w:r w:rsidR="00E541FA">
        <w:t xml:space="preserve"> from the Lifeline program</w:t>
      </w:r>
      <w:r w:rsidR="000054ED">
        <w:t xml:space="preserve">, and from 2019 through 2021 Blue Casa was reimbursed </w:t>
      </w:r>
      <w:r w:rsidR="00B757CE">
        <w:t>in excess of $1.1 million.</w:t>
      </w:r>
      <w:r>
        <w:rPr>
          <w:rStyle w:val="FootnoteReference"/>
        </w:rPr>
        <w:footnoteReference w:id="24"/>
      </w:r>
      <w:r w:rsidR="00F25CA3">
        <w:t xml:space="preserve">  </w:t>
      </w:r>
      <w:r w:rsidR="00036E8D">
        <w:t>Additionally, Lifeline ETCs are obligated to confirm their financial and technical capabilit</w:t>
      </w:r>
      <w:r w:rsidR="007178DD">
        <w:t>y</w:t>
      </w:r>
      <w:r w:rsidR="00036E8D">
        <w:t xml:space="preserve"> to participate in the Lifeline program,</w:t>
      </w:r>
      <w:r>
        <w:rPr>
          <w:rStyle w:val="FootnoteReference"/>
        </w:rPr>
        <w:footnoteReference w:id="25"/>
      </w:r>
      <w:r w:rsidR="00036E8D">
        <w:t xml:space="preserve"> and satisfying a</w:t>
      </w:r>
      <w:r w:rsidR="008D1A1A">
        <w:t>ny</w:t>
      </w:r>
      <w:r w:rsidR="00036E8D">
        <w:t xml:space="preserve"> Lifeline audit </w:t>
      </w:r>
      <w:r w:rsidR="009438F0">
        <w:t>obligation</w:t>
      </w:r>
      <w:r w:rsidR="008D1A1A">
        <w:t>s</w:t>
      </w:r>
      <w:r w:rsidR="009438F0">
        <w:t xml:space="preserve"> </w:t>
      </w:r>
      <w:r w:rsidR="00036E8D">
        <w:t xml:space="preserve">should be well within such capabilities.  </w:t>
      </w:r>
      <w:r w:rsidR="00405ADF">
        <w:t>Given th</w:t>
      </w:r>
      <w:r w:rsidR="00036E8D">
        <w:t>ese facts</w:t>
      </w:r>
      <w:r w:rsidR="00405ADF">
        <w:t xml:space="preserve">, we find it unpersuasive </w:t>
      </w:r>
      <w:r w:rsidR="00036E8D">
        <w:t>that the cost associated with the completion of the biennial audit is too much for Blue Casa to bear.</w:t>
      </w:r>
      <w:r w:rsidR="00597AF9">
        <w:t xml:space="preserve">  </w:t>
      </w:r>
      <w:r w:rsidR="00444F4E">
        <w:t>Since Blue Casa’s petition does not set forth special circumstances that warrant deviation from the biennial audit requirement, and such a deviation would create unacceptable risk to program integrity</w:t>
      </w:r>
      <w:r w:rsidR="00752AD5">
        <w:t>,</w:t>
      </w:r>
      <w:r w:rsidR="00597AF9">
        <w:t xml:space="preserve"> we do not believe that the public interest would be served by granting Blue Casa’s petition.</w:t>
      </w:r>
    </w:p>
    <w:p w:rsidR="00F64B18" w:rsidP="00F64B18" w14:paraId="1615A24C" w14:textId="34752AD4">
      <w:pPr>
        <w:pStyle w:val="Heading1"/>
      </w:pPr>
      <w:r>
        <w:t>Ordering Clauses</w:t>
      </w:r>
    </w:p>
    <w:p w:rsidR="00EC7405" w:rsidP="00EC7405" w14:paraId="0DF8C4FC" w14:textId="0B0BFE36">
      <w:pPr>
        <w:pStyle w:val="ParaNum"/>
      </w:pPr>
      <w:r w:rsidRPr="00EC7405">
        <w:t>ACCORDINGLY, IT IS ORDERED, pursuant to the authority contained in sections 1-4 and 254 of the Communications Act of 1934, as amended, 47 U.S.C. §§ 151-154 and 254, and sections 0.91, 0.291, and 1.3 of the Commission’s rules, 47 CFR §§ 0.91, 0.291, and 1.3, that the Blue Casa Petition is DENIED.</w:t>
      </w:r>
    </w:p>
    <w:p w:rsidR="00EC7405" w:rsidP="00EC7405" w14:paraId="662417E9" w14:textId="5A869839">
      <w:pPr>
        <w:pStyle w:val="ParaNum"/>
      </w:pPr>
      <w:r w:rsidRPr="00EC7405">
        <w:t>IT IS FURTHER ORDERED that, pursuant to section 1.102(b)(1) of the Commission’s rules, 47 CFR § 1.102(b)(1), this Order SHALL BE EFFECTIVE upon release.</w:t>
      </w:r>
    </w:p>
    <w:p w:rsidR="00EC65E2" w:rsidP="00301E27" w14:paraId="788AB62B" w14:textId="2DDF15F5">
      <w:pPr>
        <w:pStyle w:val="ParaNum"/>
        <w:numPr>
          <w:ilvl w:val="0"/>
          <w:numId w:val="0"/>
        </w:numPr>
      </w:pPr>
    </w:p>
    <w:p w:rsidR="00301E27" w:rsidP="00301E27" w14:paraId="625A1F1C" w14:textId="77777777">
      <w:pPr>
        <w:pStyle w:val="ParaNum"/>
        <w:numPr>
          <w:ilvl w:val="0"/>
          <w:numId w:val="0"/>
        </w:numPr>
      </w:pPr>
    </w:p>
    <w:p w:rsidR="005A5ADE" w:rsidP="00C219C7" w14:paraId="6F6B1FF2" w14:textId="77777777">
      <w:pPr>
        <w:pStyle w:val="ParaNum"/>
        <w:numPr>
          <w:ilvl w:val="0"/>
          <w:numId w:val="0"/>
        </w:numPr>
        <w:ind w:left="3600" w:firstLine="720"/>
      </w:pPr>
      <w:r>
        <w:t xml:space="preserve">FEDERAL COMMUNICATIONS COMMISSION </w:t>
      </w:r>
    </w:p>
    <w:p w:rsidR="00C219C7" w:rsidP="00C219C7" w14:paraId="491B9100" w14:textId="77777777">
      <w:pPr>
        <w:pStyle w:val="ParaNum"/>
        <w:numPr>
          <w:ilvl w:val="0"/>
          <w:numId w:val="0"/>
        </w:numPr>
        <w:ind w:left="720" w:firstLine="720"/>
      </w:pPr>
    </w:p>
    <w:p w:rsidR="00E231CE" w:rsidP="00C219C7" w14:paraId="4995A230" w14:textId="77777777">
      <w:pPr>
        <w:pStyle w:val="ParaNum"/>
        <w:numPr>
          <w:ilvl w:val="0"/>
          <w:numId w:val="0"/>
        </w:numPr>
        <w:ind w:left="3600" w:firstLine="720"/>
      </w:pPr>
    </w:p>
    <w:p w:rsidR="00EC7405" w:rsidRPr="00EC7405" w:rsidP="00EC65E2" w14:paraId="000FE88C" w14:textId="251A4C24">
      <w:pPr>
        <w:pStyle w:val="ParaNum"/>
        <w:numPr>
          <w:ilvl w:val="0"/>
          <w:numId w:val="0"/>
        </w:numPr>
        <w:ind w:left="3600" w:firstLine="720"/>
      </w:pPr>
      <w:r>
        <w:t xml:space="preserve">Trent </w:t>
      </w:r>
      <w:r w:rsidR="00596F0C">
        <w:t xml:space="preserve">B. </w:t>
      </w:r>
      <w:r w:rsidR="00FD6BB0">
        <w:t>Harkrader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5ADE">
        <w:t>Chief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5ADE">
        <w:t>Wireline Competition Bureau</w:t>
      </w: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FE46C7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6921C0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54D564A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5A2CF6F1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F21EF" w14:paraId="74335836" w14:textId="77777777">
      <w:r>
        <w:separator/>
      </w:r>
    </w:p>
  </w:footnote>
  <w:footnote w:type="continuationSeparator" w:id="1">
    <w:p w:rsidR="005F21EF" w:rsidP="00C721AC" w14:paraId="3FA6F74A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5F21EF" w:rsidP="00C721AC" w14:paraId="09D653E6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042381" w:rsidP="00042381" w14:paraId="674C7A08" w14:textId="7A32B9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718CF">
        <w:rPr>
          <w:i/>
          <w:iCs/>
        </w:rPr>
        <w:t>See</w:t>
      </w:r>
      <w:r w:rsidRPr="00635878">
        <w:t xml:space="preserve"> Petition for Waiver of </w:t>
      </w:r>
      <w:r>
        <w:t>Blue Casa Telephone, LLC</w:t>
      </w:r>
      <w:r w:rsidRPr="00635878">
        <w:t xml:space="preserve"> Regarding Biennial Audit Requirements, WC Docket No</w:t>
      </w:r>
      <w:r w:rsidR="00216FDF">
        <w:t>s</w:t>
      </w:r>
      <w:r w:rsidRPr="00635878">
        <w:t>. 11-42</w:t>
      </w:r>
      <w:r w:rsidR="00216FDF">
        <w:t>, 09-197, 10-90</w:t>
      </w:r>
      <w:r w:rsidRPr="00635878">
        <w:t xml:space="preserve">, at 1 (filed </w:t>
      </w:r>
      <w:r>
        <w:t>May 17</w:t>
      </w:r>
      <w:r w:rsidRPr="00635878">
        <w:t xml:space="preserve">, </w:t>
      </w:r>
      <w:r>
        <w:t>2022</w:t>
      </w:r>
      <w:r w:rsidRPr="00635878">
        <w:t xml:space="preserve">), </w:t>
      </w:r>
      <w:hyperlink r:id="rId1" w:history="1">
        <w:r w:rsidRPr="00A3737D" w:rsidR="00380AF9">
          <w:rPr>
            <w:rStyle w:val="Hyperlink"/>
          </w:rPr>
          <w:t>https://www.fcc.gov/ecfs/search/search-filings/filing/10517798100669</w:t>
        </w:r>
      </w:hyperlink>
      <w:r w:rsidRPr="00F14A16">
        <w:t xml:space="preserve"> </w:t>
      </w:r>
      <w:r w:rsidRPr="00635878">
        <w:t>(</w:t>
      </w:r>
      <w:r>
        <w:t>Blue Casa</w:t>
      </w:r>
      <w:r w:rsidRPr="00635878">
        <w:t xml:space="preserve"> Petition).</w:t>
      </w:r>
    </w:p>
  </w:footnote>
  <w:footnote w:id="4">
    <w:p w:rsidR="00691431" w14:paraId="787F2527" w14:textId="7A0924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A5897" w:rsidR="006346D4">
        <w:rPr>
          <w:i/>
          <w:iCs/>
        </w:rPr>
        <w:t>Lifeline and Link Up Reform and Modernizatio</w:t>
      </w:r>
      <w:r w:rsidR="00134983">
        <w:rPr>
          <w:i/>
          <w:iCs/>
        </w:rPr>
        <w:t>n</w:t>
      </w:r>
      <w:r w:rsidR="00120003">
        <w:rPr>
          <w:i/>
          <w:iCs/>
        </w:rPr>
        <w:t xml:space="preserve"> et al.</w:t>
      </w:r>
      <w:r w:rsidRPr="006346D4" w:rsidR="006346D4">
        <w:t>,</w:t>
      </w:r>
      <w:r w:rsidR="00120003">
        <w:t xml:space="preserve"> WC Docket No. 11-42,</w:t>
      </w:r>
      <w:r w:rsidRPr="006346D4" w:rsidR="006346D4">
        <w:t xml:space="preserve"> Report and Order and Further Notice of Proposed Rulemaking, 27 FCC </w:t>
      </w:r>
      <w:r w:rsidRPr="006346D4" w:rsidR="006346D4">
        <w:t>Rcd</w:t>
      </w:r>
      <w:r w:rsidRPr="006346D4" w:rsidR="006346D4">
        <w:t xml:space="preserve"> 6656, 6</w:t>
      </w:r>
      <w:r w:rsidR="001B4863">
        <w:t>780-81</w:t>
      </w:r>
      <w:r w:rsidRPr="006346D4" w:rsidR="006346D4">
        <w:t>, para. 285 (2012) (</w:t>
      </w:r>
      <w:r w:rsidRPr="00F14EEF" w:rsidR="006346D4">
        <w:rPr>
          <w:i/>
          <w:iCs/>
        </w:rPr>
        <w:t>2012 Lifeline Order</w:t>
      </w:r>
      <w:r w:rsidRPr="006346D4" w:rsidR="006346D4">
        <w:t>).</w:t>
      </w:r>
    </w:p>
  </w:footnote>
  <w:footnote w:id="5">
    <w:p w:rsidR="00691431" w14:paraId="015E74DE" w14:textId="6215BF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01E27">
        <w:rPr>
          <w:i/>
          <w:iCs/>
        </w:rPr>
        <w:t>Id.</w:t>
      </w:r>
      <w:r w:rsidRPr="00E97649" w:rsidR="006346D4">
        <w:t xml:space="preserve"> </w:t>
      </w:r>
      <w:r w:rsidR="00862EBB">
        <w:t>at</w:t>
      </w:r>
      <w:r w:rsidRPr="00E97649" w:rsidR="006346D4">
        <w:t xml:space="preserve"> 6782, para. 291</w:t>
      </w:r>
      <w:r w:rsidR="00C205E1">
        <w:t>.</w:t>
      </w:r>
    </w:p>
  </w:footnote>
  <w:footnote w:id="6">
    <w:p w:rsidR="006D2342" w14:paraId="393AE4B4" w14:textId="29A9F7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01E27">
        <w:rPr>
          <w:i/>
          <w:iCs/>
        </w:rPr>
        <w:t>Id.</w:t>
      </w:r>
      <w:r w:rsidRPr="00E9555F" w:rsidR="006346D4">
        <w:t xml:space="preserve"> </w:t>
      </w:r>
      <w:r w:rsidR="005A36E9">
        <w:t>at</w:t>
      </w:r>
      <w:r w:rsidRPr="00E9555F" w:rsidR="006346D4">
        <w:t xml:space="preserve"> 6782-83, para. 292</w:t>
      </w:r>
      <w:r w:rsidR="005A36E9">
        <w:t>.</w:t>
      </w:r>
    </w:p>
  </w:footnote>
  <w:footnote w:id="7">
    <w:p w:rsidR="00F672F9" w:rsidRPr="00F672F9" w14:paraId="13BF632E" w14:textId="7A2BED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See, e.g.</w:t>
      </w:r>
      <w:r>
        <w:t xml:space="preserve">, </w:t>
      </w:r>
      <w:r>
        <w:rPr>
          <w:i/>
          <w:iCs/>
        </w:rPr>
        <w:t>Wireline Competition Bureau Announces Release of Final Lifeline Biennial Audit Plan</w:t>
      </w:r>
      <w:r>
        <w:t xml:space="preserve">, WC Docket No. 11-42, Public Notice, 29 FCC </w:t>
      </w:r>
      <w:r>
        <w:t>Rcd</w:t>
      </w:r>
      <w:r>
        <w:t xml:space="preserve"> 3568</w:t>
      </w:r>
      <w:r w:rsidR="00E6765C">
        <w:t>, 3571</w:t>
      </w:r>
      <w:r>
        <w:t xml:space="preserve"> (WCB 2014). </w:t>
      </w:r>
    </w:p>
  </w:footnote>
  <w:footnote w:id="8">
    <w:p w:rsidR="008743D8" w:rsidRPr="00EC0DEA" w14:paraId="28E41A13" w14:textId="450F31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05C7" w:rsidR="001E0AF3">
        <w:rPr>
          <w:i/>
          <w:iCs/>
        </w:rPr>
        <w:t>See</w:t>
      </w:r>
      <w:r w:rsidRPr="00E9555F" w:rsidR="001E0AF3">
        <w:t> </w:t>
      </w:r>
      <w:r w:rsidRPr="00851163" w:rsidR="007C73F0">
        <w:rPr>
          <w:i/>
          <w:iCs/>
        </w:rPr>
        <w:t xml:space="preserve">Bridging the Digital Divide </w:t>
      </w:r>
      <w:r w:rsidRPr="00851163" w:rsidR="00851163">
        <w:rPr>
          <w:i/>
          <w:iCs/>
        </w:rPr>
        <w:t>for Low-Income Consumers</w:t>
      </w:r>
      <w:r w:rsidR="0033411F">
        <w:rPr>
          <w:i/>
          <w:iCs/>
        </w:rPr>
        <w:t xml:space="preserve"> et al.</w:t>
      </w:r>
      <w:r w:rsidR="00851163">
        <w:t xml:space="preserve">, </w:t>
      </w:r>
      <w:r w:rsidRPr="00E9555F" w:rsidR="001E0AF3">
        <w:t xml:space="preserve">Fifth Report </w:t>
      </w:r>
      <w:r w:rsidR="00735140">
        <w:t>a</w:t>
      </w:r>
      <w:r w:rsidRPr="00E9555F" w:rsidR="001E0AF3">
        <w:t xml:space="preserve">nd Order, Memorandum Opinion </w:t>
      </w:r>
      <w:r w:rsidR="00735140">
        <w:t>a</w:t>
      </w:r>
      <w:r w:rsidRPr="00E9555F" w:rsidR="001E0AF3">
        <w:t xml:space="preserve">nd Order </w:t>
      </w:r>
      <w:r w:rsidR="00777921">
        <w:t>and</w:t>
      </w:r>
      <w:r w:rsidRPr="00E9555F" w:rsidR="001E0AF3">
        <w:t xml:space="preserve"> Order </w:t>
      </w:r>
      <w:r w:rsidR="00777921">
        <w:t>o</w:t>
      </w:r>
      <w:r w:rsidRPr="00E9555F" w:rsidR="001E0AF3">
        <w:t xml:space="preserve">n Reconsideration, </w:t>
      </w:r>
      <w:r w:rsidR="00777921">
        <w:t>a</w:t>
      </w:r>
      <w:r w:rsidRPr="00E9555F" w:rsidR="001E0AF3">
        <w:t xml:space="preserve">nd Further Notice </w:t>
      </w:r>
      <w:r w:rsidR="00777921">
        <w:t>o</w:t>
      </w:r>
      <w:r w:rsidRPr="00E9555F" w:rsidR="001E0AF3">
        <w:t xml:space="preserve">f Proposed Rulemaking, 34 FCC </w:t>
      </w:r>
      <w:r w:rsidRPr="00E9555F" w:rsidR="001E0AF3">
        <w:t>Rcd</w:t>
      </w:r>
      <w:r w:rsidRPr="00E9555F" w:rsidR="001E0AF3">
        <w:t xml:space="preserve"> </w:t>
      </w:r>
      <w:r w:rsidR="00EC0DEA">
        <w:t>10886, 10928-30</w:t>
      </w:r>
      <w:r w:rsidRPr="00E9555F" w:rsidR="001E0AF3">
        <w:t xml:space="preserve">, </w:t>
      </w:r>
      <w:r w:rsidR="008470B4">
        <w:t>paras.</w:t>
      </w:r>
      <w:r w:rsidRPr="00E9555F" w:rsidR="001E0AF3">
        <w:t xml:space="preserve"> 100-02 (2019) (</w:t>
      </w:r>
      <w:r w:rsidRPr="00B805C7" w:rsidR="001E0AF3">
        <w:rPr>
          <w:i/>
          <w:iCs/>
        </w:rPr>
        <w:t>2019 Lifeline Order</w:t>
      </w:r>
      <w:r w:rsidRPr="00E9555F" w:rsidR="001E0AF3">
        <w:t>).</w:t>
      </w:r>
      <w:r w:rsidR="001E0AF3">
        <w:t xml:space="preserve"> </w:t>
      </w:r>
      <w:r w:rsidR="0033411F">
        <w:t xml:space="preserve"> </w:t>
      </w:r>
      <w:r w:rsidR="001E0AF3">
        <w:t xml:space="preserve">The Commission directed USAC to develop and submit for approval by the Office of the Managing Director and the </w:t>
      </w:r>
      <w:r w:rsidR="008E3D34">
        <w:t>Bureau</w:t>
      </w:r>
      <w:r w:rsidR="001E0AF3">
        <w:t xml:space="preserve"> a list of proposed risk-based factors that would trigger a Biennial Audit under section 54.420(a) of the Commission’s rules in accordance with the guidance provided in the Government Accountability Office’s (GAO’s) Yellow Book and the </w:t>
      </w:r>
      <w:r w:rsidRPr="003D4B33" w:rsidR="001E0AF3">
        <w:t xml:space="preserve">Office of Management and Budget (OMB) Circular No. A-123, </w:t>
      </w:r>
      <w:r w:rsidRPr="003D4B33" w:rsidR="001E0AF3">
        <w:rPr>
          <w:i/>
          <w:iCs/>
        </w:rPr>
        <w:t>Management’s Responsibility for Internal Control</w:t>
      </w:r>
      <w:r w:rsidR="001E0AF3">
        <w:t>.</w:t>
      </w:r>
      <w:r w:rsidR="00EC0DEA">
        <w:t xml:space="preserve">  </w:t>
      </w:r>
      <w:r w:rsidR="00EC0DEA">
        <w:rPr>
          <w:i/>
          <w:iCs/>
        </w:rPr>
        <w:t>2019 Lifeline Order</w:t>
      </w:r>
      <w:r w:rsidR="00EC0DEA">
        <w:t xml:space="preserve">, 34 FCC </w:t>
      </w:r>
      <w:r w:rsidR="00EC0DEA">
        <w:t>Rcd</w:t>
      </w:r>
      <w:r w:rsidR="00EC0DEA">
        <w:t xml:space="preserve"> at </w:t>
      </w:r>
      <w:r w:rsidR="0033411F">
        <w:t>10928-30, para. 101</w:t>
      </w:r>
      <w:r w:rsidR="00406CC7">
        <w:t>.</w:t>
      </w:r>
    </w:p>
  </w:footnote>
  <w:footnote w:id="9">
    <w:p w:rsidR="008743D8" w:rsidRPr="00406CC7" w14:paraId="25A72CC9" w14:textId="4B777B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06CC7">
        <w:rPr>
          <w:i/>
          <w:iCs/>
        </w:rPr>
        <w:t>2019 Lifeline Order</w:t>
      </w:r>
      <w:r w:rsidR="00406CC7">
        <w:t xml:space="preserve">, 34 FCC </w:t>
      </w:r>
      <w:r w:rsidR="00406CC7">
        <w:t>Rcd</w:t>
      </w:r>
      <w:r w:rsidR="00406CC7">
        <w:t xml:space="preserve"> at 10928-31, para. 101.</w:t>
      </w:r>
    </w:p>
  </w:footnote>
  <w:footnote w:id="10">
    <w:p w:rsidR="00EE375C" w:rsidRPr="00406CC7" w14:paraId="28700230" w14:textId="45422C3F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="00406CC7">
        <w:rPr>
          <w:i/>
          <w:iCs/>
        </w:rPr>
        <w:t>Id.</w:t>
      </w:r>
    </w:p>
  </w:footnote>
  <w:footnote w:id="11">
    <w:p w:rsidR="00637611" w14:paraId="3EFF03A9" w14:textId="24E1F5D8">
      <w:pPr>
        <w:pStyle w:val="FootnoteText"/>
      </w:pPr>
      <w:r>
        <w:rPr>
          <w:rStyle w:val="FootnoteReference"/>
        </w:rPr>
        <w:footnoteRef/>
      </w:r>
      <w:r>
        <w:t xml:space="preserve"> Blue Casa Petition at </w:t>
      </w:r>
      <w:r w:rsidR="00CE1343">
        <w:t>1-2.</w:t>
      </w:r>
    </w:p>
  </w:footnote>
  <w:footnote w:id="12">
    <w:p w:rsidR="000A5EE8" w14:paraId="33F90DFF" w14:textId="6CECA9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01E27" w:rsidR="00301E27">
        <w:rPr>
          <w:i/>
          <w:iCs/>
        </w:rPr>
        <w:t>Id.</w:t>
      </w:r>
      <w:r>
        <w:t xml:space="preserve"> at 2-3.</w:t>
      </w:r>
    </w:p>
  </w:footnote>
  <w:footnote w:id="13">
    <w:p w:rsidR="00BA4DB1" w:rsidRPr="00D24F94" w14:paraId="48C2283C" w14:textId="215A3A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 w:rsidR="00D24F94">
        <w:rPr>
          <w:i/>
          <w:iCs/>
        </w:rPr>
        <w:t>Wireline Competition Bureau Seeks Comment on Petition Filed by Blue Casa Telephone, LLC</w:t>
      </w:r>
      <w:r w:rsidR="00D24F94">
        <w:t xml:space="preserve">, WC Docket Nos. 11-42, 09-197, 10-90, Public Notice, DA 22-569 (WCB 2022). </w:t>
      </w:r>
    </w:p>
  </w:footnote>
  <w:footnote w:id="14">
    <w:p w:rsidR="00EE375C" w14:paraId="2602099A" w14:textId="751944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7649" w:rsidR="00EC466D">
        <w:t>47 CFR § 1.3.</w:t>
      </w:r>
    </w:p>
  </w:footnote>
  <w:footnote w:id="15">
    <w:p w:rsidR="00EE375C" w14:paraId="72EAD4E1" w14:textId="68D27D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151AF" w:rsidR="00EC466D">
        <w:rPr>
          <w:i/>
          <w:iCs/>
        </w:rPr>
        <w:t>Northeast Cellular Telephone Co. v. FCC</w:t>
      </w:r>
      <w:r w:rsidRPr="00E97649" w:rsidR="00EC466D">
        <w:t>, 897 F.2d 1164, 1166 (D.C. Cir. 1990).</w:t>
      </w:r>
    </w:p>
  </w:footnote>
  <w:footnote w:id="16">
    <w:p w:rsidR="00EE375C" w14:paraId="1F5D1442" w14:textId="267981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7D6E" w:rsidR="006D5C47">
        <w:rPr>
          <w:i/>
          <w:iCs/>
        </w:rPr>
        <w:t>WAIT Radio v. FCC</w:t>
      </w:r>
      <w:r w:rsidRPr="00E97649" w:rsidR="006D5C47">
        <w:t xml:space="preserve">, 418 F.2d 1153, 1159 (D.C. Cir. 1969); </w:t>
      </w:r>
      <w:r w:rsidRPr="00A27D6E" w:rsidR="006D5C47">
        <w:rPr>
          <w:i/>
          <w:iCs/>
        </w:rPr>
        <w:t>Northeast Cellular</w:t>
      </w:r>
      <w:r w:rsidRPr="00E97649" w:rsidR="006D5C47">
        <w:t>, 897 F.2d at 1166.</w:t>
      </w:r>
    </w:p>
  </w:footnote>
  <w:footnote w:id="17">
    <w:p w:rsidR="00603A0D" w14:paraId="42C9D19C" w14:textId="5BBB9A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7D6E" w:rsidR="006D5C47">
        <w:rPr>
          <w:i/>
          <w:iCs/>
        </w:rPr>
        <w:t>Northeast Cellular</w:t>
      </w:r>
      <w:r w:rsidRPr="00E97649" w:rsidR="006D5C47">
        <w:t>, 897 F.2d at 1166.</w:t>
      </w:r>
    </w:p>
  </w:footnote>
  <w:footnote w:id="18">
    <w:p w:rsidR="00603A0D" w14:paraId="59B2A136" w14:textId="0DDD5F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73E8" w:rsidR="006D5C47">
        <w:rPr>
          <w:i/>
          <w:iCs/>
        </w:rPr>
        <w:t>2012 Lifeline Order</w:t>
      </w:r>
      <w:r w:rsidRPr="00E97649" w:rsidR="006D5C47">
        <w:t xml:space="preserve">, 27 FCC </w:t>
      </w:r>
      <w:r w:rsidRPr="00E97649" w:rsidR="006D5C47">
        <w:t>Rcd</w:t>
      </w:r>
      <w:r w:rsidRPr="00E97649" w:rsidR="006D5C47">
        <w:t xml:space="preserve"> at 6780, para. 284</w:t>
      </w:r>
      <w:r w:rsidR="006D5C47">
        <w:t>.</w:t>
      </w:r>
    </w:p>
  </w:footnote>
  <w:footnote w:id="19">
    <w:p w:rsidR="00B913AF" w14:paraId="77702F09" w14:textId="51C778CA">
      <w:pPr>
        <w:pStyle w:val="FootnoteText"/>
      </w:pPr>
      <w:r>
        <w:rPr>
          <w:rStyle w:val="FootnoteReference"/>
        </w:rPr>
        <w:footnoteRef/>
      </w:r>
      <w:r>
        <w:t xml:space="preserve"> Blue Casa Petition at 1-2.</w:t>
      </w:r>
    </w:p>
  </w:footnote>
  <w:footnote w:id="20">
    <w:p w:rsidR="00C26E4D" w14:paraId="6FEBD619" w14:textId="53AA9B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6A75">
        <w:rPr>
          <w:lang w:bidi="he-IL"/>
        </w:rPr>
        <w:t xml:space="preserve">For example, </w:t>
      </w:r>
      <w:r>
        <w:rPr>
          <w:lang w:bidi="he-IL"/>
        </w:rPr>
        <w:t xml:space="preserve">the </w:t>
      </w:r>
      <w:r w:rsidRPr="009C6A75">
        <w:rPr>
          <w:lang w:bidi="he-IL"/>
        </w:rPr>
        <w:t>Enforcement Bureau issued a</w:t>
      </w:r>
      <w:r>
        <w:rPr>
          <w:lang w:bidi="he-IL"/>
        </w:rPr>
        <w:t xml:space="preserve"> P</w:t>
      </w:r>
      <w:r w:rsidRPr="009C6A75">
        <w:rPr>
          <w:lang w:bidi="he-IL"/>
        </w:rPr>
        <w:t xml:space="preserve">ublic </w:t>
      </w:r>
      <w:r>
        <w:rPr>
          <w:lang w:bidi="he-IL"/>
        </w:rPr>
        <w:t>N</w:t>
      </w:r>
      <w:r w:rsidRPr="009C6A75">
        <w:rPr>
          <w:lang w:bidi="he-IL"/>
        </w:rPr>
        <w:t xml:space="preserve">otice in 2019 noting that “[n]either the NLAD nor the National Verifier creates a </w:t>
      </w:r>
      <w:r>
        <w:rPr>
          <w:lang w:bidi="he-IL"/>
        </w:rPr>
        <w:t>‘</w:t>
      </w:r>
      <w:r w:rsidRPr="009C6A75">
        <w:rPr>
          <w:lang w:bidi="he-IL"/>
        </w:rPr>
        <w:t>safe harbor</w:t>
      </w:r>
      <w:r>
        <w:rPr>
          <w:lang w:bidi="he-IL"/>
        </w:rPr>
        <w:t>’</w:t>
      </w:r>
      <w:r w:rsidRPr="009C6A75">
        <w:rPr>
          <w:lang w:bidi="he-IL"/>
        </w:rPr>
        <w:t xml:space="preserve"> that relieves ETCs of their responsibility for only claiming Lifeline consumers who are actually eligible for the program under the Commission’s rules.</w:t>
      </w:r>
      <w:r w:rsidR="002F773F">
        <w:rPr>
          <w:lang w:bidi="he-IL"/>
        </w:rPr>
        <w:t xml:space="preserve">”  </w:t>
      </w:r>
      <w:r w:rsidRPr="009C6A75">
        <w:rPr>
          <w:i/>
          <w:iCs/>
          <w:color w:val="000000"/>
          <w:lang w:bidi="he-IL"/>
        </w:rPr>
        <w:t>FCC Enforcement Advisory: Lifeline Providers Remain Liable For Ensuring The Eligibility Of Their Subscribers To Receive Lifeline Service</w:t>
      </w:r>
      <w:r w:rsidRPr="00245953">
        <w:rPr>
          <w:color w:val="000000"/>
          <w:lang w:bidi="he-IL"/>
        </w:rPr>
        <w:t>,</w:t>
      </w:r>
      <w:r w:rsidRPr="009C6A75">
        <w:rPr>
          <w:i/>
          <w:iCs/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Public Notice, </w:t>
      </w:r>
      <w:r w:rsidRPr="005239B3">
        <w:rPr>
          <w:color w:val="000000"/>
          <w:lang w:bidi="he-IL"/>
        </w:rPr>
        <w:t>DA-19</w:t>
      </w:r>
      <w:r w:rsidRPr="009C6A75">
        <w:rPr>
          <w:color w:val="000000"/>
          <w:lang w:bidi="he-IL"/>
        </w:rPr>
        <w:t>-1211</w:t>
      </w:r>
      <w:r>
        <w:rPr>
          <w:color w:val="000000"/>
          <w:lang w:bidi="he-IL"/>
        </w:rPr>
        <w:t xml:space="preserve"> (</w:t>
      </w:r>
      <w:r w:rsidR="002F773F">
        <w:rPr>
          <w:color w:val="000000"/>
          <w:lang w:bidi="he-IL"/>
        </w:rPr>
        <w:t>EB 2019</w:t>
      </w:r>
      <w:r>
        <w:rPr>
          <w:color w:val="000000"/>
          <w:lang w:bidi="he-IL"/>
        </w:rPr>
        <w:t>).</w:t>
      </w:r>
      <w:r w:rsidR="00B913AF">
        <w:rPr>
          <w:lang w:bidi="he-IL"/>
        </w:rPr>
        <w:t xml:space="preserve"> </w:t>
      </w:r>
      <w:r>
        <w:rPr>
          <w:lang w:bidi="he-IL"/>
        </w:rPr>
        <w:t xml:space="preserve"> </w:t>
      </w:r>
      <w:r w:rsidR="00B913AF">
        <w:rPr>
          <w:lang w:bidi="he-IL"/>
        </w:rPr>
        <w:t xml:space="preserve">Additionally, we </w:t>
      </w:r>
      <w:r w:rsidRPr="009C6A75">
        <w:rPr>
          <w:lang w:bidi="he-IL"/>
        </w:rPr>
        <w:t xml:space="preserve">issued a </w:t>
      </w:r>
      <w:r>
        <w:rPr>
          <w:lang w:bidi="he-IL"/>
        </w:rPr>
        <w:t>P</w:t>
      </w:r>
      <w:r w:rsidRPr="009C6A75">
        <w:rPr>
          <w:lang w:bidi="he-IL"/>
        </w:rPr>
        <w:t xml:space="preserve">ublic </w:t>
      </w:r>
      <w:r>
        <w:rPr>
          <w:lang w:bidi="he-IL"/>
        </w:rPr>
        <w:t>N</w:t>
      </w:r>
      <w:r w:rsidRPr="009C6A75">
        <w:rPr>
          <w:lang w:bidi="he-IL"/>
        </w:rPr>
        <w:t>otice in 2017 stating</w:t>
      </w:r>
      <w:r w:rsidR="002F773F">
        <w:rPr>
          <w:lang w:bidi="he-IL"/>
        </w:rPr>
        <w:t xml:space="preserve"> that</w:t>
      </w:r>
      <w:r w:rsidRPr="009C6A75">
        <w:rPr>
          <w:lang w:bidi="he-IL"/>
        </w:rPr>
        <w:t xml:space="preserve"> “while the National Verifier will … fight against waste, fraud, and abuse, its implementation will not provide a </w:t>
      </w:r>
      <w:r>
        <w:rPr>
          <w:lang w:bidi="he-IL"/>
        </w:rPr>
        <w:t>‘</w:t>
      </w:r>
      <w:r w:rsidRPr="009C6A75">
        <w:rPr>
          <w:lang w:bidi="he-IL"/>
        </w:rPr>
        <w:t>safe harbor</w:t>
      </w:r>
      <w:r>
        <w:rPr>
          <w:lang w:bidi="he-IL"/>
        </w:rPr>
        <w:t xml:space="preserve">’ </w:t>
      </w:r>
      <w:r w:rsidRPr="009C6A75">
        <w:rPr>
          <w:lang w:bidi="he-IL"/>
        </w:rPr>
        <w:t xml:space="preserve">for ETCs that improperly claim or obtain reimbursement. </w:t>
      </w:r>
      <w:r w:rsidR="002F773F">
        <w:rPr>
          <w:lang w:bidi="he-IL"/>
        </w:rPr>
        <w:t xml:space="preserve"> </w:t>
      </w:r>
      <w:r w:rsidRPr="009C6A75">
        <w:rPr>
          <w:lang w:bidi="he-IL"/>
        </w:rPr>
        <w:t>Providers must continue to take steps to detect and prevent fraud and improper claims.”</w:t>
      </w:r>
      <w:r w:rsidR="002F773F">
        <w:rPr>
          <w:lang w:bidi="he-IL"/>
        </w:rPr>
        <w:t xml:space="preserve"> </w:t>
      </w:r>
      <w:r w:rsidRPr="009C6A75">
        <w:rPr>
          <w:lang w:bidi="he-IL"/>
        </w:rPr>
        <w:t xml:space="preserve"> </w:t>
      </w:r>
      <w:r w:rsidRPr="009C6A75">
        <w:rPr>
          <w:i/>
          <w:iCs/>
          <w:color w:val="000000"/>
          <w:lang w:bidi="he-IL"/>
        </w:rPr>
        <w:t>Wireline Competition Bureau Reminds Eligible Telecommunications Carriers of Their Ongoing Responsibility To Claim Lifeline Support Only For Eligible Low-Income Consumers</w:t>
      </w:r>
      <w:r w:rsidRPr="009C6A75">
        <w:rPr>
          <w:color w:val="000000"/>
          <w:lang w:bidi="he-IL"/>
        </w:rPr>
        <w:t xml:space="preserve">, </w:t>
      </w:r>
      <w:r>
        <w:rPr>
          <w:color w:val="000000"/>
          <w:lang w:bidi="he-IL"/>
        </w:rPr>
        <w:t xml:space="preserve">Docket No. 11-42, Public Notice, </w:t>
      </w:r>
      <w:r w:rsidRPr="009C6A75">
        <w:rPr>
          <w:color w:val="000000"/>
          <w:lang w:bidi="he-IL"/>
        </w:rPr>
        <w:t xml:space="preserve">32 FCC </w:t>
      </w:r>
      <w:r w:rsidRPr="009C6A75">
        <w:rPr>
          <w:color w:val="000000"/>
          <w:lang w:bidi="he-IL"/>
        </w:rPr>
        <w:t>Rcd</w:t>
      </w:r>
      <w:r w:rsidRPr="009C6A75">
        <w:rPr>
          <w:color w:val="000000"/>
          <w:lang w:bidi="he-IL"/>
        </w:rPr>
        <w:t xml:space="preserve"> 5129 </w:t>
      </w:r>
      <w:r>
        <w:rPr>
          <w:color w:val="000000"/>
          <w:lang w:bidi="he-IL"/>
        </w:rPr>
        <w:t>(</w:t>
      </w:r>
      <w:r w:rsidR="002F773F">
        <w:rPr>
          <w:color w:val="000000"/>
          <w:lang w:bidi="he-IL"/>
        </w:rPr>
        <w:t xml:space="preserve">WCB </w:t>
      </w:r>
      <w:r>
        <w:rPr>
          <w:color w:val="000000"/>
          <w:lang w:bidi="he-IL"/>
        </w:rPr>
        <w:t>2017).</w:t>
      </w:r>
    </w:p>
  </w:footnote>
  <w:footnote w:id="21">
    <w:p w:rsidR="0037325B" w:rsidRPr="0037325B" w14:paraId="14CBF4C2" w14:textId="23D3F9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t>47 CFR § 54.410(b)(2), (c)(2), (f)(3).</w:t>
      </w:r>
    </w:p>
  </w:footnote>
  <w:footnote w:id="22">
    <w:p w:rsidR="00B45CBA" w:rsidRPr="00B45CBA" w14:paraId="3AC29213" w14:textId="5D6451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t>47 CFR § 54.405.</w:t>
      </w:r>
    </w:p>
  </w:footnote>
  <w:footnote w:id="23">
    <w:p w:rsidR="00B757CE" w:rsidRPr="00207C8F" w14:paraId="48F00F27" w14:textId="7451AB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F6182">
        <w:t>Blue Casa Petition at 2-3.</w:t>
      </w:r>
    </w:p>
  </w:footnote>
  <w:footnote w:id="24">
    <w:p w:rsidR="005F6182" w14:paraId="7516AFD3" w14:textId="56C03F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t xml:space="preserve">USAC, </w:t>
      </w:r>
      <w:r>
        <w:rPr>
          <w:i/>
          <w:iCs/>
        </w:rPr>
        <w:t>Funding Disbursement Search</w:t>
      </w:r>
      <w:r>
        <w:t xml:space="preserve">, </w:t>
      </w:r>
      <w:hyperlink r:id="rId2" w:history="1">
        <w:r w:rsidRPr="00A3737D">
          <w:rPr>
            <w:rStyle w:val="Hyperlink"/>
          </w:rPr>
          <w:t>https://apps.usac.org/li/tools/disbursements/results.aspx</w:t>
        </w:r>
      </w:hyperlink>
      <w:r>
        <w:t xml:space="preserve"> (last visited July 6, 2022).</w:t>
      </w:r>
    </w:p>
  </w:footnote>
  <w:footnote w:id="25">
    <w:p w:rsidR="00036E8D" w:rsidRPr="00036E8D" w14:paraId="17251683" w14:textId="3F9C2B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See, e.g.</w:t>
      </w:r>
      <w:r>
        <w:t xml:space="preserve">, 47 CFR § 54.201(h).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3E8832FD" w14:textId="00E65A64">
    <w:pPr>
      <w:pStyle w:val="Header"/>
      <w:rPr>
        <w:b w:val="0"/>
      </w:rPr>
    </w:pPr>
    <w:r>
      <w:tab/>
      <w:t>Federal Communications Commission</w:t>
    </w:r>
    <w:r>
      <w:tab/>
    </w:r>
    <w:r w:rsidR="00216FDF">
      <w:t>DA 22-</w:t>
    </w:r>
    <w:r w:rsidR="0090111F">
      <w:t>770</w:t>
    </w:r>
  </w:p>
  <w:p w:rsidR="00D25FB5" w14:paraId="0A18E07E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8240" o:allowincell="f" fillcolor="black" stroked="f" strokeweight="0.05pt">
          <w10:wrap anchorx="margin"/>
        </v:rect>
      </w:pict>
    </w:r>
  </w:p>
  <w:p w:rsidR="00D25FB5" w14:paraId="7768E74F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65BC0B47" w14:textId="275BA5BF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216FDF">
      <w:rPr>
        <w:spacing w:val="-2"/>
      </w:rPr>
      <w:t>DA 22-</w:t>
    </w:r>
    <w:r w:rsidR="0090111F">
      <w:rPr>
        <w:spacing w:val="-2"/>
      </w:rPr>
      <w:t>770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characterSpacingControl w:val="doNotCompress"/>
  <w:footnotePr>
    <w:footnote w:id="0"/>
    <w:footnote w:id="1"/>
    <w:footnote w:id="2"/>
  </w:footnotePr>
  <w:endnotePr>
    <w:numFmt w:val="decimal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AA"/>
    <w:rsid w:val="000054ED"/>
    <w:rsid w:val="00032A3F"/>
    <w:rsid w:val="00036039"/>
    <w:rsid w:val="00036E8D"/>
    <w:rsid w:val="00037F90"/>
    <w:rsid w:val="00042381"/>
    <w:rsid w:val="00043077"/>
    <w:rsid w:val="00084C99"/>
    <w:rsid w:val="000875BF"/>
    <w:rsid w:val="00091FEB"/>
    <w:rsid w:val="000949D7"/>
    <w:rsid w:val="00096D8C"/>
    <w:rsid w:val="000A5EE8"/>
    <w:rsid w:val="000C0B65"/>
    <w:rsid w:val="000D00EE"/>
    <w:rsid w:val="000D5EB8"/>
    <w:rsid w:val="000E05FE"/>
    <w:rsid w:val="000E3D42"/>
    <w:rsid w:val="0010643D"/>
    <w:rsid w:val="00120003"/>
    <w:rsid w:val="00122BD5"/>
    <w:rsid w:val="00133F79"/>
    <w:rsid w:val="00134983"/>
    <w:rsid w:val="0014037A"/>
    <w:rsid w:val="001718CF"/>
    <w:rsid w:val="00194A66"/>
    <w:rsid w:val="001B4863"/>
    <w:rsid w:val="001B6D2B"/>
    <w:rsid w:val="001B7B1D"/>
    <w:rsid w:val="001D6BCF"/>
    <w:rsid w:val="001E01CA"/>
    <w:rsid w:val="001E0AF3"/>
    <w:rsid w:val="00204A6D"/>
    <w:rsid w:val="0020720A"/>
    <w:rsid w:val="00207C8F"/>
    <w:rsid w:val="00216FDF"/>
    <w:rsid w:val="00245953"/>
    <w:rsid w:val="00255C59"/>
    <w:rsid w:val="00275CF5"/>
    <w:rsid w:val="0028301F"/>
    <w:rsid w:val="00285017"/>
    <w:rsid w:val="00290825"/>
    <w:rsid w:val="00294FA3"/>
    <w:rsid w:val="002A2D2E"/>
    <w:rsid w:val="002B597D"/>
    <w:rsid w:val="002C00E8"/>
    <w:rsid w:val="002F53B6"/>
    <w:rsid w:val="002F773F"/>
    <w:rsid w:val="00301E27"/>
    <w:rsid w:val="003020CB"/>
    <w:rsid w:val="0033411F"/>
    <w:rsid w:val="00343749"/>
    <w:rsid w:val="003660ED"/>
    <w:rsid w:val="0037325B"/>
    <w:rsid w:val="00380AF9"/>
    <w:rsid w:val="003828C1"/>
    <w:rsid w:val="00396218"/>
    <w:rsid w:val="003B0550"/>
    <w:rsid w:val="003B694F"/>
    <w:rsid w:val="003D4B33"/>
    <w:rsid w:val="003E0910"/>
    <w:rsid w:val="003F171C"/>
    <w:rsid w:val="00405ADF"/>
    <w:rsid w:val="00406CC7"/>
    <w:rsid w:val="00412FC5"/>
    <w:rsid w:val="00416A41"/>
    <w:rsid w:val="00421FA0"/>
    <w:rsid w:val="00422276"/>
    <w:rsid w:val="004242F1"/>
    <w:rsid w:val="00444F4E"/>
    <w:rsid w:val="00445A00"/>
    <w:rsid w:val="00451B0F"/>
    <w:rsid w:val="00452A46"/>
    <w:rsid w:val="00491511"/>
    <w:rsid w:val="004951BB"/>
    <w:rsid w:val="0049722F"/>
    <w:rsid w:val="004A495E"/>
    <w:rsid w:val="004C2EE3"/>
    <w:rsid w:val="004C7DAA"/>
    <w:rsid w:val="004D2073"/>
    <w:rsid w:val="004E4A22"/>
    <w:rsid w:val="004F498D"/>
    <w:rsid w:val="00511066"/>
    <w:rsid w:val="00511968"/>
    <w:rsid w:val="005239B3"/>
    <w:rsid w:val="0053305B"/>
    <w:rsid w:val="0055614C"/>
    <w:rsid w:val="00566D06"/>
    <w:rsid w:val="00576152"/>
    <w:rsid w:val="00584D5F"/>
    <w:rsid w:val="00596F0C"/>
    <w:rsid w:val="00597AF9"/>
    <w:rsid w:val="005A36E9"/>
    <w:rsid w:val="005A5490"/>
    <w:rsid w:val="005A5ADE"/>
    <w:rsid w:val="005B3320"/>
    <w:rsid w:val="005B71D0"/>
    <w:rsid w:val="005E14C2"/>
    <w:rsid w:val="005F21EF"/>
    <w:rsid w:val="005F6182"/>
    <w:rsid w:val="00603A0D"/>
    <w:rsid w:val="00607BA5"/>
    <w:rsid w:val="00610C44"/>
    <w:rsid w:val="0061180A"/>
    <w:rsid w:val="00626EB6"/>
    <w:rsid w:val="006346D4"/>
    <w:rsid w:val="00635878"/>
    <w:rsid w:val="00637611"/>
    <w:rsid w:val="00655D03"/>
    <w:rsid w:val="00675B23"/>
    <w:rsid w:val="00683388"/>
    <w:rsid w:val="00683F84"/>
    <w:rsid w:val="00691431"/>
    <w:rsid w:val="006A5D2B"/>
    <w:rsid w:val="006A6A81"/>
    <w:rsid w:val="006B2A41"/>
    <w:rsid w:val="006D07F0"/>
    <w:rsid w:val="006D2342"/>
    <w:rsid w:val="006D5C47"/>
    <w:rsid w:val="006E2DBB"/>
    <w:rsid w:val="006E6E81"/>
    <w:rsid w:val="006F7393"/>
    <w:rsid w:val="0070224F"/>
    <w:rsid w:val="007115F7"/>
    <w:rsid w:val="0071459E"/>
    <w:rsid w:val="007146E2"/>
    <w:rsid w:val="007178DD"/>
    <w:rsid w:val="0072084F"/>
    <w:rsid w:val="00735140"/>
    <w:rsid w:val="00735C03"/>
    <w:rsid w:val="00752AD5"/>
    <w:rsid w:val="00777921"/>
    <w:rsid w:val="00785689"/>
    <w:rsid w:val="0079754B"/>
    <w:rsid w:val="007A1E6D"/>
    <w:rsid w:val="007A72F0"/>
    <w:rsid w:val="007B0EB2"/>
    <w:rsid w:val="007B7DCD"/>
    <w:rsid w:val="007C73F0"/>
    <w:rsid w:val="007E27DD"/>
    <w:rsid w:val="007E47AD"/>
    <w:rsid w:val="007E653F"/>
    <w:rsid w:val="00800B79"/>
    <w:rsid w:val="00810B6F"/>
    <w:rsid w:val="008151AF"/>
    <w:rsid w:val="00822CE0"/>
    <w:rsid w:val="00835328"/>
    <w:rsid w:val="00841AB1"/>
    <w:rsid w:val="008470B4"/>
    <w:rsid w:val="00851163"/>
    <w:rsid w:val="00862EBB"/>
    <w:rsid w:val="008743D8"/>
    <w:rsid w:val="00883AA0"/>
    <w:rsid w:val="00897E2D"/>
    <w:rsid w:val="008B4505"/>
    <w:rsid w:val="008B5C85"/>
    <w:rsid w:val="008C68F1"/>
    <w:rsid w:val="008D1A1A"/>
    <w:rsid w:val="008D1C06"/>
    <w:rsid w:val="008E3D34"/>
    <w:rsid w:val="00900F1C"/>
    <w:rsid w:val="0090111F"/>
    <w:rsid w:val="00921803"/>
    <w:rsid w:val="00926503"/>
    <w:rsid w:val="009429F8"/>
    <w:rsid w:val="009438F0"/>
    <w:rsid w:val="009726D8"/>
    <w:rsid w:val="009C11E4"/>
    <w:rsid w:val="009C6A75"/>
    <w:rsid w:val="009D7308"/>
    <w:rsid w:val="009F76DB"/>
    <w:rsid w:val="00A1027B"/>
    <w:rsid w:val="00A16DDA"/>
    <w:rsid w:val="00A27D6E"/>
    <w:rsid w:val="00A32C3B"/>
    <w:rsid w:val="00A3737D"/>
    <w:rsid w:val="00A45F4F"/>
    <w:rsid w:val="00A600A9"/>
    <w:rsid w:val="00A826D3"/>
    <w:rsid w:val="00A83B2B"/>
    <w:rsid w:val="00A843BF"/>
    <w:rsid w:val="00A91681"/>
    <w:rsid w:val="00AA55B7"/>
    <w:rsid w:val="00AA5897"/>
    <w:rsid w:val="00AA5B9E"/>
    <w:rsid w:val="00AB2407"/>
    <w:rsid w:val="00AB53DF"/>
    <w:rsid w:val="00AD76DB"/>
    <w:rsid w:val="00B00A44"/>
    <w:rsid w:val="00B07E5C"/>
    <w:rsid w:val="00B24DF6"/>
    <w:rsid w:val="00B34E4A"/>
    <w:rsid w:val="00B45CBA"/>
    <w:rsid w:val="00B65A50"/>
    <w:rsid w:val="00B757CE"/>
    <w:rsid w:val="00B805C7"/>
    <w:rsid w:val="00B811F7"/>
    <w:rsid w:val="00B913AF"/>
    <w:rsid w:val="00BA4DB1"/>
    <w:rsid w:val="00BA5DC6"/>
    <w:rsid w:val="00BA6196"/>
    <w:rsid w:val="00BB50AB"/>
    <w:rsid w:val="00BC6D8C"/>
    <w:rsid w:val="00BC76AD"/>
    <w:rsid w:val="00BF5B0F"/>
    <w:rsid w:val="00C073E8"/>
    <w:rsid w:val="00C144D4"/>
    <w:rsid w:val="00C205E1"/>
    <w:rsid w:val="00C219C7"/>
    <w:rsid w:val="00C26E4D"/>
    <w:rsid w:val="00C34006"/>
    <w:rsid w:val="00C36B4C"/>
    <w:rsid w:val="00C426B1"/>
    <w:rsid w:val="00C66160"/>
    <w:rsid w:val="00C721AC"/>
    <w:rsid w:val="00C90D6A"/>
    <w:rsid w:val="00CA247E"/>
    <w:rsid w:val="00CA6D21"/>
    <w:rsid w:val="00CC72B6"/>
    <w:rsid w:val="00CD47CE"/>
    <w:rsid w:val="00CE1343"/>
    <w:rsid w:val="00CF516C"/>
    <w:rsid w:val="00D0218D"/>
    <w:rsid w:val="00D114D4"/>
    <w:rsid w:val="00D23CE1"/>
    <w:rsid w:val="00D24F94"/>
    <w:rsid w:val="00D25FB5"/>
    <w:rsid w:val="00D32D34"/>
    <w:rsid w:val="00D32E2C"/>
    <w:rsid w:val="00D43AF5"/>
    <w:rsid w:val="00D44223"/>
    <w:rsid w:val="00D609BB"/>
    <w:rsid w:val="00D72B56"/>
    <w:rsid w:val="00D8462D"/>
    <w:rsid w:val="00DA2529"/>
    <w:rsid w:val="00DB130A"/>
    <w:rsid w:val="00DB2EBB"/>
    <w:rsid w:val="00DC10A1"/>
    <w:rsid w:val="00DC655F"/>
    <w:rsid w:val="00DD0B59"/>
    <w:rsid w:val="00DD3116"/>
    <w:rsid w:val="00DD7EBD"/>
    <w:rsid w:val="00DF62B6"/>
    <w:rsid w:val="00E05F8D"/>
    <w:rsid w:val="00E07225"/>
    <w:rsid w:val="00E231CE"/>
    <w:rsid w:val="00E5409F"/>
    <w:rsid w:val="00E541FA"/>
    <w:rsid w:val="00E55334"/>
    <w:rsid w:val="00E65CB9"/>
    <w:rsid w:val="00E6765C"/>
    <w:rsid w:val="00E86C90"/>
    <w:rsid w:val="00E9555F"/>
    <w:rsid w:val="00E97649"/>
    <w:rsid w:val="00EA1DAB"/>
    <w:rsid w:val="00EA63CA"/>
    <w:rsid w:val="00EC0DEA"/>
    <w:rsid w:val="00EC466D"/>
    <w:rsid w:val="00EC65E2"/>
    <w:rsid w:val="00EC7405"/>
    <w:rsid w:val="00EE375C"/>
    <w:rsid w:val="00EE6488"/>
    <w:rsid w:val="00EF03AA"/>
    <w:rsid w:val="00F021FA"/>
    <w:rsid w:val="00F04BE1"/>
    <w:rsid w:val="00F14A16"/>
    <w:rsid w:val="00F14EEF"/>
    <w:rsid w:val="00F25CA3"/>
    <w:rsid w:val="00F405C0"/>
    <w:rsid w:val="00F60D41"/>
    <w:rsid w:val="00F62E97"/>
    <w:rsid w:val="00F64209"/>
    <w:rsid w:val="00F64B18"/>
    <w:rsid w:val="00F672F9"/>
    <w:rsid w:val="00F93BF5"/>
    <w:rsid w:val="00FC3290"/>
    <w:rsid w:val="00FD6BB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F019488"/>
  <w15:docId w15:val="{8326B0EA-47F8-454C-A9DA-C98C96A7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E231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31C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231CE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E23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31CE"/>
    <w:rPr>
      <w:b/>
      <w:bCs/>
      <w:snapToGrid w:val="0"/>
      <w:kern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1D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80A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951BB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fcc.gov/ecfs/search/search-filings/filing/10517798100669" TargetMode="External" /><Relationship Id="rId2" Type="http://schemas.openxmlformats.org/officeDocument/2006/relationships/hyperlink" Target="https://apps.usac.org/li/tools/disbursements/results.aspx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