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D21E0" w14:paraId="25D81C92" w14:textId="52E35175">
      <w:pPr>
        <w:jc w:val="right"/>
        <w:rPr>
          <w:b/>
          <w:sz w:val="24"/>
        </w:rPr>
      </w:pPr>
      <w:r>
        <w:rPr>
          <w:b/>
          <w:sz w:val="24"/>
        </w:rPr>
        <w:t>DA 22-638</w:t>
      </w:r>
    </w:p>
    <w:p w:rsidR="000D21E0" w14:paraId="6ECCE47A" w14:textId="546BFB9A">
      <w:pPr>
        <w:spacing w:before="60"/>
        <w:jc w:val="right"/>
        <w:rPr>
          <w:b/>
          <w:sz w:val="24"/>
        </w:rPr>
      </w:pPr>
      <w:r>
        <w:rPr>
          <w:b/>
          <w:sz w:val="24"/>
        </w:rPr>
        <w:t xml:space="preserve">Released:  </w:t>
      </w:r>
      <w:r w:rsidR="00577833">
        <w:rPr>
          <w:b/>
          <w:sz w:val="24"/>
        </w:rPr>
        <w:t>June 14, 2022</w:t>
      </w:r>
    </w:p>
    <w:p w:rsidR="000D21E0" w14:paraId="45661B8C" w14:textId="77777777">
      <w:pPr>
        <w:jc w:val="right"/>
        <w:rPr>
          <w:sz w:val="24"/>
        </w:rPr>
      </w:pPr>
    </w:p>
    <w:p w:rsidR="00577833" w:rsidRPr="006B0E4F" w:rsidP="00577833" w14:paraId="4D9D2AE4" w14:textId="77777777">
      <w:pPr>
        <w:jc w:val="center"/>
        <w:rPr>
          <w:b/>
          <w:sz w:val="24"/>
          <w:szCs w:val="22"/>
        </w:rPr>
      </w:pPr>
      <w:r w:rsidRPr="006B0E4F">
        <w:rPr>
          <w:b/>
          <w:sz w:val="24"/>
          <w:szCs w:val="22"/>
        </w:rPr>
        <w:t>CONNECT AMERICA FUND PHASE II AUCTION SUPPORT</w:t>
      </w:r>
    </w:p>
    <w:p w:rsidR="000D21E0" w:rsidP="00577833" w14:paraId="793BB42E" w14:textId="21833B94">
      <w:pPr>
        <w:spacing w:after="240"/>
        <w:jc w:val="center"/>
        <w:rPr>
          <w:rFonts w:ascii="Times New Roman Bold" w:hAnsi="Times New Roman Bold"/>
          <w:b/>
          <w:caps/>
          <w:sz w:val="24"/>
        </w:rPr>
      </w:pPr>
      <w:r w:rsidRPr="006B0E4F">
        <w:rPr>
          <w:b/>
          <w:sz w:val="24"/>
          <w:szCs w:val="22"/>
        </w:rPr>
        <w:t xml:space="preserve">FOR </w:t>
      </w:r>
      <w:r>
        <w:rPr>
          <w:b/>
          <w:sz w:val="24"/>
          <w:szCs w:val="22"/>
        </w:rPr>
        <w:t>ONE</w:t>
      </w:r>
      <w:r w:rsidRPr="006B0E4F">
        <w:rPr>
          <w:b/>
          <w:sz w:val="24"/>
          <w:szCs w:val="22"/>
        </w:rPr>
        <w:t xml:space="preserve"> WINNING BID READY TO BE AUTHORIZED</w:t>
      </w:r>
    </w:p>
    <w:p w:rsidR="000D21E0" w14:paraId="027C3F40" w14:textId="6A83AEEC">
      <w:pPr>
        <w:spacing w:after="240"/>
        <w:jc w:val="center"/>
        <w:rPr>
          <w:b/>
          <w:sz w:val="24"/>
        </w:rPr>
      </w:pPr>
      <w:r w:rsidRPr="00577833">
        <w:rPr>
          <w:b/>
          <w:sz w:val="24"/>
        </w:rPr>
        <w:t>Listed Auction 903 Long-Form Applicant Must Submit Letter of Credit and</w:t>
      </w:r>
      <w:r w:rsidRPr="00577833">
        <w:rPr>
          <w:b/>
          <w:sz w:val="24"/>
        </w:rPr>
        <w:br/>
        <w:t>Legal Counsel’s Opinion Letter by June 29, 2022</w:t>
      </w:r>
    </w:p>
    <w:p w:rsidR="00577833" w:rsidRPr="000020F3" w:rsidP="00577833" w14:paraId="5BC882F5" w14:textId="77777777">
      <w:pPr>
        <w:jc w:val="center"/>
        <w:rPr>
          <w:b/>
          <w:sz w:val="24"/>
        </w:rPr>
      </w:pPr>
      <w:r w:rsidRPr="000020F3">
        <w:rPr>
          <w:b/>
          <w:sz w:val="24"/>
        </w:rPr>
        <w:t>AU Docket No. 17-182</w:t>
      </w:r>
    </w:p>
    <w:p w:rsidR="000D21E0" w:rsidP="00577833" w14:paraId="73933B82" w14:textId="08C86488">
      <w:pPr>
        <w:jc w:val="center"/>
        <w:rPr>
          <w:b/>
          <w:sz w:val="24"/>
        </w:rPr>
      </w:pPr>
      <w:r w:rsidRPr="000020F3">
        <w:rPr>
          <w:b/>
          <w:sz w:val="24"/>
        </w:rPr>
        <w:t>WC Docket No. 10-90</w:t>
      </w:r>
    </w:p>
    <w:p w:rsidR="00577833" w:rsidP="00577833" w14:paraId="0AC56417" w14:textId="6DBC0596">
      <w:pPr>
        <w:rPr>
          <w:b/>
          <w:sz w:val="24"/>
        </w:rPr>
      </w:pPr>
    </w:p>
    <w:p w:rsidR="00577833" w:rsidP="00577833" w14:paraId="363BEC3F" w14:textId="77777777">
      <w:pPr>
        <w:tabs>
          <w:tab w:val="left" w:pos="720"/>
        </w:tabs>
        <w:spacing w:after="120"/>
        <w:ind w:firstLine="720"/>
        <w:rPr>
          <w:b/>
        </w:rPr>
      </w:pPr>
      <w:r w:rsidRPr="00FB1424">
        <w:t xml:space="preserve">By this Public Notice, the Rural Broadband Auctions Task Force, Wireline Competition Bureau, and the Office of Economics and Analytics announce they are ready to authorize Connect America Fund Phase II auction (Auction 903) support for the Auction 903 winning bid identified in Attachment A of this Public Notice.  To be authorized to receive the total 10-year support amounts listed in Attachment A, the long-form applicant identified in that attachment </w:t>
      </w:r>
      <w:r>
        <w:t>is</w:t>
      </w:r>
      <w:r w:rsidRPr="00FB1424">
        <w:t xml:space="preserve"> required to submit </w:t>
      </w:r>
      <w:r>
        <w:t xml:space="preserve">an </w:t>
      </w:r>
      <w:r w:rsidRPr="00FB1424">
        <w:t xml:space="preserve">acceptable irrevocable stand-by letter of credit and Bankruptcy Code opinion letter from their legal counsel for </w:t>
      </w:r>
      <w:r>
        <w:t>the</w:t>
      </w:r>
      <w:r w:rsidRPr="00FB1424">
        <w:t xml:space="preserve"> state where they have </w:t>
      </w:r>
      <w:r>
        <w:t xml:space="preserve">the </w:t>
      </w:r>
      <w:r w:rsidRPr="00FB1424">
        <w:t xml:space="preserve">winning bid that </w:t>
      </w:r>
      <w:r>
        <w:t>is</w:t>
      </w:r>
      <w:r w:rsidRPr="00FB1424">
        <w:t xml:space="preserve"> ready to be authorized in accordance with the instructions provided below by the applicable deadline – </w:t>
      </w:r>
      <w:r w:rsidRPr="00FB1424">
        <w:rPr>
          <w:b/>
        </w:rPr>
        <w:t>prior to</w:t>
      </w:r>
      <w:r w:rsidRPr="00FB1424">
        <w:t xml:space="preserve"> </w:t>
      </w:r>
      <w:r w:rsidRPr="00FB1424">
        <w:rPr>
          <w:b/>
        </w:rPr>
        <w:t>6:</w:t>
      </w:r>
      <w:r w:rsidRPr="00EA1AA9">
        <w:rPr>
          <w:b/>
        </w:rPr>
        <w:t>00 p.m. ET on June 2</w:t>
      </w:r>
      <w:r>
        <w:rPr>
          <w:b/>
        </w:rPr>
        <w:t>9</w:t>
      </w:r>
      <w:r w:rsidRPr="00EA1AA9">
        <w:rPr>
          <w:b/>
        </w:rPr>
        <w:t>, 2022.</w:t>
      </w:r>
    </w:p>
    <w:p w:rsidR="00577833" w:rsidP="00577833" w14:paraId="33E30DD8" w14:textId="77777777">
      <w:pPr>
        <w:widowControl/>
        <w:tabs>
          <w:tab w:val="left" w:pos="720"/>
        </w:tabs>
        <w:spacing w:after="120"/>
        <w:ind w:firstLine="720"/>
      </w:pPr>
      <w:r w:rsidRPr="2355F555">
        <w:rPr>
          <w:i/>
        </w:rPr>
        <w:t>Viasat</w:t>
      </w:r>
      <w:r w:rsidRPr="2355F555">
        <w:rPr>
          <w:i/>
        </w:rPr>
        <w:t xml:space="preserve"> Carrier Services, Inc. </w:t>
      </w:r>
      <w:r w:rsidRPr="00FB1424">
        <w:rPr>
          <w:szCs w:val="22"/>
        </w:rPr>
        <w:t xml:space="preserve"> </w:t>
      </w:r>
      <w:r w:rsidRPr="2355F555">
        <w:t xml:space="preserve">Each </w:t>
      </w:r>
      <w:r w:rsidRPr="00FB1424">
        <w:t>Auction 903 long-form applicant w</w:t>
      </w:r>
      <w:r>
        <w:t>as</w:t>
      </w:r>
      <w:r w:rsidRPr="00FB1424">
        <w:t xml:space="preserve"> required </w:t>
      </w:r>
      <w:r>
        <w:t xml:space="preserve">either </w:t>
      </w:r>
      <w:r w:rsidRPr="00FB1424">
        <w:t xml:space="preserve">to certify that </w:t>
      </w:r>
      <w:r>
        <w:t>it is an</w:t>
      </w:r>
      <w:r w:rsidRPr="00FB1424">
        <w:t xml:space="preserve"> eligible telecommunications carrier (</w:t>
      </w:r>
      <w:r w:rsidRPr="00FB1424">
        <w:t>ETC</w:t>
      </w:r>
      <w:r w:rsidRPr="00FB1424">
        <w:t xml:space="preserve">) in all </w:t>
      </w:r>
      <w:r>
        <w:t xml:space="preserve">winning </w:t>
      </w:r>
      <w:r w:rsidRPr="00FB1424">
        <w:t xml:space="preserve">bid areas </w:t>
      </w:r>
      <w:r>
        <w:t xml:space="preserve">or, as to those areas for which it had not yet been designated as an </w:t>
      </w:r>
      <w:r>
        <w:t>ETC</w:t>
      </w:r>
      <w:r>
        <w:t xml:space="preserve">, to </w:t>
      </w:r>
      <w:r w:rsidRPr="00937EBA">
        <w:t>certify that it w</w:t>
      </w:r>
      <w:r>
        <w:t>ould</w:t>
      </w:r>
      <w:r w:rsidRPr="00937EBA">
        <w:t xml:space="preserve"> submit a certification of its status as an </w:t>
      </w:r>
      <w:r w:rsidRPr="00937EBA">
        <w:t>ETC</w:t>
      </w:r>
      <w:r w:rsidRPr="00937EBA">
        <w:t xml:space="preserve"> in each such area and the relevant documentation supporting that certification prior to being authorized to receive such support</w:t>
      </w:r>
      <w:r w:rsidRPr="00FB1424">
        <w:t>.</w:t>
      </w:r>
      <w:r>
        <w:rPr>
          <w:rStyle w:val="FootnoteReference"/>
        </w:rPr>
        <w:footnoteReference w:id="3"/>
      </w:r>
      <w:r w:rsidRPr="00FB1424">
        <w:t xml:space="preserve">  </w:t>
      </w:r>
      <w:r w:rsidRPr="2355F555">
        <w:t xml:space="preserve">On November 25, 2019, the Public Utility Commission of Oregon (Oregon PUC) approved </w:t>
      </w:r>
      <w:r w:rsidRPr="2355F555">
        <w:t>Viasat’s</w:t>
      </w:r>
      <w:r w:rsidRPr="2355F555">
        <w:t xml:space="preserve"> application for designation as an </w:t>
      </w:r>
      <w:r w:rsidRPr="2355F555">
        <w:t>ETC</w:t>
      </w:r>
      <w:r w:rsidRPr="2355F555">
        <w:t xml:space="preserve"> to receive Connect America Fund </w:t>
      </w:r>
      <w:r w:rsidRPr="2355F555">
        <w:t>(CAF) Phase II support</w:t>
      </w:r>
      <w:r>
        <w:rPr>
          <w:szCs w:val="22"/>
        </w:rPr>
        <w:t xml:space="preserve"> </w:t>
      </w:r>
      <w:r w:rsidRPr="00986BD1">
        <w:t xml:space="preserve">for 102 CAF Phase II Auction winning bids </w:t>
      </w:r>
      <w:r>
        <w:t>that covered only</w:t>
      </w:r>
      <w:r w:rsidRPr="00986BD1">
        <w:t xml:space="preserve"> non-Tribal areas</w:t>
      </w:r>
      <w:r w:rsidRPr="00986BD1">
        <w:rPr>
          <w:szCs w:val="22"/>
        </w:rPr>
        <w:t>.</w:t>
      </w:r>
      <w:r>
        <w:rPr>
          <w:rStyle w:val="FootnoteReference"/>
        </w:rPr>
        <w:footnoteReference w:id="4"/>
      </w:r>
      <w:r w:rsidRPr="00986BD1">
        <w:rPr>
          <w:szCs w:val="22"/>
        </w:rPr>
        <w:t xml:space="preserve">  </w:t>
      </w:r>
      <w:r w:rsidRPr="2355F555">
        <w:t>Viasat</w:t>
      </w:r>
      <w:r w:rsidRPr="2355F555">
        <w:t xml:space="preserve"> was subsequently authorized to receive CAF Phase II auction</w:t>
      </w:r>
      <w:r>
        <w:rPr>
          <w:szCs w:val="22"/>
        </w:rPr>
        <w:t xml:space="preserve"> </w:t>
      </w:r>
      <w:r w:rsidRPr="2355F555">
        <w:t xml:space="preserve">support in </w:t>
      </w:r>
      <w:r>
        <w:t>those</w:t>
      </w:r>
      <w:r w:rsidRPr="2355F555">
        <w:t xml:space="preserve"> areas.</w:t>
      </w:r>
      <w:r>
        <w:rPr>
          <w:rStyle w:val="FootnoteReference"/>
        </w:rPr>
        <w:footnoteReference w:id="5"/>
      </w:r>
    </w:p>
    <w:p w:rsidR="00577833" w:rsidRPr="002F2C58" w:rsidP="00577833" w14:paraId="2896F2F5" w14:textId="77777777">
      <w:pPr>
        <w:tabs>
          <w:tab w:val="left" w:pos="720"/>
        </w:tabs>
        <w:spacing w:after="120"/>
        <w:ind w:firstLine="720"/>
        <w:rPr>
          <w:rFonts w:cs="Calibri"/>
        </w:rPr>
      </w:pPr>
      <w:r w:rsidRPr="0041131D">
        <w:t>Via</w:t>
      </w:r>
      <w:r>
        <w:t>s</w:t>
      </w:r>
      <w:r w:rsidRPr="0041131D">
        <w:t>at</w:t>
      </w:r>
      <w:r w:rsidRPr="0041131D">
        <w:t xml:space="preserve"> could not, however, provide the required </w:t>
      </w:r>
      <w:r w:rsidRPr="0041131D">
        <w:t>ETC</w:t>
      </w:r>
      <w:r w:rsidRPr="0041131D">
        <w:t xml:space="preserve"> certification with respect to one package bid and five other winning bids, each of which include census blocks </w:t>
      </w:r>
      <w:r>
        <w:t>on</w:t>
      </w:r>
      <w:r w:rsidRPr="0041131D">
        <w:t xml:space="preserve"> Tribal lands.</w:t>
      </w:r>
      <w:r>
        <w:rPr>
          <w:rStyle w:val="FootnoteReference"/>
        </w:rPr>
        <w:footnoteReference w:id="6"/>
      </w:r>
      <w:r w:rsidRPr="0041131D">
        <w:t xml:space="preserve">  </w:t>
      </w:r>
      <w:r w:rsidRPr="00F01AEC">
        <w:t xml:space="preserve">The Oregon PUC’s rules require that each Tribe in the proposed designated area indicate that it supports or does not oppose the grant of </w:t>
      </w:r>
      <w:r w:rsidRPr="00F01AEC">
        <w:t>ETC</w:t>
      </w:r>
      <w:r w:rsidRPr="00F01AEC">
        <w:t xml:space="preserve"> designation within the specific Tribal lands.</w:t>
      </w:r>
      <w:r>
        <w:rPr>
          <w:rStyle w:val="FootnoteReference"/>
        </w:rPr>
        <w:footnoteReference w:id="7"/>
      </w:r>
      <w:r w:rsidRPr="00F01AEC">
        <w:t xml:space="preserve">  </w:t>
      </w:r>
      <w:r w:rsidRPr="00986BD1">
        <w:rPr>
          <w:rFonts w:cs="Calibri"/>
        </w:rPr>
        <w:t>Viasat</w:t>
      </w:r>
      <w:r w:rsidRPr="00986BD1">
        <w:rPr>
          <w:rFonts w:cs="Calibri"/>
        </w:rPr>
        <w:t xml:space="preserve"> filed a petition with the Oregon PUC on February 24, 2021</w:t>
      </w:r>
      <w:r>
        <w:rPr>
          <w:rFonts w:cs="Calibri"/>
        </w:rPr>
        <w:t>,</w:t>
      </w:r>
      <w:r w:rsidRPr="00986BD1">
        <w:rPr>
          <w:rFonts w:cs="Calibri"/>
        </w:rPr>
        <w:t xml:space="preserve"> requesting waiver of the rule for th</w:t>
      </w:r>
      <w:r>
        <w:rPr>
          <w:rFonts w:cs="Calibri"/>
        </w:rPr>
        <w:t>os</w:t>
      </w:r>
      <w:r w:rsidRPr="00986BD1">
        <w:rPr>
          <w:rFonts w:cs="Calibri"/>
        </w:rPr>
        <w:t>e areas</w:t>
      </w:r>
      <w:r>
        <w:rPr>
          <w:rFonts w:cs="Calibri"/>
        </w:rPr>
        <w:t xml:space="preserve"> in which no Tribe objected</w:t>
      </w:r>
      <w:r w:rsidRPr="00986BD1">
        <w:rPr>
          <w:rFonts w:cs="Calibri"/>
        </w:rPr>
        <w:t>.</w:t>
      </w:r>
      <w:r>
        <w:rPr>
          <w:rStyle w:val="FootnoteReference"/>
          <w:rFonts w:cs="Calibri"/>
        </w:rPr>
        <w:footnoteReference w:id="8"/>
      </w:r>
      <w:r w:rsidRPr="00986BD1">
        <w:rPr>
          <w:rFonts w:cs="Calibri"/>
        </w:rPr>
        <w:t xml:space="preserve">  </w:t>
      </w:r>
      <w:r>
        <w:rPr>
          <w:rFonts w:cs="Calibri"/>
        </w:rPr>
        <w:t xml:space="preserve">On August 24, 2021, </w:t>
      </w:r>
      <w:r>
        <w:rPr>
          <w:rFonts w:cs="Calibri"/>
        </w:rPr>
        <w:t>Viasat</w:t>
      </w:r>
      <w:r>
        <w:rPr>
          <w:rFonts w:cs="Calibri"/>
        </w:rPr>
        <w:t xml:space="preserve"> filed a subsequent supplemental application with the Oregon PUC to expand </w:t>
      </w:r>
      <w:r>
        <w:rPr>
          <w:rFonts w:cs="Calibri"/>
        </w:rPr>
        <w:t>Viasat’s</w:t>
      </w:r>
      <w:r>
        <w:rPr>
          <w:rFonts w:cs="Calibri"/>
        </w:rPr>
        <w:t xml:space="preserve"> </w:t>
      </w:r>
      <w:r>
        <w:rPr>
          <w:rFonts w:cs="Calibri"/>
        </w:rPr>
        <w:t>ETC</w:t>
      </w:r>
      <w:r>
        <w:rPr>
          <w:rFonts w:cs="Calibri"/>
        </w:rPr>
        <w:t xml:space="preserve"> designation to include three census blocks </w:t>
      </w:r>
      <w:r w:rsidRPr="2355F555">
        <w:rPr>
          <w:rFonts w:cs="Calibri"/>
        </w:rPr>
        <w:t xml:space="preserve">overlapping lands of </w:t>
      </w:r>
      <w:r>
        <w:rPr>
          <w:rFonts w:cs="Calibri"/>
        </w:rPr>
        <w:t>two Tribes (Burns Paiute Tribe and the Celilo) that did not object.</w:t>
      </w:r>
      <w:r>
        <w:rPr>
          <w:rStyle w:val="FootnoteReference"/>
          <w:rFonts w:cs="Calibri"/>
        </w:rPr>
        <w:footnoteReference w:id="9"/>
      </w:r>
      <w:r>
        <w:rPr>
          <w:rFonts w:cs="Calibri"/>
        </w:rPr>
        <w:t xml:space="preserve">  </w:t>
      </w:r>
      <w:r>
        <w:t xml:space="preserve">On October 21, 2021, the Oregon PUC granted </w:t>
      </w:r>
      <w:r>
        <w:t>Viasat’s</w:t>
      </w:r>
      <w:r>
        <w:t xml:space="preserve"> revised </w:t>
      </w:r>
      <w:r>
        <w:t>ETC</w:t>
      </w:r>
      <w:r>
        <w:t xml:space="preserve"> petition and expanded </w:t>
      </w:r>
      <w:r>
        <w:t>Viasat</w:t>
      </w:r>
      <w:r>
        <w:t xml:space="preserve"> </w:t>
      </w:r>
      <w:r>
        <w:t>ETC’s</w:t>
      </w:r>
      <w:r>
        <w:t xml:space="preserve"> designation to include these three census blocks.</w:t>
      </w:r>
      <w:r>
        <w:rPr>
          <w:rStyle w:val="FootnoteReference"/>
        </w:rPr>
        <w:footnoteReference w:id="10"/>
      </w:r>
      <w:r>
        <w:t xml:space="preserve">  </w:t>
      </w:r>
    </w:p>
    <w:p w:rsidR="00577833" w:rsidP="00577833" w14:paraId="41F37287" w14:textId="77777777">
      <w:pPr>
        <w:pStyle w:val="paragraph"/>
        <w:spacing w:after="160"/>
        <w:ind w:firstLine="720"/>
        <w:textAlignment w:val="baseline"/>
        <w:rPr>
          <w:rStyle w:val="normaltextrun1"/>
          <w:sz w:val="22"/>
          <w:szCs w:val="22"/>
        </w:rPr>
      </w:pPr>
      <w:r>
        <w:rPr>
          <w:rStyle w:val="normaltextrun1"/>
          <w:sz w:val="22"/>
          <w:szCs w:val="22"/>
        </w:rPr>
        <w:t xml:space="preserve">As explained below, we find good cause </w:t>
      </w:r>
      <w:r w:rsidRPr="610240F3">
        <w:rPr>
          <w:rStyle w:val="normaltextrun1"/>
          <w:sz w:val="22"/>
          <w:szCs w:val="22"/>
        </w:rPr>
        <w:t xml:space="preserve">in these </w:t>
      </w:r>
      <w:r w:rsidRPr="2F9841C7">
        <w:rPr>
          <w:rStyle w:val="normaltextrun1"/>
          <w:sz w:val="22"/>
          <w:szCs w:val="22"/>
        </w:rPr>
        <w:t>circumstances</w:t>
      </w:r>
      <w:r w:rsidRPr="610240F3">
        <w:rPr>
          <w:rStyle w:val="normaltextrun1"/>
          <w:sz w:val="22"/>
          <w:szCs w:val="22"/>
        </w:rPr>
        <w:t xml:space="preserve"> </w:t>
      </w:r>
      <w:r>
        <w:rPr>
          <w:rStyle w:val="normaltextrun1"/>
          <w:sz w:val="22"/>
          <w:szCs w:val="22"/>
        </w:rPr>
        <w:t xml:space="preserve">to waive the rule </w:t>
      </w:r>
      <w:r w:rsidRPr="006B77FF">
        <w:rPr>
          <w:rStyle w:val="normaltextrun1"/>
          <w:sz w:val="22"/>
          <w:szCs w:val="22"/>
        </w:rPr>
        <w:t>that defines</w:t>
      </w:r>
      <w:r w:rsidRPr="002B3ACA">
        <w:rPr>
          <w:rStyle w:val="normaltextrun1"/>
          <w:sz w:val="22"/>
          <w:szCs w:val="22"/>
        </w:rPr>
        <w:t xml:space="preserve"> </w:t>
      </w:r>
      <w:r w:rsidRPr="2F9841C7">
        <w:rPr>
          <w:rStyle w:val="normaltextrun1"/>
          <w:sz w:val="22"/>
          <w:szCs w:val="22"/>
        </w:rPr>
        <w:t>the</w:t>
      </w:r>
      <w:r w:rsidRPr="00DF2217">
        <w:rPr>
          <w:rStyle w:val="normaltextrun1"/>
          <w:sz w:val="22"/>
          <w:szCs w:val="22"/>
        </w:rPr>
        <w:t xml:space="preserve"> default violation with respect to </w:t>
      </w:r>
      <w:r w:rsidRPr="38B4A181">
        <w:rPr>
          <w:rStyle w:val="normaltextrun1"/>
          <w:sz w:val="22"/>
          <w:szCs w:val="22"/>
        </w:rPr>
        <w:t xml:space="preserve">any area </w:t>
      </w:r>
      <w:r w:rsidRPr="5C06B788">
        <w:rPr>
          <w:rStyle w:val="normaltextrun1"/>
          <w:sz w:val="22"/>
          <w:szCs w:val="22"/>
        </w:rPr>
        <w:t xml:space="preserve">covered </w:t>
      </w:r>
      <w:r w:rsidRPr="4641F08D">
        <w:rPr>
          <w:rStyle w:val="normaltextrun1"/>
          <w:sz w:val="22"/>
          <w:szCs w:val="22"/>
        </w:rPr>
        <w:t xml:space="preserve">by </w:t>
      </w:r>
      <w:r w:rsidRPr="545D8D32">
        <w:rPr>
          <w:rStyle w:val="normaltextrun1"/>
          <w:sz w:val="22"/>
          <w:szCs w:val="22"/>
        </w:rPr>
        <w:t>a</w:t>
      </w:r>
      <w:r w:rsidRPr="00DF2217">
        <w:rPr>
          <w:rStyle w:val="normaltextrun1"/>
          <w:sz w:val="22"/>
          <w:szCs w:val="22"/>
        </w:rPr>
        <w:t xml:space="preserve"> winning bid </w:t>
      </w:r>
      <w:r w:rsidRPr="130D622F">
        <w:rPr>
          <w:rStyle w:val="normaltextrun1"/>
          <w:sz w:val="22"/>
          <w:szCs w:val="22"/>
        </w:rPr>
        <w:t xml:space="preserve">as a </w:t>
      </w:r>
      <w:r w:rsidRPr="5B8D3B33">
        <w:rPr>
          <w:rStyle w:val="normaltextrun1"/>
          <w:sz w:val="22"/>
          <w:szCs w:val="22"/>
        </w:rPr>
        <w:t xml:space="preserve">default on that </w:t>
      </w:r>
      <w:r w:rsidRPr="50F1FE82">
        <w:rPr>
          <w:rStyle w:val="normaltextrun1"/>
          <w:sz w:val="22"/>
          <w:szCs w:val="22"/>
        </w:rPr>
        <w:t xml:space="preserve">entire winning </w:t>
      </w:r>
      <w:r w:rsidRPr="5B484444">
        <w:rPr>
          <w:rStyle w:val="normaltextrun1"/>
          <w:sz w:val="22"/>
          <w:szCs w:val="22"/>
        </w:rPr>
        <w:t xml:space="preserve">bid.  </w:t>
      </w:r>
      <w:r w:rsidRPr="2C42B615">
        <w:rPr>
          <w:rStyle w:val="normaltextrun1"/>
          <w:sz w:val="22"/>
          <w:szCs w:val="22"/>
        </w:rPr>
        <w:t xml:space="preserve">This will enable us </w:t>
      </w:r>
      <w:r w:rsidRPr="3D955C04">
        <w:rPr>
          <w:rStyle w:val="normaltextrun1"/>
          <w:sz w:val="22"/>
          <w:szCs w:val="22"/>
        </w:rPr>
        <w:t>to</w:t>
      </w:r>
      <w:r>
        <w:rPr>
          <w:rStyle w:val="normaltextrun1"/>
          <w:sz w:val="22"/>
          <w:szCs w:val="22"/>
        </w:rPr>
        <w:t xml:space="preserve"> authorize support </w:t>
      </w:r>
      <w:r w:rsidRPr="757022EC">
        <w:rPr>
          <w:rStyle w:val="normaltextrun1"/>
          <w:sz w:val="22"/>
          <w:szCs w:val="22"/>
        </w:rPr>
        <w:t xml:space="preserve">for some eligible </w:t>
      </w:r>
      <w:r w:rsidRPr="2930EF98">
        <w:rPr>
          <w:rStyle w:val="normaltextrun1"/>
          <w:sz w:val="22"/>
          <w:szCs w:val="22"/>
        </w:rPr>
        <w:t xml:space="preserve">census </w:t>
      </w:r>
      <w:r w:rsidRPr="3791832C">
        <w:rPr>
          <w:rStyle w:val="normaltextrun1"/>
          <w:sz w:val="22"/>
          <w:szCs w:val="22"/>
        </w:rPr>
        <w:t xml:space="preserve">blocks </w:t>
      </w:r>
      <w:r w:rsidRPr="6539DEF5">
        <w:rPr>
          <w:rStyle w:val="normaltextrun1"/>
          <w:sz w:val="22"/>
          <w:szCs w:val="22"/>
        </w:rPr>
        <w:t>even though</w:t>
      </w:r>
      <w:r w:rsidRPr="3791832C">
        <w:rPr>
          <w:rStyle w:val="normaltextrun1"/>
          <w:sz w:val="22"/>
          <w:szCs w:val="22"/>
        </w:rPr>
        <w:t xml:space="preserve"> </w:t>
      </w:r>
      <w:r w:rsidRPr="2E858C06">
        <w:rPr>
          <w:rStyle w:val="normaltextrun1"/>
          <w:sz w:val="22"/>
          <w:szCs w:val="22"/>
        </w:rPr>
        <w:t xml:space="preserve">the winning bidder </w:t>
      </w:r>
      <w:r w:rsidRPr="6C39674B">
        <w:rPr>
          <w:rStyle w:val="normaltextrun1"/>
          <w:sz w:val="22"/>
          <w:szCs w:val="22"/>
        </w:rPr>
        <w:t xml:space="preserve">has not </w:t>
      </w:r>
      <w:r w:rsidRPr="6B6622C3">
        <w:rPr>
          <w:rStyle w:val="normaltextrun1"/>
          <w:sz w:val="22"/>
          <w:szCs w:val="22"/>
        </w:rPr>
        <w:t xml:space="preserve">received </w:t>
      </w:r>
      <w:r w:rsidRPr="6B6622C3">
        <w:rPr>
          <w:rStyle w:val="normaltextrun1"/>
          <w:sz w:val="22"/>
          <w:szCs w:val="22"/>
        </w:rPr>
        <w:t>ETC</w:t>
      </w:r>
      <w:r w:rsidRPr="6B6622C3">
        <w:rPr>
          <w:rStyle w:val="normaltextrun1"/>
          <w:sz w:val="22"/>
          <w:szCs w:val="22"/>
        </w:rPr>
        <w:t xml:space="preserve"> designation </w:t>
      </w:r>
      <w:r>
        <w:rPr>
          <w:rStyle w:val="normaltextrun1"/>
          <w:sz w:val="22"/>
          <w:szCs w:val="22"/>
        </w:rPr>
        <w:t xml:space="preserve">for </w:t>
      </w:r>
      <w:r w:rsidRPr="6D75D2EC">
        <w:rPr>
          <w:rStyle w:val="normaltextrun1"/>
          <w:sz w:val="22"/>
          <w:szCs w:val="22"/>
        </w:rPr>
        <w:t xml:space="preserve">all </w:t>
      </w:r>
      <w:r>
        <w:rPr>
          <w:rStyle w:val="normaltextrun1"/>
          <w:sz w:val="22"/>
          <w:szCs w:val="22"/>
        </w:rPr>
        <w:t xml:space="preserve">of </w:t>
      </w:r>
      <w:r w:rsidRPr="4FD20856">
        <w:rPr>
          <w:rStyle w:val="normaltextrun1"/>
          <w:sz w:val="22"/>
          <w:szCs w:val="22"/>
        </w:rPr>
        <w:t xml:space="preserve">the </w:t>
      </w:r>
      <w:r>
        <w:rPr>
          <w:rStyle w:val="normaltextrun1"/>
          <w:sz w:val="22"/>
          <w:szCs w:val="22"/>
        </w:rPr>
        <w:t xml:space="preserve">eligible census blocks </w:t>
      </w:r>
      <w:r w:rsidRPr="794D3A02">
        <w:rPr>
          <w:rStyle w:val="normaltextrun1"/>
          <w:sz w:val="22"/>
          <w:szCs w:val="22"/>
        </w:rPr>
        <w:t xml:space="preserve">covered by the winning </w:t>
      </w:r>
      <w:r w:rsidRPr="1C9F500A">
        <w:rPr>
          <w:rStyle w:val="normaltextrun1"/>
          <w:sz w:val="22"/>
          <w:szCs w:val="22"/>
        </w:rPr>
        <w:t>bid</w:t>
      </w:r>
      <w:r>
        <w:rPr>
          <w:rStyle w:val="normaltextrun1"/>
          <w:sz w:val="22"/>
          <w:szCs w:val="22"/>
        </w:rPr>
        <w:t xml:space="preserve">.  </w:t>
      </w:r>
      <w:r w:rsidRPr="00234155">
        <w:rPr>
          <w:rStyle w:val="normaltextrun1"/>
          <w:sz w:val="22"/>
          <w:szCs w:val="22"/>
        </w:rPr>
        <w:t xml:space="preserve">We </w:t>
      </w:r>
      <w:r>
        <w:rPr>
          <w:rStyle w:val="normaltextrun1"/>
          <w:sz w:val="22"/>
          <w:szCs w:val="22"/>
        </w:rPr>
        <w:t xml:space="preserve">thus </w:t>
      </w:r>
      <w:r w:rsidRPr="00234155">
        <w:rPr>
          <w:rStyle w:val="normaltextrun1"/>
          <w:sz w:val="22"/>
          <w:szCs w:val="22"/>
        </w:rPr>
        <w:t>are ready to authorize CAF</w:t>
      </w:r>
      <w:r>
        <w:rPr>
          <w:rStyle w:val="normaltextrun1"/>
          <w:sz w:val="22"/>
          <w:szCs w:val="22"/>
        </w:rPr>
        <w:t xml:space="preserve"> Phase </w:t>
      </w:r>
      <w:r w:rsidRPr="00234155">
        <w:rPr>
          <w:rStyle w:val="normaltextrun1"/>
          <w:sz w:val="22"/>
          <w:szCs w:val="22"/>
        </w:rPr>
        <w:t xml:space="preserve">II support for </w:t>
      </w:r>
      <w:r w:rsidRPr="00234155">
        <w:rPr>
          <w:rStyle w:val="normaltextrun1"/>
          <w:sz w:val="22"/>
          <w:szCs w:val="22"/>
        </w:rPr>
        <w:t>Viasat</w:t>
      </w:r>
      <w:r w:rsidRPr="00234155">
        <w:rPr>
          <w:rStyle w:val="normaltextrun1"/>
          <w:sz w:val="22"/>
          <w:szCs w:val="22"/>
        </w:rPr>
        <w:t xml:space="preserve"> </w:t>
      </w:r>
      <w:r w:rsidRPr="00882DC3">
        <w:rPr>
          <w:rStyle w:val="normaltextrun1"/>
          <w:sz w:val="22"/>
          <w:szCs w:val="22"/>
        </w:rPr>
        <w:t xml:space="preserve">in those </w:t>
      </w:r>
      <w:r>
        <w:rPr>
          <w:rStyle w:val="normaltextrun1"/>
          <w:sz w:val="22"/>
          <w:szCs w:val="22"/>
        </w:rPr>
        <w:t xml:space="preserve">three </w:t>
      </w:r>
      <w:r w:rsidRPr="00882DC3">
        <w:rPr>
          <w:rStyle w:val="normaltextrun1"/>
          <w:sz w:val="22"/>
          <w:szCs w:val="22"/>
        </w:rPr>
        <w:t xml:space="preserve">census blocks </w:t>
      </w:r>
      <w:r>
        <w:rPr>
          <w:rStyle w:val="normaltextrun1"/>
          <w:sz w:val="22"/>
          <w:szCs w:val="22"/>
        </w:rPr>
        <w:t xml:space="preserve">within </w:t>
      </w:r>
      <w:r w:rsidRPr="0041131D">
        <w:rPr>
          <w:rStyle w:val="normaltextrun1"/>
          <w:sz w:val="22"/>
          <w:szCs w:val="22"/>
        </w:rPr>
        <w:t>census block groups (</w:t>
      </w:r>
      <w:r w:rsidRPr="0041131D">
        <w:rPr>
          <w:rStyle w:val="normaltextrun1"/>
          <w:sz w:val="22"/>
          <w:szCs w:val="22"/>
        </w:rPr>
        <w:t>CBGs</w:t>
      </w:r>
      <w:r w:rsidRPr="0041131D">
        <w:rPr>
          <w:rStyle w:val="normaltextrun1"/>
          <w:sz w:val="22"/>
          <w:szCs w:val="22"/>
        </w:rPr>
        <w:t xml:space="preserve">) </w:t>
      </w:r>
      <w:r>
        <w:rPr>
          <w:rStyle w:val="normaltextrun1"/>
          <w:sz w:val="22"/>
          <w:szCs w:val="22"/>
        </w:rPr>
        <w:t xml:space="preserve">it won in Auction 903 </w:t>
      </w:r>
      <w:r w:rsidRPr="00882DC3">
        <w:rPr>
          <w:rStyle w:val="normaltextrun1"/>
          <w:sz w:val="22"/>
          <w:szCs w:val="22"/>
        </w:rPr>
        <w:t xml:space="preserve">where it has been designated as an </w:t>
      </w:r>
      <w:r w:rsidRPr="00882DC3">
        <w:rPr>
          <w:rStyle w:val="normaltextrun1"/>
          <w:sz w:val="22"/>
          <w:szCs w:val="22"/>
        </w:rPr>
        <w:t>ETC</w:t>
      </w:r>
      <w:r w:rsidRPr="00882DC3">
        <w:rPr>
          <w:rStyle w:val="normaltextrun1"/>
          <w:sz w:val="22"/>
          <w:szCs w:val="22"/>
        </w:rPr>
        <w:t xml:space="preserve"> by the Oregon PUC</w:t>
      </w:r>
      <w:r>
        <w:rPr>
          <w:rStyle w:val="normaltextrun1"/>
          <w:sz w:val="22"/>
          <w:szCs w:val="22"/>
        </w:rPr>
        <w:t>.</w:t>
      </w:r>
      <w:r>
        <w:rPr>
          <w:rStyle w:val="FootnoteReference"/>
          <w:szCs w:val="22"/>
        </w:rPr>
        <w:footnoteReference w:id="11"/>
      </w:r>
      <w:r>
        <w:rPr>
          <w:rStyle w:val="normaltextrun1"/>
          <w:sz w:val="22"/>
          <w:szCs w:val="22"/>
        </w:rPr>
        <w:t xml:space="preserve">  </w:t>
      </w:r>
    </w:p>
    <w:p w:rsidR="00577833" w:rsidRPr="0041131D" w:rsidP="00577833" w14:paraId="337D707F" w14:textId="77777777">
      <w:pPr>
        <w:pStyle w:val="paragraph"/>
        <w:spacing w:after="160"/>
        <w:ind w:firstLine="720"/>
        <w:textAlignment w:val="baseline"/>
        <w:rPr>
          <w:sz w:val="22"/>
          <w:szCs w:val="22"/>
        </w:rPr>
      </w:pPr>
      <w:r w:rsidRPr="0041131D">
        <w:rPr>
          <w:rStyle w:val="normaltextrun1"/>
          <w:sz w:val="22"/>
          <w:szCs w:val="22"/>
        </w:rPr>
        <w:t xml:space="preserve">The Commission adopted </w:t>
      </w:r>
      <w:r w:rsidRPr="0041131D">
        <w:rPr>
          <w:rStyle w:val="normaltextrun1"/>
          <w:sz w:val="22"/>
          <w:szCs w:val="22"/>
        </w:rPr>
        <w:t>CBGs</w:t>
      </w:r>
      <w:r w:rsidRPr="0041131D">
        <w:rPr>
          <w:rStyle w:val="normaltextrun1"/>
          <w:sz w:val="22"/>
          <w:szCs w:val="22"/>
        </w:rPr>
        <w:t xml:space="preserve"> containing one or more eligible census blocks as the minimum geographic area for bidding in Auction 903.</w:t>
      </w:r>
      <w:r>
        <w:rPr>
          <w:rStyle w:val="FootnoteReference"/>
          <w:szCs w:val="22"/>
        </w:rPr>
        <w:footnoteReference w:id="12"/>
      </w:r>
      <w:r w:rsidRPr="0041131D">
        <w:rPr>
          <w:rStyle w:val="normaltextrun1"/>
          <w:sz w:val="22"/>
          <w:szCs w:val="22"/>
        </w:rPr>
        <w:t xml:space="preserve"> </w:t>
      </w:r>
      <w:r>
        <w:rPr>
          <w:rStyle w:val="normaltextrun1"/>
          <w:sz w:val="22"/>
          <w:szCs w:val="22"/>
        </w:rPr>
        <w:t xml:space="preserve"> </w:t>
      </w:r>
      <w:r w:rsidRPr="0041131D">
        <w:rPr>
          <w:rStyle w:val="normaltextrun1"/>
          <w:sz w:val="22"/>
          <w:szCs w:val="22"/>
        </w:rPr>
        <w:t xml:space="preserve">As explained in the </w:t>
      </w:r>
      <w:r w:rsidRPr="005D5866">
        <w:rPr>
          <w:rStyle w:val="normaltextrun1"/>
          <w:i/>
          <w:iCs/>
          <w:sz w:val="22"/>
          <w:szCs w:val="22"/>
        </w:rPr>
        <w:t>Auction 903 Procedures Public Notice</w:t>
      </w:r>
      <w:r w:rsidRPr="0041131D">
        <w:rPr>
          <w:rStyle w:val="normaltextrun1"/>
          <w:sz w:val="22"/>
          <w:szCs w:val="22"/>
        </w:rPr>
        <w:t xml:space="preserve">, </w:t>
      </w:r>
      <w:r w:rsidRPr="0041131D">
        <w:rPr>
          <w:sz w:val="22"/>
          <w:szCs w:val="22"/>
        </w:rPr>
        <w:t xml:space="preserve">each bid in the auction represents an “offer to serve the eligible census blocks within the specified </w:t>
      </w:r>
      <w:r w:rsidRPr="0041131D">
        <w:rPr>
          <w:sz w:val="22"/>
          <w:szCs w:val="22"/>
        </w:rPr>
        <w:t>CBG</w:t>
      </w:r>
      <w:r w:rsidRPr="0041131D">
        <w:rPr>
          <w:sz w:val="22"/>
          <w:szCs w:val="22"/>
        </w:rPr>
        <w:t xml:space="preserve"> at the indicated performance tier and latency, for a total amount of annual support that is at least the implied </w:t>
      </w:r>
      <w:r w:rsidRPr="0041131D">
        <w:rPr>
          <w:sz w:val="22"/>
          <w:szCs w:val="22"/>
        </w:rPr>
        <w:t>support amount of the bid.”</w:t>
      </w:r>
      <w:r>
        <w:rPr>
          <w:rStyle w:val="FootnoteReference"/>
        </w:rPr>
        <w:footnoteReference w:id="13"/>
      </w:r>
      <w:r w:rsidRPr="0041131D">
        <w:rPr>
          <w:sz w:val="22"/>
          <w:szCs w:val="22"/>
        </w:rPr>
        <w:t xml:space="preserve">  </w:t>
      </w:r>
      <w:r w:rsidRPr="0041131D">
        <w:rPr>
          <w:sz w:val="22"/>
          <w:szCs w:val="22"/>
        </w:rPr>
        <w:t>Viasat’s</w:t>
      </w:r>
      <w:r w:rsidRPr="0041131D">
        <w:rPr>
          <w:sz w:val="22"/>
          <w:szCs w:val="22"/>
        </w:rPr>
        <w:t xml:space="preserve"> winning bids represent a binding obligation to serve all of the eligible census blocks </w:t>
      </w:r>
      <w:r>
        <w:rPr>
          <w:sz w:val="22"/>
          <w:szCs w:val="22"/>
        </w:rPr>
        <w:t>covered by the bid</w:t>
      </w:r>
      <w:r w:rsidRPr="0041131D">
        <w:rPr>
          <w:sz w:val="22"/>
          <w:szCs w:val="22"/>
        </w:rPr>
        <w:t xml:space="preserve">, </w:t>
      </w:r>
      <w:r>
        <w:rPr>
          <w:sz w:val="22"/>
          <w:szCs w:val="22"/>
        </w:rPr>
        <w:t>but</w:t>
      </w:r>
      <w:r w:rsidRPr="0041131D">
        <w:rPr>
          <w:sz w:val="22"/>
          <w:szCs w:val="22"/>
        </w:rPr>
        <w:t xml:space="preserve"> </w:t>
      </w:r>
      <w:r w:rsidRPr="0041131D">
        <w:rPr>
          <w:sz w:val="22"/>
          <w:szCs w:val="22"/>
        </w:rPr>
        <w:t>Viasat</w:t>
      </w:r>
      <w:r w:rsidRPr="0041131D">
        <w:rPr>
          <w:sz w:val="22"/>
          <w:szCs w:val="22"/>
        </w:rPr>
        <w:t xml:space="preserve"> cannot receive support in an area in which it is not an </w:t>
      </w:r>
      <w:r w:rsidRPr="0041131D">
        <w:rPr>
          <w:sz w:val="22"/>
          <w:szCs w:val="22"/>
        </w:rPr>
        <w:t>ETC</w:t>
      </w:r>
      <w:r>
        <w:rPr>
          <w:sz w:val="22"/>
          <w:szCs w:val="22"/>
        </w:rPr>
        <w:t xml:space="preserve"> pursuant to statute</w:t>
      </w:r>
      <w:r w:rsidRPr="0041131D">
        <w:rPr>
          <w:sz w:val="22"/>
          <w:szCs w:val="22"/>
        </w:rPr>
        <w:t>.</w:t>
      </w:r>
      <w:r>
        <w:rPr>
          <w:rStyle w:val="FootnoteReference"/>
        </w:rPr>
        <w:footnoteReference w:id="14"/>
      </w:r>
      <w:r w:rsidRPr="0041131D">
        <w:rPr>
          <w:sz w:val="22"/>
          <w:szCs w:val="22"/>
        </w:rPr>
        <w:t xml:space="preserve">  </w:t>
      </w:r>
    </w:p>
    <w:p w:rsidR="00577833" w:rsidP="00577833" w14:paraId="6E518E9A" w14:textId="77777777">
      <w:pPr>
        <w:spacing w:after="120"/>
        <w:ind w:firstLine="720"/>
      </w:pPr>
      <w:r w:rsidRPr="0041131D">
        <w:t xml:space="preserve">In establishing its procedures for Auction 903, the Commission explained that </w:t>
      </w:r>
      <w:r w:rsidRPr="0041131D">
        <w:rPr>
          <w:rStyle w:val="normaltextrun1"/>
        </w:rPr>
        <w:t xml:space="preserve">a winning bidder is subject to forfeiture if </w:t>
      </w:r>
      <w:r>
        <w:rPr>
          <w:rStyle w:val="normaltextrun1"/>
        </w:rPr>
        <w:t xml:space="preserve">it defaults on its winning bid or </w:t>
      </w:r>
      <w:r w:rsidRPr="0041131D">
        <w:rPr>
          <w:rStyle w:val="normaltextrun1"/>
        </w:rPr>
        <w:t>is disqualified for any reason prior to the authorization of support.</w:t>
      </w:r>
      <w:r>
        <w:rPr>
          <w:rStyle w:val="FootnoteReference"/>
        </w:rPr>
        <w:footnoteReference w:id="15"/>
      </w:r>
      <w:r w:rsidRPr="0041131D">
        <w:rPr>
          <w:rStyle w:val="normaltextrun1"/>
        </w:rPr>
        <w:t xml:space="preserve">  </w:t>
      </w:r>
      <w:r>
        <w:rPr>
          <w:rStyle w:val="normaltextrun1"/>
        </w:rPr>
        <w:t>For Auction 903, a</w:t>
      </w:r>
      <w:r w:rsidRPr="003B2B28">
        <w:rPr>
          <w:rStyle w:val="normaltextrun1"/>
        </w:rPr>
        <w:t xml:space="preserve"> violation is defined as any form of default with respect to the </w:t>
      </w:r>
      <w:r>
        <w:rPr>
          <w:rStyle w:val="normaltextrun1"/>
        </w:rPr>
        <w:t xml:space="preserve">winning bid for the </w:t>
      </w:r>
      <w:r>
        <w:t xml:space="preserve">minimum geographic unit eligible for bidding—i.e., </w:t>
      </w:r>
      <w:r>
        <w:rPr>
          <w:rStyle w:val="normaltextrun1"/>
        </w:rPr>
        <w:t xml:space="preserve">a </w:t>
      </w:r>
      <w:r>
        <w:rPr>
          <w:rStyle w:val="normaltextrun1"/>
        </w:rPr>
        <w:t>CBG</w:t>
      </w:r>
      <w:r w:rsidRPr="003B2B28">
        <w:rPr>
          <w:rStyle w:val="normaltextrun1"/>
        </w:rPr>
        <w:t>.</w:t>
      </w:r>
      <w:r>
        <w:rPr>
          <w:rStyle w:val="FootnoteReference"/>
        </w:rPr>
        <w:footnoteReference w:id="16"/>
      </w:r>
      <w:r w:rsidRPr="0041131D">
        <w:rPr>
          <w:rStyle w:val="normaltextrun1"/>
        </w:rPr>
        <w:t xml:space="preserve">  </w:t>
      </w:r>
      <w:r w:rsidRPr="0041131D">
        <w:rPr>
          <w:rStyle w:val="eop"/>
        </w:rPr>
        <w:t xml:space="preserve">In other words, </w:t>
      </w:r>
      <w:r w:rsidRPr="0041131D">
        <w:t xml:space="preserve">because </w:t>
      </w:r>
      <w:r w:rsidRPr="0041131D">
        <w:t>Viasat</w:t>
      </w:r>
      <w:r w:rsidRPr="0041131D">
        <w:t xml:space="preserve"> is ineligible for support in some of the Tribal land census blocks covered by its winning bid, </w:t>
      </w:r>
      <w:r>
        <w:t xml:space="preserve">absent a waiver, </w:t>
      </w:r>
      <w:r w:rsidRPr="0041131D">
        <w:t>Viasat</w:t>
      </w:r>
      <w:r w:rsidRPr="2355F555">
        <w:rPr>
          <w:i/>
        </w:rPr>
        <w:t xml:space="preserve"> </w:t>
      </w:r>
      <w:r>
        <w:t>would be</w:t>
      </w:r>
      <w:r w:rsidRPr="0041131D">
        <w:t xml:space="preserve"> in default with respect to </w:t>
      </w:r>
      <w:r w:rsidRPr="00A25268">
        <w:rPr>
          <w:i/>
        </w:rPr>
        <w:t>all</w:t>
      </w:r>
      <w:r w:rsidRPr="0041131D">
        <w:t xml:space="preserve"> areas covered by the bid</w:t>
      </w:r>
      <w:r>
        <w:t>, including the census blocks in which it qualified as an ETC</w:t>
      </w:r>
      <w:r w:rsidRPr="0041131D">
        <w:t xml:space="preserve">. </w:t>
      </w:r>
      <w:r>
        <w:t xml:space="preserve"> </w:t>
      </w:r>
    </w:p>
    <w:p w:rsidR="00577833" w:rsidP="00577833" w14:paraId="49D89B50" w14:textId="77777777">
      <w:pPr>
        <w:spacing w:after="120"/>
        <w:ind w:firstLine="720"/>
      </w:pPr>
      <w:r w:rsidRPr="0041131D">
        <w:t xml:space="preserve">On our own motion, considering the </w:t>
      </w:r>
      <w:r>
        <w:t xml:space="preserve">special </w:t>
      </w:r>
      <w:r w:rsidRPr="0041131D">
        <w:t>circumstances presented in the instant case, we find good cause to waive the requirement that a</w:t>
      </w:r>
      <w:r w:rsidRPr="0041131D">
        <w:t xml:space="preserve"> </w:t>
      </w:r>
      <w:r>
        <w:t xml:space="preserve">default </w:t>
      </w:r>
      <w:r w:rsidRPr="0041131D">
        <w:t xml:space="preserve">violation encompass the entire </w:t>
      </w:r>
      <w:r>
        <w:t>bid, and we authorize support on a per-census-block</w:t>
      </w:r>
      <w:r w:rsidRPr="0041131D">
        <w:t xml:space="preserve"> basis for the census blocks in which </w:t>
      </w:r>
      <w:r w:rsidRPr="0041131D">
        <w:t>Viasat</w:t>
      </w:r>
      <w:r w:rsidRPr="0041131D">
        <w:t xml:space="preserve"> is otherwise eligible</w:t>
      </w:r>
      <w:r>
        <w:t>.</w:t>
      </w:r>
      <w:r>
        <w:rPr>
          <w:rStyle w:val="FootnoteReference"/>
        </w:rPr>
        <w:footnoteReference w:id="17"/>
      </w:r>
      <w:r w:rsidRPr="0041131D">
        <w:t xml:space="preserve">  </w:t>
      </w:r>
      <w:r>
        <w:t>Good cause justifying a waiver may be found “where particular facts would make strict compliance inconsistent with the public interest.”</w:t>
      </w:r>
      <w:r>
        <w:rPr>
          <w:rStyle w:val="FootnoteReference"/>
        </w:rPr>
        <w:footnoteReference w:id="18"/>
      </w:r>
      <w:r>
        <w:t xml:space="preserve">  Waiver of the Commission’s rules is appropriate when (i) special circumstances warrant a deviation from the general rule, and (ii) such deviation will serve the public interest.</w:t>
      </w:r>
      <w:r>
        <w:rPr>
          <w:rStyle w:val="FootnoteReference"/>
        </w:rPr>
        <w:footnoteReference w:id="19"/>
      </w:r>
      <w:r>
        <w:t xml:space="preserve">  We find that here that, given the special circumstances that resulted in </w:t>
      </w:r>
      <w:r>
        <w:t>Viasat’s</w:t>
      </w:r>
      <w:r>
        <w:t xml:space="preserve"> inability to obtain an </w:t>
      </w:r>
      <w:r>
        <w:t>ETC</w:t>
      </w:r>
      <w:r>
        <w:t xml:space="preserve"> designation for the entire area covered by its winning bid, deviating from the rule that otherwise requires a default violation to encompass the entire bid is warranted and t</w:t>
      </w:r>
      <w:r w:rsidRPr="0041131D">
        <w:t xml:space="preserve">he public interest will be served by authorizing support in the census blocks where </w:t>
      </w:r>
      <w:r w:rsidRPr="0041131D">
        <w:t>Viasat</w:t>
      </w:r>
      <w:r w:rsidRPr="0041131D">
        <w:t xml:space="preserve"> is eligible.</w:t>
      </w:r>
      <w:r>
        <w:rPr>
          <w:rStyle w:val="FootnoteReference"/>
        </w:rPr>
        <w:footnoteReference w:id="20"/>
      </w:r>
      <w:r w:rsidRPr="0041131D">
        <w:t xml:space="preserve">  </w:t>
      </w:r>
      <w:r w:rsidRPr="0041131D">
        <w:t>Viasat</w:t>
      </w:r>
      <w:r w:rsidRPr="0041131D">
        <w:t xml:space="preserve"> made a</w:t>
      </w:r>
      <w:r>
        <w:t>n extensive</w:t>
      </w:r>
      <w:r w:rsidRPr="0041131D">
        <w:t xml:space="preserve"> </w:t>
      </w:r>
      <w:r>
        <w:t>and</w:t>
      </w:r>
      <w:r w:rsidRPr="0041131D">
        <w:t xml:space="preserve"> </w:t>
      </w:r>
      <w:r>
        <w:t xml:space="preserve">sustained </w:t>
      </w:r>
      <w:r w:rsidRPr="0041131D">
        <w:t xml:space="preserve">effort to qualify as an </w:t>
      </w:r>
      <w:r w:rsidRPr="0041131D">
        <w:t>ETC</w:t>
      </w:r>
      <w:r w:rsidRPr="0041131D">
        <w:t xml:space="preserve"> for all of the census blocks subject to its winning bids</w:t>
      </w:r>
      <w:r>
        <w:t>.</w:t>
      </w:r>
      <w:r w:rsidRPr="0041131D">
        <w:t xml:space="preserve"> </w:t>
      </w:r>
      <w:r>
        <w:t xml:space="preserve"> This is not an instance of a winning bidder choosing not to serve certain census blocks in a </w:t>
      </w:r>
      <w:r>
        <w:t>CBG</w:t>
      </w:r>
      <w:r>
        <w:t xml:space="preserve"> it won because it now concludes that it would not be technically or financially feasible to do so.</w:t>
      </w:r>
      <w:r w:rsidRPr="0041131D">
        <w:t xml:space="preserve"> </w:t>
      </w:r>
      <w:r>
        <w:t xml:space="preserve"> </w:t>
      </w:r>
      <w:r w:rsidRPr="0041131D">
        <w:t xml:space="preserve">Rather, </w:t>
      </w:r>
      <w:r w:rsidRPr="0041131D">
        <w:t>Viasat</w:t>
      </w:r>
      <w:r w:rsidRPr="0041131D">
        <w:t xml:space="preserve"> </w:t>
      </w:r>
      <w:r>
        <w:t xml:space="preserve">explains that it </w:t>
      </w:r>
      <w:r w:rsidRPr="0041131D">
        <w:t>has been unable</w:t>
      </w:r>
      <w:r w:rsidRPr="0041131D">
        <w:t xml:space="preserve"> </w:t>
      </w:r>
      <w:r w:rsidRPr="00FF5E0D">
        <w:t>to secure the support or non-opposition</w:t>
      </w:r>
      <w:r w:rsidRPr="0041131D">
        <w:t xml:space="preserve"> of Tribes </w:t>
      </w:r>
      <w:r>
        <w:t xml:space="preserve">to its designation as an </w:t>
      </w:r>
      <w:r>
        <w:t>ETC</w:t>
      </w:r>
      <w:r>
        <w:t xml:space="preserve"> in certain census blocks because a Tribe advised </w:t>
      </w:r>
      <w:r>
        <w:t>Viasat</w:t>
      </w:r>
      <w:r>
        <w:t xml:space="preserve"> that it is</w:t>
      </w:r>
      <w:r w:rsidRPr="2355F555">
        <w:rPr>
          <w:rStyle w:val="FootnoteReference"/>
        </w:rPr>
        <w:t xml:space="preserve"> </w:t>
      </w:r>
      <w:r>
        <w:t>“moving forward with broadband services themselves” in those areas</w:t>
      </w:r>
      <w:r>
        <w:rPr>
          <w:rStyle w:val="FootnoteReference"/>
        </w:rPr>
        <w:footnoteReference w:id="21"/>
      </w:r>
      <w:r>
        <w:t xml:space="preserve"> and </w:t>
      </w:r>
      <w:r w:rsidRPr="79DDDE4D">
        <w:t>the PUC</w:t>
      </w:r>
      <w:r>
        <w:t xml:space="preserve"> </w:t>
      </w:r>
      <w:r w:rsidRPr="00456492">
        <w:t xml:space="preserve">cannot </w:t>
      </w:r>
      <w:r>
        <w:t xml:space="preserve">designate it as an </w:t>
      </w:r>
      <w:r>
        <w:t>ETC</w:t>
      </w:r>
      <w:r>
        <w:t xml:space="preserve"> for areas covering </w:t>
      </w:r>
      <w:r w:rsidRPr="00456492">
        <w:t xml:space="preserve">any </w:t>
      </w:r>
      <w:r>
        <w:t>Tribal</w:t>
      </w:r>
      <w:r w:rsidRPr="00456492">
        <w:t xml:space="preserve"> lands </w:t>
      </w:r>
      <w:r w:rsidRPr="0041131D">
        <w:t>without the Tribes</w:t>
      </w:r>
      <w:r>
        <w:t>’</w:t>
      </w:r>
      <w:r w:rsidRPr="0041131D">
        <w:t xml:space="preserve"> consent</w:t>
      </w:r>
      <w:r>
        <w:t>.</w:t>
      </w:r>
      <w:r>
        <w:rPr>
          <w:rStyle w:val="FootnoteReference"/>
        </w:rPr>
        <w:footnoteReference w:id="22"/>
      </w:r>
      <w:r w:rsidRPr="0041131D">
        <w:t xml:space="preserve">  </w:t>
      </w:r>
      <w:r>
        <w:t xml:space="preserve">Moreover, the FCC’s Office of Native Affairs and Policy </w:t>
      </w:r>
      <w:r>
        <w:t xml:space="preserve">conducted its own outreach to the Tribes in these areas and found similar challenges.  Accordingly, we find that </w:t>
      </w:r>
      <w:r>
        <w:t>Viasat</w:t>
      </w:r>
      <w:r>
        <w:t xml:space="preserve"> engaged in good faith efforts to secure Tribal assent, to comply with the Oregon PUC’s requirement in this regard, and to be designated as an </w:t>
      </w:r>
      <w:r>
        <w:t>ETC</w:t>
      </w:r>
      <w:r>
        <w:t xml:space="preserve"> in these areas in a timely manner.  </w:t>
      </w:r>
    </w:p>
    <w:p w:rsidR="00577833" w:rsidP="00577833" w14:paraId="15CB1F29" w14:textId="77777777">
      <w:pPr>
        <w:widowControl/>
        <w:spacing w:after="120"/>
        <w:ind w:firstLine="720"/>
      </w:pPr>
      <w:r>
        <w:t xml:space="preserve">Moreover, providing support for only a portion of an area covered by a winning bid in Auction 903 is not inconsistent with the purposes of the auction’s bidding procedures.  </w:t>
      </w:r>
      <w:r w:rsidRPr="0041131D">
        <w:t xml:space="preserve">For Auction 903, </w:t>
      </w:r>
      <w:r>
        <w:t>the minimum geographic area available for bidding</w:t>
      </w:r>
      <w:r w:rsidRPr="0041131D">
        <w:t xml:space="preserve"> did not reflect any fundamental feature of the support being offered but instead </w:t>
      </w:r>
      <w:r>
        <w:t>was</w:t>
      </w:r>
      <w:r w:rsidRPr="0041131D">
        <w:t xml:space="preserve"> a mechanism to facilitate bidding and the conduct of the auction.  As the Commission explained when it proposed to adopt </w:t>
      </w:r>
      <w:r w:rsidRPr="0041131D">
        <w:t>C</w:t>
      </w:r>
      <w:r>
        <w:t>B</w:t>
      </w:r>
      <w:r w:rsidRPr="0041131D">
        <w:t>Gs</w:t>
      </w:r>
      <w:r w:rsidRPr="0041131D">
        <w:t xml:space="preserve"> as the minimum geographic area for bidding, bidding on </w:t>
      </w:r>
      <w:r w:rsidRPr="0041131D">
        <w:t>CBGs</w:t>
      </w:r>
      <w:r w:rsidRPr="0041131D">
        <w:t xml:space="preserve"> rather than, for example, </w:t>
      </w:r>
      <w:r>
        <w:t xml:space="preserve">individual </w:t>
      </w:r>
      <w:r w:rsidRPr="0041131D">
        <w:t>census blocks, reduced the number of items available for bid by almost an order of magnitude</w:t>
      </w:r>
      <w:r>
        <w:t>.</w:t>
      </w:r>
      <w:r>
        <w:rPr>
          <w:rStyle w:val="FootnoteReference"/>
        </w:rPr>
        <w:footnoteReference w:id="23"/>
      </w:r>
      <w:r w:rsidRPr="0041131D">
        <w:t xml:space="preserve"> </w:t>
      </w:r>
      <w:r>
        <w:t xml:space="preserve"> By reducing “the number of records that a bidder would have to enter, manage, and ensure the accuracy of” throughout the auction, the adoption of </w:t>
      </w:r>
      <w:r>
        <w:t>CBGs</w:t>
      </w:r>
      <w:r>
        <w:t xml:space="preserve"> as the minimum geographic area simplified the auction for bidders and facilitated participation.</w:t>
      </w:r>
      <w:r>
        <w:rPr>
          <w:rStyle w:val="FootnoteReference"/>
        </w:rPr>
        <w:footnoteReference w:id="24"/>
      </w:r>
      <w:r w:rsidRPr="0041131D">
        <w:t xml:space="preserve"> </w:t>
      </w:r>
      <w:r>
        <w:t xml:space="preserve">Likewise, affording bidders the opportunity to place bids on packages of </w:t>
      </w:r>
      <w:r>
        <w:t>CBGs</w:t>
      </w:r>
      <w:r>
        <w:t xml:space="preserve"> was provided </w:t>
      </w:r>
      <w:r w:rsidRPr="0041131D">
        <w:t>as a bidding convenience and d</w:t>
      </w:r>
      <w:r>
        <w:t>id</w:t>
      </w:r>
      <w:r w:rsidRPr="0041131D">
        <w:t xml:space="preserve"> not convey any advantage in terms of performance over bids made on individual </w:t>
      </w:r>
      <w:r w:rsidRPr="0041131D">
        <w:t>CBGs</w:t>
      </w:r>
      <w:r w:rsidRPr="0041131D">
        <w:t>.</w:t>
      </w:r>
      <w:r>
        <w:rPr>
          <w:rStyle w:val="FootnoteReference"/>
        </w:rPr>
        <w:footnoteReference w:id="25"/>
      </w:r>
      <w:r w:rsidRPr="0041131D">
        <w:t xml:space="preserve"> </w:t>
      </w:r>
      <w:r>
        <w:t xml:space="preserve"> A</w:t>
      </w:r>
      <w:r w:rsidRPr="0041131D">
        <w:t xml:space="preserve">lthough the Commission chose to aggregate eligible census blocks as the minimum geographic area for bidding in the auction, </w:t>
      </w:r>
      <w:r>
        <w:t xml:space="preserve">CAF Phase II </w:t>
      </w:r>
      <w:r w:rsidRPr="0041131D">
        <w:t>support is awarded on a per location basis and compliance with the terms of the support is measured at the level of individual states.</w:t>
      </w:r>
      <w:r>
        <w:rPr>
          <w:rStyle w:val="FootnoteReference"/>
        </w:rPr>
        <w:footnoteReference w:id="26"/>
      </w:r>
      <w:r w:rsidRPr="0041131D">
        <w:t xml:space="preserve">  Accordingly, we are now ready to authorize CAF </w:t>
      </w:r>
      <w:r>
        <w:t xml:space="preserve">Phase </w:t>
      </w:r>
      <w:r w:rsidRPr="0041131D">
        <w:t xml:space="preserve">II support for </w:t>
      </w:r>
      <w:r w:rsidRPr="0041131D">
        <w:t>Viasat</w:t>
      </w:r>
      <w:r w:rsidRPr="0041131D">
        <w:t xml:space="preserve"> in those census blocks where it has been designated as an </w:t>
      </w:r>
      <w:r w:rsidRPr="0041131D">
        <w:t>ETC</w:t>
      </w:r>
      <w:r w:rsidRPr="0041131D">
        <w:t xml:space="preserve"> by the Oregon PUC.</w:t>
      </w:r>
    </w:p>
    <w:p w:rsidR="00577833" w:rsidP="00577833" w14:paraId="2C772C3B" w14:textId="77777777">
      <w:pPr>
        <w:tabs>
          <w:tab w:val="left" w:pos="720"/>
        </w:tabs>
        <w:spacing w:after="120"/>
        <w:ind w:firstLine="720"/>
      </w:pPr>
      <w:r>
        <w:t>With respect to</w:t>
      </w:r>
      <w:r w:rsidRPr="0041131D">
        <w:t xml:space="preserve"> the </w:t>
      </w:r>
      <w:r>
        <w:t>areas</w:t>
      </w:r>
      <w:r w:rsidRPr="0041131D">
        <w:t xml:space="preserve"> covered by its winning bids in Oregon in which </w:t>
      </w:r>
      <w:r w:rsidRPr="0041131D">
        <w:t>Viasat</w:t>
      </w:r>
      <w:r w:rsidRPr="0041131D">
        <w:t xml:space="preserve"> has not received </w:t>
      </w:r>
      <w:r w:rsidRPr="0041131D">
        <w:t>ETC</w:t>
      </w:r>
      <w:r w:rsidRPr="0041131D">
        <w:t xml:space="preserve"> designation, we find </w:t>
      </w:r>
      <w:r w:rsidRPr="0041131D">
        <w:t>Viasat</w:t>
      </w:r>
      <w:r w:rsidRPr="0041131D">
        <w:t xml:space="preserve"> in default. </w:t>
      </w:r>
      <w:r>
        <w:t xml:space="preserve"> The fact that </w:t>
      </w:r>
      <w:r w:rsidRPr="0041131D">
        <w:t>Viasat</w:t>
      </w:r>
      <w:r>
        <w:t>’s</w:t>
      </w:r>
      <w:r w:rsidRPr="0041131D">
        <w:t xml:space="preserve"> failure to obtain </w:t>
      </w:r>
      <w:r w:rsidRPr="0041131D">
        <w:t>ETC</w:t>
      </w:r>
      <w:r w:rsidRPr="0041131D">
        <w:t xml:space="preserve"> designation</w:t>
      </w:r>
      <w:r>
        <w:t xml:space="preserve"> is a result not of its own negligence but of its inability to get assent</w:t>
      </w:r>
      <w:r w:rsidRPr="0041131D">
        <w:t xml:space="preserve"> from Tribal entities does not absolve it from </w:t>
      </w:r>
      <w:r>
        <w:t xml:space="preserve">liability for </w:t>
      </w:r>
      <w:r w:rsidRPr="0041131D">
        <w:t xml:space="preserve">forfeiture for its default in those </w:t>
      </w:r>
      <w:r>
        <w:t>areas</w:t>
      </w:r>
      <w:r w:rsidRPr="0041131D">
        <w:t xml:space="preserve">.  In Attachment B, we list relevant </w:t>
      </w:r>
      <w:r>
        <w:t xml:space="preserve">census blocks groups and associated </w:t>
      </w:r>
      <w:r w:rsidRPr="0041131D">
        <w:t xml:space="preserve">winning bids.  </w:t>
      </w:r>
      <w:r w:rsidRPr="79DDDE4D">
        <w:t>CAF</w:t>
      </w:r>
      <w:r>
        <w:t xml:space="preserve"> Phase </w:t>
      </w:r>
      <w:r w:rsidRPr="79DDDE4D">
        <w:t>II</w:t>
      </w:r>
      <w:r w:rsidRPr="0041131D">
        <w:t xml:space="preserve"> </w:t>
      </w:r>
      <w:r w:rsidRPr="0041131D">
        <w:t xml:space="preserve">support will not be authorized </w:t>
      </w:r>
      <w:r>
        <w:t>in these areas</w:t>
      </w:r>
      <w:r w:rsidRPr="0041131D">
        <w:t xml:space="preserve">. </w:t>
      </w:r>
      <w:r>
        <w:t xml:space="preserve"> </w:t>
      </w:r>
      <w:r w:rsidRPr="0041131D">
        <w:t xml:space="preserve">For </w:t>
      </w:r>
      <w:r>
        <w:t>its default for</w:t>
      </w:r>
      <w:r w:rsidRPr="0041131D">
        <w:t xml:space="preserve"> those </w:t>
      </w:r>
      <w:r>
        <w:t>areas</w:t>
      </w:r>
      <w:r w:rsidRPr="0041131D">
        <w:t xml:space="preserve">, we refer </w:t>
      </w:r>
      <w:r w:rsidRPr="0041131D">
        <w:t>Viasat</w:t>
      </w:r>
      <w:r w:rsidRPr="0041131D">
        <w:t xml:space="preserve"> to the Enforcement Bureau for </w:t>
      </w:r>
      <w:r>
        <w:t xml:space="preserve">consideration of the </w:t>
      </w:r>
      <w:r w:rsidRPr="0041131D">
        <w:t>appropriate action</w:t>
      </w:r>
      <w:r>
        <w:t xml:space="preserve"> in this circumstance</w:t>
      </w:r>
      <w:r w:rsidRPr="0041131D">
        <w:t xml:space="preserve">.    </w:t>
      </w:r>
    </w:p>
    <w:p w:rsidR="00577833" w:rsidRPr="00962684" w:rsidP="00577833" w14:paraId="72E8A015" w14:textId="77777777">
      <w:pPr>
        <w:widowControl/>
        <w:tabs>
          <w:tab w:val="left" w:pos="720"/>
        </w:tabs>
        <w:spacing w:after="120"/>
        <w:ind w:firstLine="720"/>
      </w:pPr>
      <w:r w:rsidRPr="0041131D">
        <w:t>In the event of an auction default, a base forfeiture per violation of $3,000 may be imposed.</w:t>
      </w:r>
      <w:r>
        <w:rPr>
          <w:rStyle w:val="FootnoteReference"/>
        </w:rPr>
        <w:footnoteReference w:id="27"/>
      </w:r>
      <w:r w:rsidRPr="0041131D">
        <w:t xml:space="preserve">  So that this </w:t>
      </w:r>
      <w:r w:rsidRPr="00B345AF">
        <w:rPr>
          <w:rStyle w:val="Hyperlink"/>
          <w:color w:val="auto"/>
          <w:u w:val="none"/>
          <w:shd w:val="clear" w:color="auto" w:fill="FFFFFF"/>
        </w:rPr>
        <w:t>base forfeiture amount is not disproportionate to the amount of a winning bidder’s bid, the Commission has limited the total base forfeiture to five percent of the bidder’s total assigned support for the bid for the support term.</w:t>
      </w:r>
      <w:r>
        <w:rPr>
          <w:rStyle w:val="FootnoteReference"/>
          <w:shd w:val="clear" w:color="auto" w:fill="FFFFFF"/>
        </w:rPr>
        <w:footnoteReference w:id="28"/>
      </w:r>
      <w:r w:rsidRPr="00B345AF">
        <w:rPr>
          <w:rStyle w:val="Hyperlink"/>
          <w:color w:val="auto"/>
          <w:u w:val="none"/>
          <w:shd w:val="clear" w:color="auto" w:fill="FFFFFF"/>
        </w:rPr>
        <w:t xml:space="preserve">  Notwithstanding this limitation,</w:t>
      </w:r>
      <w:r w:rsidRPr="0041131D">
        <w:t xml:space="preserve"> the total base forfeiture will also be </w:t>
      </w:r>
      <w:r w:rsidRPr="0041131D">
        <w:t>subject to adjustment upward or downward based on the criteria set forth in the Commission’s forfeiture guidelines</w:t>
      </w:r>
      <w:r w:rsidRPr="00962684">
        <w:rPr>
          <w:rStyle w:val="Hyperlink"/>
          <w:color w:val="auto"/>
          <w:u w:val="none"/>
          <w:shd w:val="clear" w:color="auto" w:fill="FFFFFF"/>
        </w:rPr>
        <w:t>.</w:t>
      </w:r>
      <w:r>
        <w:rPr>
          <w:rStyle w:val="FootnoteReference"/>
          <w:shd w:val="clear" w:color="auto" w:fill="FFFFFF"/>
        </w:rPr>
        <w:footnoteReference w:id="29"/>
      </w:r>
      <w:r w:rsidRPr="00962684">
        <w:rPr>
          <w:rStyle w:val="Hyperlink"/>
          <w:color w:val="auto"/>
          <w:u w:val="none"/>
          <w:shd w:val="clear" w:color="auto" w:fill="FFFFFF"/>
        </w:rPr>
        <w:t xml:space="preserve">  In this case, however, the imposition of any forfeiture with respect to </w:t>
      </w:r>
      <w:r w:rsidRPr="00962684">
        <w:rPr>
          <w:rStyle w:val="Hyperlink"/>
          <w:color w:val="auto"/>
          <w:u w:val="none"/>
          <w:shd w:val="clear" w:color="auto" w:fill="FFFFFF"/>
        </w:rPr>
        <w:t>Viasat’s</w:t>
      </w:r>
      <w:r w:rsidRPr="00962684">
        <w:rPr>
          <w:rStyle w:val="Hyperlink"/>
          <w:color w:val="auto"/>
          <w:u w:val="none"/>
          <w:shd w:val="clear" w:color="auto" w:fill="FFFFFF"/>
        </w:rPr>
        <w:t xml:space="preserve"> default should take into consideration that </w:t>
      </w:r>
      <w:r w:rsidRPr="00962684">
        <w:rPr>
          <w:rStyle w:val="Hyperlink"/>
          <w:color w:val="auto"/>
          <w:u w:val="none"/>
          <w:shd w:val="clear" w:color="auto" w:fill="FFFFFF"/>
        </w:rPr>
        <w:t>Viasat</w:t>
      </w:r>
      <w:r w:rsidRPr="00962684">
        <w:rPr>
          <w:rStyle w:val="Hyperlink"/>
          <w:color w:val="auto"/>
          <w:u w:val="none"/>
          <w:shd w:val="clear" w:color="auto" w:fill="FFFFFF"/>
        </w:rPr>
        <w:t xml:space="preserve"> has been authorized for support in portions of the winning bids in question</w:t>
      </w:r>
      <w:r w:rsidRPr="00962684">
        <w:rPr>
          <w:rStyle w:val="Hyperlink"/>
          <w:color w:val="auto"/>
          <w:u w:val="none"/>
        </w:rPr>
        <w:t>.</w:t>
      </w:r>
    </w:p>
    <w:p w:rsidR="00577833" w:rsidRPr="00FB1424" w:rsidP="00577833" w14:paraId="61523EDC" w14:textId="77777777">
      <w:pPr>
        <w:tabs>
          <w:tab w:val="left" w:pos="720"/>
        </w:tabs>
        <w:spacing w:after="120"/>
        <w:ind w:firstLine="720"/>
        <w:rPr>
          <w:b/>
        </w:rPr>
      </w:pPr>
      <w:r w:rsidRPr="00FB1424">
        <w:t>On August 28, 2018, we announced that there were 103 winning bidders in the auction and established the deadlines for winning bidders to submit their long-form applications for CAF Phase II support.</w:t>
      </w:r>
      <w:r>
        <w:rPr>
          <w:rStyle w:val="FootnoteReference"/>
        </w:rPr>
        <w:footnoteReference w:id="30"/>
      </w:r>
      <w:r w:rsidRPr="00FB1424">
        <w:t xml:space="preserve">  On October 30, 2018, after an opportunity for winning bidders to assign some or all of their winning bids to related entities, we announced that there were 134 long-form applicants.</w:t>
      </w:r>
      <w:r>
        <w:rPr>
          <w:rStyle w:val="FootnoteReference"/>
        </w:rPr>
        <w:footnoteReference w:id="31"/>
      </w:r>
      <w:r w:rsidRPr="00FB1424">
        <w:t xml:space="preserve">  We have reviewed the long-form application associated with the winning bid identified in Attachment A.  Based on the representations and certifications in </w:t>
      </w:r>
      <w:r>
        <w:t>the</w:t>
      </w:r>
      <w:r w:rsidRPr="00FB1424">
        <w:t xml:space="preserve"> relevant long-form application, we are prepared to authorize support, subject to submission of the required letter of credit and Bankruptcy Code opinion letter, for the winning bid identified in Attachment A.</w:t>
      </w:r>
      <w:r>
        <w:rPr>
          <w:rStyle w:val="FootnoteReference"/>
        </w:rPr>
        <w:footnoteReference w:id="32"/>
      </w:r>
    </w:p>
    <w:p w:rsidR="00577833" w:rsidRPr="00FB1424" w:rsidP="00577833" w14:paraId="2B427A3B" w14:textId="77777777">
      <w:pPr>
        <w:widowControl/>
        <w:spacing w:after="120"/>
        <w:ind w:firstLine="720"/>
      </w:pPr>
      <w:r w:rsidRPr="00FB1424">
        <w:t xml:space="preserve">Pursuant to section 54.315(b)(6)(v) of the Commission’ rules, the long-form applicant identified in Attachment A that may be authorized to receive CAF  Phase II auction support, must submit an irrevocable stand-by letter(s) of credit, issued in substantially the same form as set forth in the model letter of credit provided in Appendix B of the </w:t>
      </w:r>
      <w:r w:rsidRPr="00FB1424">
        <w:rPr>
          <w:i/>
        </w:rPr>
        <w:t>Phase II Auction Order</w:t>
      </w:r>
      <w:r>
        <w:rPr>
          <w:vertAlign w:val="superscript"/>
        </w:rPr>
        <w:footnoteReference w:id="33"/>
      </w:r>
      <w:r w:rsidRPr="00FB1424">
        <w:rPr>
          <w:vertAlign w:val="superscript"/>
        </w:rPr>
        <w:t xml:space="preserve"> </w:t>
      </w:r>
      <w:r w:rsidRPr="00FB1424">
        <w:t xml:space="preserve">by a bank that is acceptable to the Commission by </w:t>
      </w:r>
      <w:r w:rsidRPr="00AE6BAE">
        <w:rPr>
          <w:b/>
        </w:rPr>
        <w:t>6:00 p.m. ET on</w:t>
      </w:r>
      <w:r>
        <w:rPr>
          <w:b/>
        </w:rPr>
        <w:t xml:space="preserve"> June 29</w:t>
      </w:r>
      <w:r w:rsidRPr="00AE6BAE">
        <w:rPr>
          <w:b/>
        </w:rPr>
        <w:t>, 202</w:t>
      </w:r>
      <w:r>
        <w:rPr>
          <w:b/>
        </w:rPr>
        <w:t>2</w:t>
      </w:r>
      <w:r w:rsidRPr="00FB1424">
        <w:rPr>
          <w:b/>
        </w:rPr>
        <w:t>.</w:t>
      </w:r>
      <w:r>
        <w:rPr>
          <w:vertAlign w:val="superscript"/>
        </w:rPr>
        <w:footnoteReference w:id="34"/>
      </w:r>
      <w:r w:rsidRPr="00FB1424">
        <w:rPr>
          <w:vertAlign w:val="superscript"/>
        </w:rPr>
        <w:t xml:space="preserve"> </w:t>
      </w:r>
      <w:r w:rsidRPr="00FB1424">
        <w:rPr>
          <w:b/>
        </w:rPr>
        <w:t xml:space="preserve"> Prior to submitting their letter of credit,</w:t>
      </w:r>
      <w:r w:rsidRPr="00FB1424">
        <w:t xml:space="preserve"> </w:t>
      </w:r>
      <w:r w:rsidRPr="00FB1424">
        <w:rPr>
          <w:b/>
        </w:rPr>
        <w:t xml:space="preserve">we encourage </w:t>
      </w:r>
      <w:r w:rsidRPr="760EDA24">
        <w:rPr>
          <w:b/>
          <w:bCs/>
        </w:rPr>
        <w:t xml:space="preserve">the </w:t>
      </w:r>
      <w:r w:rsidRPr="00FB1424">
        <w:rPr>
          <w:b/>
        </w:rPr>
        <w:t xml:space="preserve">long-form applicant to view and share with their issuing bank the Letter of Credit Common Errors List available on USAC’s website: </w:t>
      </w:r>
      <w:hyperlink r:id="rId5" w:history="1">
        <w:r w:rsidRPr="00FB1424">
          <w:rPr>
            <w:rStyle w:val="Hyperlink"/>
          </w:rPr>
          <w:t>https://www.usac.org/hc/funds/caf-phase-ii-auction.aspx</w:t>
        </w:r>
      </w:hyperlink>
      <w:r w:rsidRPr="00FB1424">
        <w:t xml:space="preserve">.  </w:t>
      </w:r>
    </w:p>
    <w:p w:rsidR="00577833" w:rsidRPr="00FB1424" w:rsidP="00577833" w14:paraId="3057EA06" w14:textId="77777777">
      <w:pPr>
        <w:spacing w:after="120"/>
        <w:ind w:firstLine="720"/>
        <w:rPr>
          <w:szCs w:val="22"/>
        </w:rPr>
      </w:pPr>
      <w:r w:rsidRPr="00FB1424">
        <w:t>A separate letter(s) of credit must be submitted for each state where the long-form applicant has winning bids that are ready to be authorized in an amount equal to at least the first year of support in the state</w:t>
      </w:r>
      <w:r w:rsidRPr="00FB1424">
        <w:rPr>
          <w:szCs w:val="22"/>
        </w:rPr>
        <w:t>.</w:t>
      </w:r>
      <w:r>
        <w:rPr>
          <w:rStyle w:val="FootnoteReference"/>
          <w:szCs w:val="22"/>
        </w:rPr>
        <w:footnoteReference w:id="35"/>
      </w:r>
      <w:r w:rsidRPr="00FB1424">
        <w:rPr>
          <w:szCs w:val="22"/>
        </w:rPr>
        <w:t xml:space="preserve">  Before a support recipient can receive its next year’s support and each year’s support thereafter, it must 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substantially met its service milestones.</w:t>
      </w:r>
      <w:r>
        <w:rPr>
          <w:rStyle w:val="FootnoteReference"/>
          <w:szCs w:val="22"/>
        </w:rPr>
        <w:footnoteReference w:id="36"/>
      </w:r>
    </w:p>
    <w:p w:rsidR="00577833" w:rsidRPr="00FB1424" w:rsidP="00577833" w14:paraId="37B9B1AF" w14:textId="77777777">
      <w:pPr>
        <w:spacing w:after="120"/>
        <w:ind w:firstLine="720"/>
        <w:rPr>
          <w:szCs w:val="22"/>
        </w:rPr>
      </w:pPr>
      <w:r w:rsidRPr="00FB1424">
        <w:t xml:space="preserve">An applicant may obtain multiple letters of credit to cover all the bids in the state, but compliance with service milestones will be reviewed on a state-wide basis.  Accordingly, if a long-form applicant chooses to obtain a letter of credit for each of its winning bids in a state and defaults, a draw on </w:t>
      </w:r>
      <w:r w:rsidRPr="00FB1424">
        <w:rPr>
          <w:i/>
        </w:rPr>
        <w:t>all</w:t>
      </w:r>
      <w:r w:rsidRPr="00FB1424">
        <w:t xml:space="preserve"> of the letters of credit covering </w:t>
      </w:r>
      <w:r w:rsidRPr="00FB1424">
        <w:rPr>
          <w:i/>
        </w:rPr>
        <w:t>all</w:t>
      </w:r>
      <w:r w:rsidRPr="00FB1424">
        <w:t xml:space="preserve"> of the bids in the state will be authorized.</w:t>
      </w:r>
      <w:r>
        <w:rPr>
          <w:rStyle w:val="FootnoteReference"/>
        </w:rPr>
        <w:footnoteReference w:id="37"/>
      </w:r>
    </w:p>
    <w:p w:rsidR="00577833" w:rsidRPr="00FB1424" w:rsidP="00577833" w14:paraId="69E267AE" w14:textId="77777777">
      <w:pPr>
        <w:spacing w:after="120"/>
        <w:ind w:firstLine="720"/>
        <w:rPr>
          <w:szCs w:val="22"/>
        </w:rPr>
      </w:pPr>
      <w:r w:rsidRPr="00FB1424">
        <w:rPr>
          <w:szCs w:val="22"/>
        </w:rPr>
        <w:t>In addition, a long-form applicant is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38"/>
      </w:r>
      <w:r w:rsidRPr="00FB1424">
        <w:rPr>
          <w:szCs w:val="22"/>
        </w:rPr>
        <w:t xml:space="preserve">  </w:t>
      </w:r>
    </w:p>
    <w:p w:rsidR="00577833" w:rsidRPr="00FB1424" w:rsidP="00577833" w14:paraId="2DB067A3" w14:textId="77777777">
      <w:pPr>
        <w:spacing w:after="120"/>
        <w:ind w:firstLine="720"/>
        <w:rPr>
          <w:szCs w:val="22"/>
        </w:rPr>
      </w:pPr>
      <w:r w:rsidRPr="00FB1424">
        <w:rPr>
          <w:szCs w:val="22"/>
        </w:rPr>
        <w:t xml:space="preserve">By future public notice, we will authorize support for specific winning bids for which all requirements, including submission of the letter of credit and opinion letter, have been met.  </w:t>
      </w:r>
    </w:p>
    <w:p w:rsidR="00577833" w:rsidRPr="00FB1424" w:rsidP="00577833" w14:paraId="6384A17E" w14:textId="77777777">
      <w:pPr>
        <w:spacing w:after="120"/>
        <w:ind w:firstLine="720"/>
      </w:pPr>
      <w:r w:rsidRPr="00FB1424">
        <w:t>Details concerning the next steps are set forth below.</w:t>
      </w:r>
    </w:p>
    <w:p w:rsidR="00577833" w:rsidRPr="00FB1424" w:rsidP="00577833" w14:paraId="72345156" w14:textId="77777777">
      <w:pPr>
        <w:spacing w:after="120" w:line="227" w:lineRule="atLeast"/>
        <w:jc w:val="both"/>
        <w:rPr>
          <w:b/>
          <w:spacing w:val="-2"/>
        </w:rPr>
      </w:pPr>
      <w:r w:rsidRPr="00FB1424">
        <w:rPr>
          <w:b/>
          <w:spacing w:val="-2"/>
        </w:rPr>
        <w:t>Instructions for Submission of Letter of Credit and Opinion Letter</w:t>
      </w:r>
    </w:p>
    <w:p w:rsidR="00577833" w:rsidRPr="00FB1424" w:rsidP="00577833" w14:paraId="5C214607" w14:textId="77777777">
      <w:pPr>
        <w:spacing w:after="120"/>
        <w:ind w:firstLine="720"/>
        <w:rPr>
          <w:color w:val="000000"/>
        </w:rPr>
      </w:pPr>
      <w:r w:rsidRPr="00807A20">
        <w:rPr>
          <w:color w:val="000000"/>
        </w:rPr>
        <w:t xml:space="preserve">The long-form applicant identified in Attachment A of this Public Notice must submit a letter of credit and opinion letter for the state where it has </w:t>
      </w:r>
      <w:r>
        <w:rPr>
          <w:color w:val="000000"/>
        </w:rPr>
        <w:t xml:space="preserve">a </w:t>
      </w:r>
      <w:r w:rsidRPr="00807A20">
        <w:rPr>
          <w:color w:val="000000"/>
        </w:rPr>
        <w:t xml:space="preserve">winning bid identified in Attachment A.  The minimum amount of the first letter of credit for each state is determined by adding up the first year of support listed in Attachment A for each winning bid in the state.  The letter of credit and opinion letter submitted to the Universal Service Administrative Company (USAC) must reference the relevant study area code as listed in Attachment A. </w:t>
      </w:r>
    </w:p>
    <w:p w:rsidR="00577833" w:rsidRPr="00EA1AA9" w:rsidP="00577833" w14:paraId="03886911" w14:textId="77777777">
      <w:pPr>
        <w:widowControl/>
        <w:spacing w:after="120"/>
        <w:ind w:firstLine="720"/>
        <w:rPr>
          <w:color w:val="000000"/>
        </w:rPr>
      </w:pPr>
      <w:r w:rsidRPr="00EA1AA9">
        <w:rPr>
          <w:color w:val="000000"/>
        </w:rPr>
        <w:t xml:space="preserve">The original of the letter of credit and opinion letter must be submitted to USAC by the applicable deadline – </w:t>
      </w:r>
      <w:r w:rsidRPr="00EA1AA9">
        <w:rPr>
          <w:b/>
          <w:color w:val="000000"/>
        </w:rPr>
        <w:t>prior to</w:t>
      </w:r>
      <w:r w:rsidRPr="00EA1AA9">
        <w:rPr>
          <w:color w:val="000000"/>
        </w:rPr>
        <w:t xml:space="preserve"> </w:t>
      </w:r>
      <w:r w:rsidRPr="00EA1AA9">
        <w:rPr>
          <w:b/>
          <w:color w:val="000000"/>
        </w:rPr>
        <w:t xml:space="preserve">6:00 p.m. ET on </w:t>
      </w:r>
      <w:r w:rsidRPr="00EA1AA9">
        <w:rPr>
          <w:b/>
        </w:rPr>
        <w:t>June 2</w:t>
      </w:r>
      <w:r>
        <w:rPr>
          <w:b/>
        </w:rPr>
        <w:t>9</w:t>
      </w:r>
      <w:r w:rsidRPr="00EA1AA9">
        <w:rPr>
          <w:b/>
        </w:rPr>
        <w:t>, 2022</w:t>
      </w:r>
      <w:r w:rsidRPr="00EA1AA9">
        <w:rPr>
          <w:color w:val="000000"/>
        </w:rPr>
        <w:t xml:space="preserve">, at the following address:  Universal Service Administrative Company (USAC), High Cost Program, </w:t>
      </w:r>
      <w:r w:rsidRPr="00EA1AA9">
        <w:t>CAF Phase II Auction LOC, 700 12th Street, NW, Suite 900, Washington, DC 20005</w:t>
      </w:r>
      <w:r w:rsidRPr="00EA1AA9">
        <w:rPr>
          <w:color w:val="000000"/>
        </w:rPr>
        <w:t xml:space="preserve">.  We recommend that the long-form applicant send the originals of both the letter of credit and the opinion letter by means of delivery requiring signature.  These documents may be sent to the attention </w:t>
      </w:r>
      <w:r w:rsidRPr="00EB385C">
        <w:rPr>
          <w:color w:val="000000"/>
        </w:rPr>
        <w:t>of Stephen Snowman.</w:t>
      </w:r>
    </w:p>
    <w:p w:rsidR="00577833" w:rsidRPr="00FB1424" w:rsidP="00577833" w14:paraId="23336195" w14:textId="77777777">
      <w:pPr>
        <w:spacing w:after="120"/>
        <w:ind w:firstLine="720"/>
      </w:pPr>
      <w:r w:rsidRPr="00EA1AA9">
        <w:rPr>
          <w:spacing w:val="-2"/>
        </w:rPr>
        <w:t>A copy of the letter of credit and opinion letter must also be submitted in the FCC Auction System by the applicable deadline—</w:t>
      </w:r>
      <w:r w:rsidRPr="00EA1AA9">
        <w:rPr>
          <w:b/>
          <w:color w:val="000000"/>
          <w:szCs w:val="22"/>
        </w:rPr>
        <w:t xml:space="preserve"> prior to</w:t>
      </w:r>
      <w:r w:rsidRPr="00EA1AA9">
        <w:rPr>
          <w:color w:val="000000"/>
          <w:szCs w:val="22"/>
        </w:rPr>
        <w:t xml:space="preserve"> </w:t>
      </w:r>
      <w:r w:rsidRPr="00EA1AA9">
        <w:rPr>
          <w:b/>
          <w:color w:val="000000"/>
        </w:rPr>
        <w:t>6:00 p.m. ET on</w:t>
      </w:r>
      <w:r w:rsidRPr="00EA1AA9">
        <w:rPr>
          <w:b/>
        </w:rPr>
        <w:t xml:space="preserve"> June 2</w:t>
      </w:r>
      <w:r>
        <w:rPr>
          <w:b/>
        </w:rPr>
        <w:t>9</w:t>
      </w:r>
      <w:r w:rsidRPr="00EA1AA9">
        <w:rPr>
          <w:b/>
        </w:rPr>
        <w:t>, 20</w:t>
      </w:r>
      <w:r w:rsidRPr="00AE6BAE">
        <w:rPr>
          <w:b/>
        </w:rPr>
        <w:t>2</w:t>
      </w:r>
      <w:r>
        <w:rPr>
          <w:b/>
        </w:rPr>
        <w:t>2</w:t>
      </w:r>
      <w:r w:rsidRPr="00FB1424">
        <w:rPr>
          <w:spacing w:val="-2"/>
        </w:rPr>
        <w:t xml:space="preserve">.  </w:t>
      </w:r>
      <w:r w:rsidRPr="00FB1424">
        <w:t>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rPr>
        <w:footnoteReference w:id="39"/>
      </w:r>
      <w:r w:rsidRPr="00FB1424">
        <w:t xml:space="preserve">  As such, a long-form applicant need not submit a separate section 0.459 confidentiality request for this information with its FCC Form 683.</w:t>
      </w:r>
      <w:r>
        <w:rPr>
          <w:rStyle w:val="FootnoteReference"/>
        </w:rPr>
        <w:footnoteReference w:id="40"/>
      </w:r>
    </w:p>
    <w:p w:rsidR="00577833" w:rsidRPr="00FB1424" w:rsidP="00577833" w14:paraId="053351A5" w14:textId="77777777">
      <w:pPr>
        <w:widowControl/>
        <w:spacing w:after="120"/>
        <w:ind w:firstLine="720"/>
      </w:pPr>
      <w:r>
        <w:t xml:space="preserve">If the </w:t>
      </w:r>
      <w:r w:rsidRPr="00FB1424">
        <w:t>long-form applicant identified in Attachment A fails to file the required documents</w:t>
      </w:r>
      <w:r>
        <w:rPr>
          <w:rStyle w:val="FootnoteReference"/>
        </w:rPr>
        <w:footnoteReference w:id="41"/>
      </w:r>
      <w:r w:rsidRPr="00FB1424">
        <w:t xml:space="preserve"> for the identified winning bid by the applicable deadline </w:t>
      </w:r>
      <w:r w:rsidRPr="00FB1424">
        <w:rPr>
          <w:b/>
        </w:rPr>
        <w:t xml:space="preserve">– </w:t>
      </w:r>
      <w:r w:rsidRPr="00EA1AA9">
        <w:rPr>
          <w:b/>
          <w:color w:val="000000"/>
          <w:szCs w:val="22"/>
        </w:rPr>
        <w:t>prior to</w:t>
      </w:r>
      <w:r w:rsidRPr="00EA1AA9">
        <w:rPr>
          <w:color w:val="000000"/>
          <w:szCs w:val="22"/>
        </w:rPr>
        <w:t xml:space="preserve"> </w:t>
      </w:r>
      <w:r w:rsidRPr="00EA1AA9">
        <w:rPr>
          <w:b/>
          <w:color w:val="000000"/>
        </w:rPr>
        <w:t xml:space="preserve">6:00 p.m. ET on </w:t>
      </w:r>
      <w:r w:rsidRPr="00EA1AA9">
        <w:rPr>
          <w:b/>
        </w:rPr>
        <w:t>June 2</w:t>
      </w:r>
      <w:r>
        <w:rPr>
          <w:b/>
        </w:rPr>
        <w:t>9</w:t>
      </w:r>
      <w:r w:rsidRPr="00EA1AA9">
        <w:rPr>
          <w:b/>
        </w:rPr>
        <w:t xml:space="preserve">, </w:t>
      </w:r>
      <w:r>
        <w:rPr>
          <w:b/>
        </w:rPr>
        <w:t>20</w:t>
      </w:r>
      <w:r w:rsidRPr="00EA1AA9">
        <w:rPr>
          <w:b/>
        </w:rPr>
        <w:t>22</w:t>
      </w:r>
      <w:r>
        <w:rPr>
          <w:b/>
        </w:rPr>
        <w:t xml:space="preserve"> </w:t>
      </w:r>
      <w:r w:rsidRPr="00EA1AA9">
        <w:rPr>
          <w:b/>
        </w:rPr>
        <w:t>–</w:t>
      </w:r>
      <w:r w:rsidRPr="00EA1AA9">
        <w:t xml:space="preserve"> </w:t>
      </w:r>
      <w:r>
        <w:t xml:space="preserve">the applicant </w:t>
      </w:r>
      <w:r w:rsidRPr="00EA1AA9">
        <w:t xml:space="preserve">will be in default on </w:t>
      </w:r>
      <w:r>
        <w:t>this</w:t>
      </w:r>
      <w:r w:rsidRPr="00EA1AA9">
        <w:t xml:space="preserve"> bid and subject to forfeiture.</w:t>
      </w:r>
      <w:r>
        <w:rPr>
          <w:rStyle w:val="FootnoteReference"/>
        </w:rPr>
        <w:footnoteReference w:id="42"/>
      </w:r>
      <w:r w:rsidRPr="00FB1424">
        <w:t xml:space="preserve">  </w:t>
      </w:r>
    </w:p>
    <w:p w:rsidR="00577833" w:rsidRPr="00FB1424" w:rsidP="00577833" w14:paraId="1CCFE97B" w14:textId="77777777">
      <w:pPr>
        <w:rPr>
          <w:b/>
        </w:rPr>
      </w:pPr>
    </w:p>
    <w:p w:rsidR="00577833" w:rsidRPr="00FB1424" w:rsidP="00577833" w14:paraId="6F3CD28C" w14:textId="77777777">
      <w:pPr>
        <w:keepNext/>
        <w:rPr>
          <w:b/>
        </w:rPr>
      </w:pPr>
      <w:r w:rsidRPr="00FB1424">
        <w:rPr>
          <w:b/>
        </w:rPr>
        <w:t>Further Information Contact:</w:t>
      </w:r>
    </w:p>
    <w:tbl>
      <w:tblPr>
        <w:tblW w:w="9828" w:type="dxa"/>
        <w:tblLayout w:type="fixed"/>
        <w:tblCellMar>
          <w:left w:w="115" w:type="dxa"/>
          <w:right w:w="115" w:type="dxa"/>
        </w:tblCellMar>
        <w:tblLook w:val="0000"/>
      </w:tblPr>
      <w:tblGrid>
        <w:gridCol w:w="4968"/>
        <w:gridCol w:w="4860"/>
      </w:tblGrid>
      <w:tr w14:paraId="7BB5B707" w14:textId="77777777" w:rsidTr="00ED36F8">
        <w:tblPrEx>
          <w:tblW w:w="9828" w:type="dxa"/>
          <w:tblLayout w:type="fixed"/>
          <w:tblCellMar>
            <w:left w:w="115" w:type="dxa"/>
            <w:right w:w="115" w:type="dxa"/>
          </w:tblCellMar>
          <w:tblLook w:val="0000"/>
        </w:tblPrEx>
        <w:trPr>
          <w:cantSplit/>
          <w:trHeight w:val="2232"/>
        </w:trPr>
        <w:tc>
          <w:tcPr>
            <w:tcW w:w="4968" w:type="dxa"/>
          </w:tcPr>
          <w:p w:rsidR="00577833" w:rsidRPr="00FB1424" w:rsidP="00ED36F8" w14:paraId="0B662DEA" w14:textId="77777777">
            <w:pPr>
              <w:widowControl/>
              <w:rPr>
                <w:b/>
                <w:szCs w:val="22"/>
              </w:rPr>
            </w:pPr>
          </w:p>
          <w:p w:rsidR="00577833" w:rsidRPr="00FB1424" w:rsidP="00ED36F8" w14:paraId="69FC1098" w14:textId="77777777">
            <w:pPr>
              <w:widowControl/>
              <w:rPr>
                <w:b/>
                <w:szCs w:val="22"/>
              </w:rPr>
            </w:pPr>
            <w:r w:rsidRPr="00FB1424">
              <w:rPr>
                <w:b/>
                <w:szCs w:val="22"/>
              </w:rPr>
              <w:t>Technical Support</w:t>
            </w:r>
          </w:p>
          <w:p w:rsidR="00577833" w:rsidRPr="00FB1424" w:rsidP="00ED36F8" w14:paraId="061585F7" w14:textId="77777777">
            <w:pPr>
              <w:widowControl/>
              <w:ind w:left="360"/>
              <w:rPr>
                <w:szCs w:val="22"/>
              </w:rPr>
            </w:pPr>
            <w:r w:rsidRPr="00FB1424">
              <w:rPr>
                <w:szCs w:val="22"/>
              </w:rPr>
              <w:t>Electronic Filing</w:t>
            </w:r>
          </w:p>
          <w:p w:rsidR="00577833" w:rsidRPr="00FB1424" w:rsidP="00ED36F8" w14:paraId="02C11A0B" w14:textId="77777777">
            <w:pPr>
              <w:ind w:left="360"/>
              <w:rPr>
                <w:b/>
                <w:szCs w:val="22"/>
              </w:rPr>
            </w:pPr>
            <w:r w:rsidRPr="00FB1424">
              <w:rPr>
                <w:szCs w:val="22"/>
              </w:rPr>
              <w:t>Auction Application System and CAF II Bidding System (Hardware/Software Issues)</w:t>
            </w:r>
          </w:p>
        </w:tc>
        <w:tc>
          <w:tcPr>
            <w:tcW w:w="4860" w:type="dxa"/>
          </w:tcPr>
          <w:p w:rsidR="00577833" w:rsidRPr="00FB1424" w:rsidP="00ED36F8" w14:paraId="4510CC25" w14:textId="77777777">
            <w:pPr>
              <w:widowControl/>
              <w:rPr>
                <w:b/>
                <w:szCs w:val="22"/>
              </w:rPr>
            </w:pPr>
          </w:p>
          <w:p w:rsidR="00577833" w:rsidRPr="00FB1424" w:rsidP="00ED36F8" w14:paraId="30749178" w14:textId="77777777">
            <w:pPr>
              <w:widowControl/>
              <w:rPr>
                <w:b/>
                <w:szCs w:val="22"/>
              </w:rPr>
            </w:pPr>
            <w:r w:rsidRPr="00FB1424">
              <w:rPr>
                <w:b/>
                <w:szCs w:val="22"/>
              </w:rPr>
              <w:t>FCC Auctions Technical Support Hotline</w:t>
            </w:r>
          </w:p>
          <w:p w:rsidR="00577833" w:rsidRPr="00FB1424" w:rsidP="00ED36F8" w14:paraId="02FD73E7" w14:textId="77777777">
            <w:pPr>
              <w:widowControl/>
              <w:rPr>
                <w:szCs w:val="22"/>
              </w:rPr>
            </w:pPr>
            <w:r w:rsidRPr="00FB1424">
              <w:rPr>
                <w:szCs w:val="22"/>
              </w:rPr>
              <w:t>(877) 480-3201, option nine; or (202) 414</w:t>
            </w:r>
            <w:r w:rsidRPr="00FB1424">
              <w:rPr>
                <w:szCs w:val="22"/>
              </w:rPr>
              <w:noBreakHyphen/>
              <w:t>1250</w:t>
            </w:r>
          </w:p>
          <w:p w:rsidR="00577833" w:rsidRPr="00FB1424" w:rsidP="00ED36F8" w14:paraId="50540716" w14:textId="77777777">
            <w:pPr>
              <w:widowControl/>
              <w:rPr>
                <w:szCs w:val="22"/>
              </w:rPr>
            </w:pPr>
            <w:r w:rsidRPr="00FB1424">
              <w:rPr>
                <w:szCs w:val="22"/>
              </w:rPr>
              <w:t>(202) 414-1255 (TTY)</w:t>
            </w:r>
          </w:p>
          <w:p w:rsidR="00577833" w:rsidRPr="00FB1424" w:rsidP="00ED36F8" w14:paraId="42A0AA3D" w14:textId="77777777">
            <w:pPr>
              <w:widowControl/>
              <w:rPr>
                <w:szCs w:val="22"/>
              </w:rPr>
            </w:pPr>
            <w:r w:rsidRPr="00FB1424">
              <w:rPr>
                <w:szCs w:val="22"/>
              </w:rPr>
              <w:t>Hours of service: 8:00 a.m. – 6:00 p.m. ET,</w:t>
            </w:r>
          </w:p>
          <w:p w:rsidR="00577833" w:rsidRPr="00FB1424" w:rsidP="00ED36F8" w14:paraId="28AFCF70" w14:textId="77777777">
            <w:pPr>
              <w:rPr>
                <w:b/>
                <w:szCs w:val="22"/>
              </w:rPr>
            </w:pPr>
            <w:r w:rsidRPr="00FB1424">
              <w:rPr>
                <w:szCs w:val="22"/>
              </w:rPr>
              <w:t xml:space="preserve">Monday through Friday </w:t>
            </w:r>
          </w:p>
        </w:tc>
      </w:tr>
      <w:tr w14:paraId="49A0F59F" w14:textId="77777777" w:rsidTr="00ED36F8">
        <w:tblPrEx>
          <w:tblW w:w="9828" w:type="dxa"/>
          <w:tblLayout w:type="fixed"/>
          <w:tblCellMar>
            <w:left w:w="115" w:type="dxa"/>
            <w:right w:w="115" w:type="dxa"/>
          </w:tblCellMar>
          <w:tblLook w:val="0000"/>
        </w:tblPrEx>
        <w:trPr>
          <w:cantSplit/>
          <w:trHeight w:val="720"/>
        </w:trPr>
        <w:tc>
          <w:tcPr>
            <w:tcW w:w="4968" w:type="dxa"/>
          </w:tcPr>
          <w:p w:rsidR="00577833" w:rsidRPr="00FB1424" w:rsidP="00ED36F8" w14:paraId="053B825B" w14:textId="77777777">
            <w:pPr>
              <w:rPr>
                <w:b/>
                <w:szCs w:val="22"/>
              </w:rPr>
            </w:pPr>
            <w:r w:rsidRPr="00FB1424">
              <w:rPr>
                <w:b/>
                <w:szCs w:val="22"/>
              </w:rPr>
              <w:t>Press Information</w:t>
            </w:r>
          </w:p>
        </w:tc>
        <w:tc>
          <w:tcPr>
            <w:tcW w:w="4860" w:type="dxa"/>
          </w:tcPr>
          <w:p w:rsidR="00577833" w:rsidRPr="00FB1424" w:rsidP="00ED36F8" w14:paraId="57048572" w14:textId="77777777">
            <w:pPr>
              <w:widowControl/>
              <w:rPr>
                <w:szCs w:val="22"/>
              </w:rPr>
            </w:pPr>
            <w:r w:rsidRPr="00FB1424">
              <w:rPr>
                <w:szCs w:val="22"/>
              </w:rPr>
              <w:t>Office of Media Relations, (202) 418-0500</w:t>
            </w:r>
          </w:p>
          <w:p w:rsidR="00577833" w:rsidRPr="00FB1424" w:rsidP="00ED36F8" w14:paraId="63803C94" w14:textId="77777777">
            <w:pPr>
              <w:rPr>
                <w:b/>
                <w:szCs w:val="22"/>
              </w:rPr>
            </w:pPr>
          </w:p>
        </w:tc>
      </w:tr>
      <w:tr w14:paraId="5A8F02F8" w14:textId="77777777" w:rsidTr="00ED36F8">
        <w:tblPrEx>
          <w:tblW w:w="9828" w:type="dxa"/>
          <w:tblLayout w:type="fixed"/>
          <w:tblCellMar>
            <w:left w:w="115" w:type="dxa"/>
            <w:right w:w="115" w:type="dxa"/>
          </w:tblCellMar>
          <w:tblLook w:val="0000"/>
        </w:tblPrEx>
        <w:trPr>
          <w:cantSplit/>
          <w:trHeight w:val="900"/>
        </w:trPr>
        <w:tc>
          <w:tcPr>
            <w:tcW w:w="4968" w:type="dxa"/>
          </w:tcPr>
          <w:p w:rsidR="00577833" w:rsidRPr="00FB1424" w:rsidP="00ED36F8" w14:paraId="3EFBB844" w14:textId="77777777">
            <w:pPr>
              <w:rPr>
                <w:b/>
                <w:i/>
                <w:szCs w:val="22"/>
              </w:rPr>
            </w:pPr>
            <w:r w:rsidRPr="00FB1424">
              <w:rPr>
                <w:b/>
                <w:szCs w:val="22"/>
              </w:rPr>
              <w:t>General Universal Service Information</w:t>
            </w:r>
          </w:p>
        </w:tc>
        <w:tc>
          <w:tcPr>
            <w:tcW w:w="4860" w:type="dxa"/>
          </w:tcPr>
          <w:p w:rsidR="00577833" w:rsidRPr="00FB1424" w:rsidP="00ED36F8" w14:paraId="59D8EAEF" w14:textId="77777777">
            <w:pPr>
              <w:rPr>
                <w:b/>
                <w:szCs w:val="22"/>
              </w:rPr>
            </w:pPr>
            <w:r w:rsidRPr="00FB1424">
              <w:rPr>
                <w:b/>
                <w:szCs w:val="22"/>
              </w:rPr>
              <w:t>Wireline Competition Bureau,</w:t>
            </w:r>
          </w:p>
          <w:p w:rsidR="00577833" w:rsidRPr="00FB1424" w:rsidP="00ED36F8" w14:paraId="71B9B1AE" w14:textId="77777777">
            <w:pPr>
              <w:rPr>
                <w:b/>
                <w:szCs w:val="22"/>
              </w:rPr>
            </w:pPr>
            <w:r w:rsidRPr="00FB1424">
              <w:rPr>
                <w:b/>
                <w:szCs w:val="22"/>
              </w:rPr>
              <w:t>Telecommunications Access Policy Division</w:t>
            </w:r>
          </w:p>
          <w:p w:rsidR="00577833" w:rsidP="00ED36F8" w14:paraId="7BE25EC3" w14:textId="77777777">
            <w:pPr>
              <w:widowControl/>
              <w:rPr>
                <w:szCs w:val="22"/>
              </w:rPr>
            </w:pPr>
            <w:r>
              <w:rPr>
                <w:szCs w:val="22"/>
              </w:rPr>
              <w:t>Suzanne Yelen</w:t>
            </w:r>
          </w:p>
          <w:p w:rsidR="00577833" w:rsidRPr="00FB1424" w:rsidP="00ED36F8" w14:paraId="365A571A" w14:textId="77777777">
            <w:pPr>
              <w:widowControl/>
              <w:rPr>
                <w:szCs w:val="22"/>
              </w:rPr>
            </w:pPr>
            <w:r w:rsidRPr="00FB1424">
              <w:rPr>
                <w:szCs w:val="22"/>
              </w:rPr>
              <w:t>Lauren Garry</w:t>
            </w:r>
          </w:p>
          <w:p w:rsidR="00577833" w:rsidRPr="00FB1424" w:rsidP="00ED36F8" w14:paraId="42CC4874" w14:textId="77777777">
            <w:pPr>
              <w:widowControl/>
              <w:rPr>
                <w:szCs w:val="22"/>
              </w:rPr>
            </w:pPr>
            <w:r w:rsidRPr="00FB1424">
              <w:rPr>
                <w:szCs w:val="22"/>
              </w:rPr>
              <w:t>Katie King</w:t>
            </w:r>
          </w:p>
          <w:p w:rsidR="00577833" w:rsidP="00ED36F8" w14:paraId="320452F9" w14:textId="77777777">
            <w:pPr>
              <w:widowControl/>
              <w:rPr>
                <w:szCs w:val="22"/>
              </w:rPr>
            </w:pPr>
            <w:r>
              <w:rPr>
                <w:szCs w:val="22"/>
              </w:rPr>
              <w:t>Heidi Lankau</w:t>
            </w:r>
          </w:p>
          <w:p w:rsidR="00577833" w:rsidRPr="00FB1424" w:rsidP="00ED36F8" w14:paraId="6AEFE336" w14:textId="77777777">
            <w:pPr>
              <w:widowControl/>
              <w:rPr>
                <w:szCs w:val="22"/>
              </w:rPr>
            </w:pPr>
            <w:r w:rsidRPr="00FB1424">
              <w:rPr>
                <w:szCs w:val="22"/>
              </w:rPr>
              <w:t>(202) 418-7400</w:t>
            </w:r>
          </w:p>
          <w:p w:rsidR="00577833" w:rsidRPr="00FB1424" w:rsidP="00ED36F8" w14:paraId="0FEC76C5" w14:textId="77777777">
            <w:pPr>
              <w:widowControl/>
              <w:rPr>
                <w:szCs w:val="22"/>
              </w:rPr>
            </w:pPr>
          </w:p>
          <w:p w:rsidR="00577833" w:rsidRPr="00FB1424" w:rsidP="00ED36F8" w14:paraId="7D95299F" w14:textId="77777777">
            <w:pPr>
              <w:rPr>
                <w:b/>
                <w:szCs w:val="22"/>
              </w:rPr>
            </w:pPr>
            <w:r w:rsidRPr="00FB1424">
              <w:rPr>
                <w:b/>
                <w:szCs w:val="22"/>
              </w:rPr>
              <w:t>Universal Service Administrative Company</w:t>
            </w:r>
          </w:p>
          <w:p w:rsidR="00577833" w:rsidRPr="00FB1424" w:rsidP="00ED36F8" w14:paraId="5E6AB298" w14:textId="77777777">
            <w:pPr>
              <w:widowControl/>
              <w:rPr>
                <w:szCs w:val="22"/>
              </w:rPr>
            </w:pPr>
            <w:r w:rsidRPr="00FB1424">
              <w:rPr>
                <w:szCs w:val="22"/>
              </w:rPr>
              <w:t>Stephen Snowman</w:t>
            </w:r>
          </w:p>
          <w:p w:rsidR="00577833" w:rsidRPr="00FB1424" w:rsidP="00ED36F8" w14:paraId="3E52588C" w14:textId="77777777">
            <w:pPr>
              <w:widowControl/>
              <w:rPr>
                <w:szCs w:val="22"/>
              </w:rPr>
            </w:pPr>
            <w:r w:rsidRPr="00FB1424">
              <w:rPr>
                <w:szCs w:val="22"/>
              </w:rPr>
              <w:t>(202) 263-1600</w:t>
            </w:r>
          </w:p>
          <w:p w:rsidR="00577833" w:rsidRPr="00FB1424" w:rsidP="00ED36F8" w14:paraId="781BB8D7" w14:textId="77777777">
            <w:pPr>
              <w:widowControl/>
              <w:rPr>
                <w:szCs w:val="22"/>
              </w:rPr>
            </w:pPr>
          </w:p>
        </w:tc>
      </w:tr>
      <w:tr w14:paraId="1484CE21" w14:textId="77777777" w:rsidTr="00ED36F8">
        <w:tblPrEx>
          <w:tblW w:w="9828" w:type="dxa"/>
          <w:tblLayout w:type="fixed"/>
          <w:tblCellMar>
            <w:left w:w="115" w:type="dxa"/>
            <w:right w:w="115" w:type="dxa"/>
          </w:tblCellMar>
          <w:tblLook w:val="0000"/>
        </w:tblPrEx>
        <w:trPr>
          <w:cantSplit/>
          <w:trHeight w:val="1440"/>
        </w:trPr>
        <w:tc>
          <w:tcPr>
            <w:tcW w:w="4968" w:type="dxa"/>
          </w:tcPr>
          <w:p w:rsidR="00577833" w:rsidRPr="00FB1424" w:rsidP="00ED36F8" w14:paraId="3B71CF77" w14:textId="77777777">
            <w:pPr>
              <w:rPr>
                <w:szCs w:val="22"/>
              </w:rPr>
            </w:pPr>
            <w:r w:rsidRPr="00FB1424">
              <w:rPr>
                <w:b/>
                <w:szCs w:val="22"/>
              </w:rPr>
              <w:t>Auction 903 Information</w:t>
            </w:r>
          </w:p>
          <w:p w:rsidR="00577833" w:rsidRPr="00FB1424" w:rsidP="00ED36F8" w14:paraId="1830ED3D" w14:textId="77777777">
            <w:pPr>
              <w:ind w:left="360"/>
              <w:rPr>
                <w:szCs w:val="22"/>
              </w:rPr>
            </w:pPr>
            <w:r w:rsidRPr="00FB1424">
              <w:rPr>
                <w:szCs w:val="22"/>
              </w:rPr>
              <w:t>General Auction Information, Process, and Procedures</w:t>
            </w:r>
          </w:p>
          <w:p w:rsidR="00577833" w:rsidRPr="00FB1424" w:rsidP="00ED36F8" w14:paraId="2809EAF1" w14:textId="77777777">
            <w:pPr>
              <w:rPr>
                <w:szCs w:val="22"/>
              </w:rPr>
            </w:pPr>
          </w:p>
          <w:p w:rsidR="00577833" w:rsidRPr="00FB1424" w:rsidP="00ED36F8" w14:paraId="1F86F8B8" w14:textId="77777777">
            <w:pPr>
              <w:rPr>
                <w:szCs w:val="22"/>
              </w:rPr>
            </w:pPr>
          </w:p>
          <w:p w:rsidR="00577833" w:rsidRPr="00FB1424" w:rsidP="00ED36F8" w14:paraId="1800642B" w14:textId="77777777">
            <w:pPr>
              <w:ind w:left="360"/>
              <w:rPr>
                <w:b/>
                <w:szCs w:val="22"/>
              </w:rPr>
            </w:pPr>
            <w:r w:rsidRPr="00FB1424">
              <w:rPr>
                <w:szCs w:val="22"/>
              </w:rPr>
              <w:t>Post-Auction Rules, Policies, and Regulations</w:t>
            </w:r>
          </w:p>
        </w:tc>
        <w:tc>
          <w:tcPr>
            <w:tcW w:w="4860" w:type="dxa"/>
          </w:tcPr>
          <w:p w:rsidR="00577833" w:rsidRPr="00FB1424" w:rsidP="00ED36F8" w14:paraId="620F775F" w14:textId="77777777">
            <w:pPr>
              <w:widowControl/>
              <w:rPr>
                <w:b/>
                <w:szCs w:val="22"/>
              </w:rPr>
            </w:pPr>
          </w:p>
          <w:p w:rsidR="00577833" w:rsidRPr="00FB1424" w:rsidP="00ED36F8" w14:paraId="066368BB" w14:textId="77777777">
            <w:pPr>
              <w:widowControl/>
              <w:rPr>
                <w:b/>
                <w:szCs w:val="22"/>
              </w:rPr>
            </w:pPr>
            <w:r w:rsidRPr="00FB1424">
              <w:rPr>
                <w:b/>
                <w:szCs w:val="22"/>
              </w:rPr>
              <w:t>Office of Economics and Analytics,</w:t>
            </w:r>
          </w:p>
          <w:p w:rsidR="00577833" w:rsidRPr="00FB1424" w:rsidP="00ED36F8" w14:paraId="2EB59305" w14:textId="77777777">
            <w:pPr>
              <w:rPr>
                <w:b/>
                <w:szCs w:val="22"/>
              </w:rPr>
            </w:pPr>
            <w:r w:rsidRPr="00FB1424">
              <w:rPr>
                <w:b/>
                <w:szCs w:val="22"/>
              </w:rPr>
              <w:t xml:space="preserve">Auctions Division </w:t>
            </w:r>
          </w:p>
          <w:p w:rsidR="00577833" w:rsidRPr="00FB1424" w:rsidP="00ED36F8" w14:paraId="06D5EC6E" w14:textId="77777777">
            <w:pPr>
              <w:rPr>
                <w:szCs w:val="22"/>
              </w:rPr>
            </w:pPr>
            <w:r w:rsidRPr="00FB1424">
              <w:rPr>
                <w:szCs w:val="22"/>
              </w:rPr>
              <w:t>(717) 338-2868</w:t>
            </w:r>
          </w:p>
          <w:p w:rsidR="00577833" w:rsidRPr="00FB1424" w:rsidP="00ED36F8" w14:paraId="57DBE19F" w14:textId="77777777">
            <w:pPr>
              <w:rPr>
                <w:szCs w:val="22"/>
              </w:rPr>
            </w:pPr>
          </w:p>
          <w:p w:rsidR="00577833" w:rsidRPr="00FB1424" w:rsidP="00ED36F8" w14:paraId="296B6A4D" w14:textId="77777777">
            <w:pPr>
              <w:widowControl/>
              <w:rPr>
                <w:b/>
                <w:szCs w:val="22"/>
              </w:rPr>
            </w:pPr>
            <w:r w:rsidRPr="00FB1424">
              <w:rPr>
                <w:b/>
                <w:szCs w:val="22"/>
              </w:rPr>
              <w:t>Rural Broadband Auctions Task Force</w:t>
            </w:r>
          </w:p>
          <w:p w:rsidR="00577833" w:rsidRPr="00FB1424" w:rsidP="00ED36F8" w14:paraId="18D9E823" w14:textId="77777777">
            <w:pPr>
              <w:widowControl/>
              <w:rPr>
                <w:szCs w:val="22"/>
              </w:rPr>
            </w:pPr>
            <w:r w:rsidRPr="00FB1424">
              <w:rPr>
                <w:szCs w:val="22"/>
              </w:rPr>
              <w:t>Michael Janson, (202) 418-0627</w:t>
            </w:r>
          </w:p>
          <w:p w:rsidR="00577833" w:rsidRPr="00FB1424" w:rsidP="00ED36F8" w14:paraId="7AAB4A39" w14:textId="77777777">
            <w:pPr>
              <w:widowControl/>
              <w:rPr>
                <w:szCs w:val="22"/>
              </w:rPr>
            </w:pPr>
            <w:r w:rsidRPr="00FB1424">
              <w:rPr>
                <w:szCs w:val="22"/>
              </w:rPr>
              <w:t>Kirk Burgee, (202) 418-1599</w:t>
            </w:r>
          </w:p>
          <w:p w:rsidR="00577833" w:rsidRPr="00FB1424" w:rsidP="00ED36F8" w14:paraId="184B5FCD" w14:textId="77777777">
            <w:pPr>
              <w:widowControl/>
              <w:rPr>
                <w:szCs w:val="22"/>
              </w:rPr>
            </w:pPr>
            <w:r>
              <w:rPr>
                <w:szCs w:val="22"/>
              </w:rPr>
              <w:t>Audra Hale-Maddox</w:t>
            </w:r>
            <w:r w:rsidRPr="00FB1424">
              <w:rPr>
                <w:szCs w:val="22"/>
              </w:rPr>
              <w:t>, (202) 418-</w:t>
            </w:r>
            <w:r>
              <w:rPr>
                <w:szCs w:val="22"/>
              </w:rPr>
              <w:t>0794</w:t>
            </w:r>
          </w:p>
          <w:p w:rsidR="00577833" w:rsidRPr="00FB1424" w:rsidP="00ED36F8" w14:paraId="1EA6EEF3" w14:textId="77777777">
            <w:pPr>
              <w:widowControl/>
              <w:rPr>
                <w:szCs w:val="22"/>
              </w:rPr>
            </w:pPr>
            <w:r w:rsidRPr="00FB1424">
              <w:rPr>
                <w:szCs w:val="22"/>
              </w:rPr>
              <w:t>Jonathan McCormack, (202) 418-1065</w:t>
            </w:r>
          </w:p>
          <w:p w:rsidR="00577833" w:rsidRPr="00FB1424" w:rsidP="00ED36F8" w14:paraId="0529B1F4" w14:textId="77777777">
            <w:pPr>
              <w:widowControl/>
              <w:rPr>
                <w:b/>
                <w:szCs w:val="22"/>
              </w:rPr>
            </w:pPr>
          </w:p>
          <w:p w:rsidR="00577833" w:rsidRPr="00FB1424" w:rsidP="00ED36F8" w14:paraId="2B9C90AB" w14:textId="77777777">
            <w:pPr>
              <w:widowControl/>
              <w:rPr>
                <w:b/>
                <w:szCs w:val="22"/>
              </w:rPr>
            </w:pPr>
            <w:r w:rsidRPr="00FB1424">
              <w:rPr>
                <w:b/>
                <w:szCs w:val="22"/>
              </w:rPr>
              <w:t>Office of Economics and Analytics,</w:t>
            </w:r>
          </w:p>
          <w:p w:rsidR="00577833" w:rsidRPr="00FB1424" w:rsidP="00ED36F8" w14:paraId="3066BE59" w14:textId="77777777">
            <w:pPr>
              <w:widowControl/>
              <w:rPr>
                <w:b/>
                <w:szCs w:val="22"/>
              </w:rPr>
            </w:pPr>
            <w:r w:rsidRPr="00FB1424">
              <w:rPr>
                <w:b/>
                <w:szCs w:val="22"/>
              </w:rPr>
              <w:t xml:space="preserve">Auctions Division </w:t>
            </w:r>
          </w:p>
          <w:p w:rsidR="00577833" w:rsidRPr="00FB1424" w:rsidP="00ED36F8" w14:paraId="70A12815" w14:textId="77777777">
            <w:pPr>
              <w:widowControl/>
              <w:rPr>
                <w:szCs w:val="22"/>
              </w:rPr>
            </w:pPr>
            <w:r w:rsidRPr="00FB1424">
              <w:rPr>
                <w:szCs w:val="22"/>
              </w:rPr>
              <w:t>(202) 418-0660</w:t>
            </w:r>
          </w:p>
          <w:p w:rsidR="00577833" w:rsidRPr="00FB1424" w:rsidP="00ED36F8" w14:paraId="718B9FF7" w14:textId="77777777">
            <w:pPr>
              <w:rPr>
                <w:b/>
                <w:szCs w:val="22"/>
              </w:rPr>
            </w:pPr>
          </w:p>
        </w:tc>
      </w:tr>
      <w:tr w14:paraId="656821FD" w14:textId="77777777" w:rsidTr="00ED36F8">
        <w:tblPrEx>
          <w:tblW w:w="9828" w:type="dxa"/>
          <w:tblLayout w:type="fixed"/>
          <w:tblCellMar>
            <w:left w:w="115" w:type="dxa"/>
            <w:right w:w="115" w:type="dxa"/>
          </w:tblCellMar>
          <w:tblLook w:val="0000"/>
        </w:tblPrEx>
        <w:trPr>
          <w:cantSplit/>
          <w:trHeight w:val="1105"/>
        </w:trPr>
        <w:tc>
          <w:tcPr>
            <w:tcW w:w="4968" w:type="dxa"/>
          </w:tcPr>
          <w:p w:rsidR="00577833" w:rsidRPr="00FB1424" w:rsidP="00ED36F8" w14:paraId="45E48428" w14:textId="77777777">
            <w:pPr>
              <w:widowControl/>
              <w:autoSpaceDE w:val="0"/>
              <w:autoSpaceDN w:val="0"/>
              <w:adjustRightInd w:val="0"/>
              <w:rPr>
                <w:b/>
                <w:bCs/>
                <w:snapToGrid/>
                <w:szCs w:val="22"/>
              </w:rPr>
            </w:pPr>
            <w:r w:rsidRPr="00FB1424">
              <w:rPr>
                <w:b/>
                <w:bCs/>
                <w:snapToGrid/>
                <w:szCs w:val="22"/>
              </w:rPr>
              <w:t>Small Businesses</w:t>
            </w:r>
          </w:p>
          <w:p w:rsidR="00577833" w:rsidRPr="00FB1424" w:rsidP="00ED36F8" w14:paraId="6AAEC6E6" w14:textId="77777777">
            <w:pPr>
              <w:widowControl/>
              <w:autoSpaceDE w:val="0"/>
              <w:autoSpaceDN w:val="0"/>
              <w:adjustRightInd w:val="0"/>
              <w:ind w:left="360"/>
              <w:rPr>
                <w:snapToGrid/>
                <w:szCs w:val="22"/>
              </w:rPr>
            </w:pPr>
            <w:r w:rsidRPr="00FB1424">
              <w:rPr>
                <w:snapToGrid/>
                <w:szCs w:val="22"/>
              </w:rPr>
              <w:t>Additional information for small and disadvantaged businesses</w:t>
            </w:r>
          </w:p>
          <w:p w:rsidR="00577833" w:rsidRPr="00FB1424" w:rsidP="00ED36F8" w14:paraId="4E1153A0" w14:textId="77777777">
            <w:pPr>
              <w:rPr>
                <w:b/>
                <w:szCs w:val="22"/>
              </w:rPr>
            </w:pPr>
          </w:p>
        </w:tc>
        <w:tc>
          <w:tcPr>
            <w:tcW w:w="4860" w:type="dxa"/>
          </w:tcPr>
          <w:p w:rsidR="00577833" w:rsidRPr="00FB1424" w:rsidP="00ED36F8" w14:paraId="09C1F473" w14:textId="77777777">
            <w:pPr>
              <w:widowControl/>
              <w:autoSpaceDE w:val="0"/>
              <w:autoSpaceDN w:val="0"/>
              <w:adjustRightInd w:val="0"/>
              <w:rPr>
                <w:snapToGrid/>
                <w:szCs w:val="22"/>
              </w:rPr>
            </w:pPr>
            <w:r w:rsidRPr="00FB1424">
              <w:rPr>
                <w:b/>
                <w:bCs/>
                <w:snapToGrid/>
                <w:szCs w:val="22"/>
              </w:rPr>
              <w:t>Office of Communications Business Opportunities</w:t>
            </w:r>
          </w:p>
          <w:p w:rsidR="00577833" w:rsidRPr="00FB1424" w:rsidP="00ED36F8" w14:paraId="70CB92A7" w14:textId="77777777">
            <w:pPr>
              <w:widowControl/>
              <w:autoSpaceDE w:val="0"/>
              <w:autoSpaceDN w:val="0"/>
              <w:adjustRightInd w:val="0"/>
              <w:rPr>
                <w:snapToGrid/>
                <w:szCs w:val="22"/>
              </w:rPr>
            </w:pPr>
            <w:r w:rsidRPr="00FB1424">
              <w:rPr>
                <w:snapToGrid/>
                <w:szCs w:val="22"/>
              </w:rPr>
              <w:t>(202) 418-0990</w:t>
            </w:r>
          </w:p>
          <w:p w:rsidR="00577833" w:rsidRPr="00FB1424" w:rsidP="00ED36F8" w14:paraId="4CC5F752" w14:textId="77777777">
            <w:pPr>
              <w:widowControl/>
              <w:autoSpaceDE w:val="0"/>
              <w:autoSpaceDN w:val="0"/>
              <w:adjustRightInd w:val="0"/>
              <w:rPr>
                <w:snapToGrid/>
                <w:szCs w:val="22"/>
              </w:rPr>
            </w:pPr>
            <w:hyperlink r:id="rId6" w:history="1">
              <w:r w:rsidRPr="00FB1424">
                <w:rPr>
                  <w:snapToGrid/>
                  <w:color w:val="0000FF"/>
                  <w:szCs w:val="22"/>
                  <w:u w:val="single"/>
                </w:rPr>
                <w:t>http://www.fcc.gov/ocbo/</w:t>
              </w:r>
            </w:hyperlink>
          </w:p>
          <w:p w:rsidR="00577833" w:rsidRPr="00FB1424" w:rsidP="00ED36F8" w14:paraId="61ADD8EF" w14:textId="77777777">
            <w:pPr>
              <w:rPr>
                <w:b/>
                <w:szCs w:val="22"/>
              </w:rPr>
            </w:pPr>
          </w:p>
        </w:tc>
      </w:tr>
      <w:tr w14:paraId="39A0670B" w14:textId="77777777" w:rsidTr="00ED36F8">
        <w:tblPrEx>
          <w:tblW w:w="9828" w:type="dxa"/>
          <w:tblLayout w:type="fixed"/>
          <w:tblCellMar>
            <w:left w:w="115" w:type="dxa"/>
            <w:right w:w="115" w:type="dxa"/>
          </w:tblCellMar>
          <w:tblLook w:val="0000"/>
        </w:tblPrEx>
        <w:trPr>
          <w:cantSplit/>
          <w:trHeight w:val="981"/>
        </w:trPr>
        <w:tc>
          <w:tcPr>
            <w:tcW w:w="4968" w:type="dxa"/>
          </w:tcPr>
          <w:p w:rsidR="00577833" w:rsidRPr="00FB1424" w:rsidP="00ED36F8" w14:paraId="66ECC697" w14:textId="77777777">
            <w:pPr>
              <w:rPr>
                <w:b/>
                <w:szCs w:val="22"/>
              </w:rPr>
            </w:pPr>
            <w:r w:rsidRPr="00FB1424">
              <w:rPr>
                <w:b/>
                <w:szCs w:val="22"/>
              </w:rPr>
              <w:t>Accessible Formats</w:t>
            </w:r>
          </w:p>
          <w:p w:rsidR="00577833" w:rsidRPr="00FB1424" w:rsidP="00ED36F8" w14:paraId="248B8D56" w14:textId="77777777">
            <w:pPr>
              <w:ind w:left="360"/>
              <w:rPr>
                <w:szCs w:val="22"/>
              </w:rPr>
            </w:pPr>
            <w:r w:rsidRPr="00FB1424">
              <w:rPr>
                <w:szCs w:val="22"/>
              </w:rPr>
              <w:t xml:space="preserve">Braille, large print, electronic files, or </w:t>
            </w:r>
          </w:p>
          <w:p w:rsidR="00577833" w:rsidRPr="00FB1424" w:rsidP="00ED36F8" w14:paraId="18B9E719" w14:textId="77777777">
            <w:pPr>
              <w:ind w:left="360"/>
              <w:rPr>
                <w:b/>
                <w:szCs w:val="22"/>
              </w:rPr>
            </w:pPr>
            <w:r w:rsidRPr="00FB1424">
              <w:rPr>
                <w:szCs w:val="22"/>
              </w:rPr>
              <w:t>audio format for people with disabilities</w:t>
            </w:r>
          </w:p>
        </w:tc>
        <w:tc>
          <w:tcPr>
            <w:tcW w:w="4860" w:type="dxa"/>
          </w:tcPr>
          <w:p w:rsidR="00577833" w:rsidRPr="00FB1424" w:rsidP="00ED36F8" w14:paraId="2EE36F2B" w14:textId="77777777">
            <w:pPr>
              <w:rPr>
                <w:b/>
                <w:szCs w:val="22"/>
              </w:rPr>
            </w:pPr>
            <w:r w:rsidRPr="00FB1424">
              <w:rPr>
                <w:b/>
                <w:szCs w:val="22"/>
              </w:rPr>
              <w:t>Consumer and Governmental Affairs Bureau</w:t>
            </w:r>
          </w:p>
          <w:p w:rsidR="00577833" w:rsidRPr="00FB1424" w:rsidP="00ED36F8" w14:paraId="662C8A3A" w14:textId="77777777">
            <w:pPr>
              <w:rPr>
                <w:szCs w:val="22"/>
              </w:rPr>
            </w:pPr>
            <w:r w:rsidRPr="00FB1424">
              <w:rPr>
                <w:szCs w:val="22"/>
              </w:rPr>
              <w:t>(202) 418-0530 or (202) 418-0432 (TTY)</w:t>
            </w:r>
          </w:p>
          <w:p w:rsidR="00577833" w:rsidRPr="00FB1424" w:rsidP="00ED36F8" w14:paraId="55BFC975" w14:textId="77777777">
            <w:pPr>
              <w:rPr>
                <w:b/>
                <w:szCs w:val="22"/>
              </w:rPr>
            </w:pPr>
            <w:hyperlink r:id="rId7" w:history="1">
              <w:r w:rsidRPr="00FB1424">
                <w:rPr>
                  <w:rStyle w:val="Hyperlink"/>
                  <w:szCs w:val="22"/>
                </w:rPr>
                <w:t>fcc504@fcc.gov</w:t>
              </w:r>
            </w:hyperlink>
          </w:p>
        </w:tc>
      </w:tr>
      <w:tr w14:paraId="04D99F60" w14:textId="77777777" w:rsidTr="00ED36F8">
        <w:tblPrEx>
          <w:tblW w:w="9828" w:type="dxa"/>
          <w:tblLayout w:type="fixed"/>
          <w:tblCellMar>
            <w:left w:w="115" w:type="dxa"/>
            <w:right w:w="115" w:type="dxa"/>
          </w:tblCellMar>
          <w:tblLook w:val="0000"/>
        </w:tblPrEx>
        <w:trPr>
          <w:cantSplit/>
        </w:trPr>
        <w:tc>
          <w:tcPr>
            <w:tcW w:w="4968" w:type="dxa"/>
          </w:tcPr>
          <w:p w:rsidR="00577833" w:rsidRPr="00FB1424" w:rsidP="00ED36F8" w14:paraId="599DED28" w14:textId="77777777">
            <w:pPr>
              <w:rPr>
                <w:b/>
                <w:szCs w:val="22"/>
              </w:rPr>
            </w:pPr>
            <w:r w:rsidRPr="00FB1424">
              <w:rPr>
                <w:b/>
                <w:szCs w:val="22"/>
              </w:rPr>
              <w:t>FCC Internet Sites</w:t>
            </w:r>
          </w:p>
          <w:p w:rsidR="00577833" w:rsidRPr="00FB1424" w:rsidP="00ED36F8" w14:paraId="1AA00168" w14:textId="77777777">
            <w:pPr>
              <w:rPr>
                <w:szCs w:val="22"/>
              </w:rPr>
            </w:pPr>
          </w:p>
        </w:tc>
        <w:tc>
          <w:tcPr>
            <w:tcW w:w="4860" w:type="dxa"/>
          </w:tcPr>
          <w:p w:rsidR="00577833" w:rsidRPr="00FB1424" w:rsidP="00ED36F8" w14:paraId="0762BF83" w14:textId="77777777">
            <w:pPr>
              <w:rPr>
                <w:szCs w:val="22"/>
              </w:rPr>
            </w:pPr>
            <w:hyperlink r:id="rId8" w:history="1">
              <w:r w:rsidRPr="00FB1424">
                <w:rPr>
                  <w:rStyle w:val="Hyperlink"/>
                  <w:szCs w:val="22"/>
                </w:rPr>
                <w:t>http://www.fcc.gov</w:t>
              </w:r>
            </w:hyperlink>
          </w:p>
          <w:p w:rsidR="00577833" w:rsidRPr="00FB1424" w:rsidP="00ED36F8" w14:paraId="7259B810" w14:textId="77777777">
            <w:pPr>
              <w:rPr>
                <w:rStyle w:val="Hyperlink"/>
                <w:szCs w:val="22"/>
              </w:rPr>
            </w:pPr>
            <w:hyperlink r:id="rId9" w:history="1">
              <w:r w:rsidRPr="00FB1424">
                <w:rPr>
                  <w:rStyle w:val="Hyperlink"/>
                  <w:szCs w:val="22"/>
                </w:rPr>
                <w:t>www.fcc.gov/auction/903</w:t>
              </w:r>
            </w:hyperlink>
          </w:p>
          <w:p w:rsidR="00577833" w:rsidRPr="00FB1424" w:rsidP="00ED36F8" w14:paraId="76F735D8" w14:textId="77777777">
            <w:pPr>
              <w:rPr>
                <w:szCs w:val="22"/>
              </w:rPr>
            </w:pPr>
          </w:p>
        </w:tc>
      </w:tr>
    </w:tbl>
    <w:p w:rsidR="00577833" w:rsidRPr="00FB1424" w:rsidP="00577833" w14:paraId="2BC3DBC0" w14:textId="77777777"/>
    <w:p w:rsidR="00577833" w:rsidRPr="00FB1424" w:rsidP="00577833" w14:paraId="13D21F3B" w14:textId="77777777">
      <w:pPr>
        <w:spacing w:after="120"/>
      </w:pPr>
      <w:r w:rsidRPr="00FB1424">
        <w:t>This Public Notice contains the following Attachments:</w:t>
      </w:r>
    </w:p>
    <w:p w:rsidR="00577833" w:rsidRPr="00FB1424" w:rsidP="00577833" w14:paraId="7F04E309" w14:textId="77777777">
      <w:pPr>
        <w:spacing w:after="120"/>
      </w:pPr>
      <w:r w:rsidRPr="00FB1424">
        <w:t xml:space="preserve">Attachment A: Ready to Authorize Long-Form Applicant and Bid </w:t>
      </w:r>
    </w:p>
    <w:p w:rsidR="00577833" w:rsidRPr="006731DE" w:rsidP="00577833" w14:paraId="7986D0D8" w14:textId="77777777">
      <w:pPr>
        <w:spacing w:after="120"/>
      </w:pPr>
      <w:r w:rsidRPr="00BA1752">
        <w:t>Attachment B: Bids in Default</w:t>
      </w:r>
    </w:p>
    <w:p w:rsidR="00577833" w:rsidRPr="00FB1424" w:rsidP="00577833" w14:paraId="4406E2FB" w14:textId="77777777">
      <w:pPr>
        <w:keepNext/>
        <w:jc w:val="center"/>
      </w:pPr>
    </w:p>
    <w:p w:rsidR="00577833" w:rsidRPr="00893B45" w:rsidP="00577833" w14:paraId="573EA268" w14:textId="77777777">
      <w:pPr>
        <w:widowControl/>
        <w:jc w:val="center"/>
        <w:rPr>
          <w:szCs w:val="22"/>
        </w:rPr>
      </w:pPr>
      <w:r w:rsidRPr="00FB1424">
        <w:rPr>
          <w:b/>
        </w:rPr>
        <w:t>-FCC-</w:t>
      </w:r>
    </w:p>
    <w:p w:rsidR="00577833" w:rsidP="00577833" w14:paraId="612F4C4B" w14:textId="36FE83FD">
      <w:pPr>
        <w:rPr>
          <w:b/>
          <w:sz w:val="24"/>
        </w:rPr>
      </w:pPr>
    </w:p>
    <w:p w:rsidR="000D21E0" w14:paraId="725EF272" w14:textId="77777777">
      <w:pPr>
        <w:rPr>
          <w:sz w:val="24"/>
        </w:rPr>
      </w:pPr>
      <w:bookmarkStart w:id="0" w:name="TOChere"/>
    </w:p>
    <w:bookmarkEnd w:id="0"/>
    <w:p w:rsidR="000D21E0" w14:paraId="3F87F8E0" w14:textId="77777777">
      <w:pPr>
        <w:rPr>
          <w:sz w:val="24"/>
        </w:rPr>
      </w:pPr>
    </w:p>
    <w:p w:rsidR="000D21E0" w14:paraId="5E636DC8" w14:textId="77777777">
      <w:pPr>
        <w:rPr>
          <w:sz w:val="24"/>
        </w:rPr>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1E0" w14:paraId="26B47558" w14:textId="77777777">
    <w:pPr>
      <w:pStyle w:val="Footer"/>
      <w:framePr w:wrap="around" w:vAnchor="text" w:hAnchor="margin" w:xAlign="center" w:y="1"/>
    </w:pPr>
    <w:r>
      <w:fldChar w:fldCharType="begin"/>
    </w:r>
    <w:r>
      <w:instrText xml:space="preserve">PAGE  </w:instrText>
    </w:r>
    <w:r>
      <w:fldChar w:fldCharType="separate"/>
    </w:r>
    <w:r>
      <w:fldChar w:fldCharType="end"/>
    </w:r>
  </w:p>
  <w:p w:rsidR="000D21E0" w14:paraId="74067F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1E0" w14:paraId="76CE133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1E0" w14:paraId="5DD75B0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7833" w14:paraId="27778BA4" w14:textId="77777777">
      <w:r>
        <w:separator/>
      </w:r>
    </w:p>
  </w:footnote>
  <w:footnote w:type="continuationSeparator" w:id="1">
    <w:p w:rsidR="00577833" w14:paraId="77B529AE" w14:textId="77777777">
      <w:pPr>
        <w:rPr>
          <w:sz w:val="20"/>
        </w:rPr>
      </w:pPr>
      <w:r>
        <w:rPr>
          <w:sz w:val="20"/>
        </w:rPr>
        <w:t xml:space="preserve">(Continued from previous page)  </w:t>
      </w:r>
      <w:r>
        <w:rPr>
          <w:sz w:val="20"/>
        </w:rPr>
        <w:separator/>
      </w:r>
    </w:p>
  </w:footnote>
  <w:footnote w:type="continuationNotice" w:id="2">
    <w:p w:rsidR="00577833" w14:paraId="17FC13C2" w14:textId="77777777">
      <w:pPr>
        <w:jc w:val="right"/>
        <w:rPr>
          <w:sz w:val="20"/>
        </w:rPr>
      </w:pPr>
      <w:r>
        <w:rPr>
          <w:sz w:val="20"/>
        </w:rPr>
        <w:t>(continued….)</w:t>
      </w:r>
    </w:p>
  </w:footnote>
  <w:footnote w:id="3">
    <w:p w:rsidR="00577833" w:rsidRPr="007A1F8B" w:rsidP="00577833" w14:paraId="18E946DA" w14:textId="77777777">
      <w:pPr>
        <w:pStyle w:val="FootnoteText"/>
      </w:pPr>
      <w:r w:rsidRPr="007A1F8B">
        <w:rPr>
          <w:rStyle w:val="FootnoteReference"/>
        </w:rPr>
        <w:footnoteRef/>
      </w:r>
      <w:r w:rsidRPr="007A1F8B">
        <w:t xml:space="preserve"> 47 CFR § 54.315(b)(5) (requiring winning bidders to submit within 180 days of the announcement of winning bids, a certification of </w:t>
      </w:r>
      <w:r w:rsidRPr="007A1F8B">
        <w:t>ETC</w:t>
      </w:r>
      <w:r w:rsidRPr="007A1F8B">
        <w:t xml:space="preserve"> designation in all relevant areas and supporting documentation for that certification); </w:t>
      </w:r>
      <w:r w:rsidRPr="008A5853">
        <w:rPr>
          <w:i/>
        </w:rPr>
        <w:t>Connect America Fund Phase II Auction Scheduled for July 24, 2018; Notice and Filing Requirements and Other Procedures for Auction 903</w:t>
      </w:r>
      <w:r w:rsidRPr="00010B65">
        <w:t xml:space="preserve">, Public Notice, 33 FCC </w:t>
      </w:r>
      <w:r w:rsidRPr="00010B65">
        <w:t>Rcd</w:t>
      </w:r>
      <w:r w:rsidRPr="00010B65">
        <w:t xml:space="preserve"> </w:t>
      </w:r>
      <w:r>
        <w:t>at 1507, para. 297</w:t>
      </w:r>
      <w:r w:rsidRPr="00010B65">
        <w:t xml:space="preserve"> (2018) (</w:t>
      </w:r>
      <w:r w:rsidRPr="00010B65">
        <w:rPr>
          <w:i/>
        </w:rPr>
        <w:t>Auction 903 Procedures Public Notice</w:t>
      </w:r>
      <w:r w:rsidRPr="00010B65">
        <w:t>)</w:t>
      </w:r>
      <w:r w:rsidRPr="007A1F8B">
        <w:t xml:space="preserve">; </w:t>
      </w:r>
      <w:r w:rsidRPr="007A1F8B">
        <w:rPr>
          <w:i/>
        </w:rPr>
        <w:t xml:space="preserve">see also </w:t>
      </w:r>
      <w:r>
        <w:rPr>
          <w:i/>
        </w:rPr>
        <w:t>Connect America Fund et al.</w:t>
      </w:r>
      <w:r w:rsidRPr="007A1F8B">
        <w:t>,</w:t>
      </w:r>
      <w:r>
        <w:t xml:space="preserve"> Report and Order and Further Notice of Proposed Rulemaking,</w:t>
      </w:r>
      <w:r w:rsidRPr="007A1F8B">
        <w:t xml:space="preserve"> 31</w:t>
      </w:r>
      <w:r>
        <w:t> </w:t>
      </w:r>
      <w:r w:rsidRPr="007A1F8B">
        <w:t xml:space="preserve">FCC </w:t>
      </w:r>
      <w:r w:rsidRPr="007A1F8B">
        <w:t>Rcd</w:t>
      </w:r>
      <w:r w:rsidRPr="007A1F8B">
        <w:t xml:space="preserve"> </w:t>
      </w:r>
      <w:r>
        <w:t>5949,</w:t>
      </w:r>
      <w:r w:rsidRPr="007A1F8B">
        <w:t xml:space="preserve"> 5999, 6002-05, paras. 141, 149-56</w:t>
      </w:r>
      <w:r>
        <w:t xml:space="preserve"> (2016) (</w:t>
      </w:r>
      <w:r w:rsidRPr="00EE1D2F">
        <w:rPr>
          <w:i/>
        </w:rPr>
        <w:t>Phase II Auction Order</w:t>
      </w:r>
      <w:r>
        <w:t xml:space="preserve">); </w:t>
      </w:r>
      <w:r w:rsidRPr="00FB66FF">
        <w:rPr>
          <w:i/>
          <w:iCs/>
        </w:rPr>
        <w:t>see generally</w:t>
      </w:r>
      <w:r>
        <w:t xml:space="preserve"> 47 USC 254(e) (“[O]</w:t>
      </w:r>
      <w:r w:rsidRPr="00FB66FF">
        <w:t>nly</w:t>
      </w:r>
      <w:r w:rsidRPr="00FB66FF">
        <w:t xml:space="preserve"> an eligible telecommunications carrier designated under section 214(e) of this title shall be eligible to receive specific Federal universal service support</w:t>
      </w:r>
      <w:r>
        <w:t>.”)</w:t>
      </w:r>
      <w:r w:rsidRPr="007A1F8B">
        <w:t>.</w:t>
      </w:r>
    </w:p>
  </w:footnote>
  <w:footnote w:id="4">
    <w:p w:rsidR="00577833" w:rsidRPr="00FB1424" w:rsidP="00577833" w14:paraId="484FCF38" w14:textId="77777777">
      <w:pPr>
        <w:pStyle w:val="FootnoteText"/>
      </w:pPr>
      <w:r w:rsidRPr="00FB1424">
        <w:rPr>
          <w:rStyle w:val="FootnoteReference"/>
        </w:rPr>
        <w:footnoteRef/>
      </w:r>
      <w:r w:rsidRPr="00FB1424">
        <w:t xml:space="preserve"> </w:t>
      </w:r>
      <w:r w:rsidRPr="00FB1424">
        <w:rPr>
          <w:i/>
          <w:iCs/>
        </w:rPr>
        <w:t xml:space="preserve">See </w:t>
      </w:r>
      <w:r w:rsidRPr="00FB1424">
        <w:t xml:space="preserve">Public Utility Commission of Oregon, </w:t>
      </w:r>
      <w:r w:rsidRPr="00FB1424">
        <w:rPr>
          <w:i/>
          <w:iCs/>
        </w:rPr>
        <w:t>Partial Stipulation Adopted with Exception;</w:t>
      </w:r>
      <w:r>
        <w:rPr>
          <w:i/>
          <w:iCs/>
        </w:rPr>
        <w:t xml:space="preserve"> </w:t>
      </w:r>
      <w:r w:rsidRPr="00FB1424">
        <w:rPr>
          <w:i/>
          <w:iCs/>
        </w:rPr>
        <w:t>Second Partial Stipulation Adopted; Application Granted with Conditions; Partial Requirements Waiver Granted,</w:t>
      </w:r>
      <w:r w:rsidRPr="00FB1424">
        <w:t xml:space="preserve"> Order No. 19-405 (Nov. 25, 2019) (</w:t>
      </w:r>
      <w:r w:rsidRPr="00FB1424">
        <w:t>Viasat</w:t>
      </w:r>
      <w:r w:rsidRPr="00FB1424">
        <w:t xml:space="preserve"> </w:t>
      </w:r>
      <w:r w:rsidRPr="00FB1424">
        <w:t>ETC</w:t>
      </w:r>
      <w:r w:rsidRPr="00FB1424">
        <w:t xml:space="preserve"> Designation Order).</w:t>
      </w:r>
      <w:r>
        <w:t xml:space="preserve">  </w:t>
      </w:r>
      <w:r w:rsidRPr="00F01AEC">
        <w:t xml:space="preserve">On December 1, 2020, the Oregon PUC </w:t>
      </w:r>
      <w:r>
        <w:t>expanded</w:t>
      </w:r>
      <w:r w:rsidRPr="00F01AEC">
        <w:t xml:space="preserve"> </w:t>
      </w:r>
      <w:r w:rsidRPr="00F01AEC">
        <w:t>Viasat’s</w:t>
      </w:r>
      <w:r w:rsidRPr="00F01AEC">
        <w:t xml:space="preserve"> designation to include </w:t>
      </w:r>
      <w:r>
        <w:t>the</w:t>
      </w:r>
      <w:r w:rsidRPr="00F01AEC">
        <w:t xml:space="preserve"> areas of two Tribes that supported </w:t>
      </w:r>
      <w:r w:rsidRPr="00F01AEC">
        <w:t>Viasat</w:t>
      </w:r>
      <w:r w:rsidRPr="00F01AEC">
        <w:t xml:space="preserve"> after the original designation</w:t>
      </w:r>
      <w:r w:rsidRPr="006035CC">
        <w:rPr>
          <w:szCs w:val="22"/>
        </w:rPr>
        <w:t>.</w:t>
      </w:r>
      <w:r>
        <w:rPr>
          <w:szCs w:val="22"/>
        </w:rPr>
        <w:t xml:space="preserve">  </w:t>
      </w:r>
      <w:r w:rsidRPr="001463F6">
        <w:rPr>
          <w:i/>
          <w:iCs/>
          <w:szCs w:val="22"/>
        </w:rPr>
        <w:t>See</w:t>
      </w:r>
      <w:r>
        <w:rPr>
          <w:szCs w:val="22"/>
        </w:rPr>
        <w:t xml:space="preserve"> Public Utility Commission of Oregon, Order No. 20-462 (</w:t>
      </w:r>
      <w:r>
        <w:t xml:space="preserve">Dec. 1, 2020) (granting </w:t>
      </w:r>
      <w:r>
        <w:t>Viasat’s</w:t>
      </w:r>
      <w:r>
        <w:t xml:space="preserve"> first supplemental application seeking to expand its designation to include census blocks overlapping lands of the Coquille Indian Tribe and the Confederated Tribes of Siletz Indians).</w:t>
      </w:r>
    </w:p>
  </w:footnote>
  <w:footnote w:id="5">
    <w:p w:rsidR="00577833" w:rsidRPr="001A06CA" w:rsidP="00577833" w14:paraId="38CD6FC3" w14:textId="77777777">
      <w:pPr>
        <w:pStyle w:val="FootnoteText"/>
      </w:pPr>
      <w:r>
        <w:rPr>
          <w:rStyle w:val="FootnoteReference"/>
        </w:rPr>
        <w:footnoteRef/>
      </w:r>
      <w:r>
        <w:t xml:space="preserve"> </w:t>
      </w:r>
      <w:r>
        <w:rPr>
          <w:i/>
          <w:iCs/>
        </w:rPr>
        <w:t>Connect America Fund Phase II Auction Support Authorized for 169 Winning Bids</w:t>
      </w:r>
      <w:r>
        <w:t xml:space="preserve">, Public Notice, 35 FCC </w:t>
      </w:r>
      <w:r>
        <w:t>Rcd</w:t>
      </w:r>
      <w:r>
        <w:t xml:space="preserve"> 5489 (WCB 2020).  </w:t>
      </w:r>
    </w:p>
  </w:footnote>
  <w:footnote w:id="6">
    <w:p w:rsidR="00577833" w:rsidP="00577833" w14:paraId="3C454C34" w14:textId="77777777">
      <w:pPr>
        <w:pStyle w:val="FootnoteText"/>
      </w:pPr>
      <w:r>
        <w:rPr>
          <w:rStyle w:val="FootnoteReference"/>
        </w:rPr>
        <w:footnoteRef/>
      </w:r>
      <w:r>
        <w:t xml:space="preserve"> </w:t>
      </w:r>
      <w:r w:rsidRPr="00F01AEC">
        <w:rPr>
          <w:i/>
          <w:iCs/>
        </w:rPr>
        <w:t xml:space="preserve">See </w:t>
      </w:r>
      <w:r w:rsidRPr="00F01AEC">
        <w:t>Viasat</w:t>
      </w:r>
      <w:r w:rsidRPr="00F01AEC">
        <w:t xml:space="preserve"> </w:t>
      </w:r>
      <w:r w:rsidRPr="00F01AEC">
        <w:t>ETC</w:t>
      </w:r>
      <w:r w:rsidRPr="00F01AEC">
        <w:t xml:space="preserve"> Designation Order.  However, the Oregon PUC’s order excluded Tribal lands from the </w:t>
      </w:r>
      <w:r w:rsidRPr="00F01AEC">
        <w:t>ETC</w:t>
      </w:r>
      <w:r w:rsidRPr="00F01AEC">
        <w:t xml:space="preserve"> designation.  </w:t>
      </w:r>
      <w:r w:rsidRPr="00F01AEC">
        <w:rPr>
          <w:i/>
          <w:iCs/>
        </w:rPr>
        <w:t>See</w:t>
      </w:r>
      <w:r w:rsidRPr="00F01AEC">
        <w:t xml:space="preserve"> </w:t>
      </w:r>
      <w:r w:rsidRPr="00F12A46">
        <w:rPr>
          <w:i/>
          <w:iCs/>
        </w:rPr>
        <w:t>id</w:t>
      </w:r>
      <w:r>
        <w:t>.</w:t>
      </w:r>
      <w:r w:rsidRPr="00F01AEC">
        <w:t xml:space="preserve"> at Appendix A, page 5 (subsection h).  </w:t>
      </w:r>
    </w:p>
  </w:footnote>
  <w:footnote w:id="7">
    <w:p w:rsidR="00577833" w:rsidP="00577833" w14:paraId="498941DA" w14:textId="77777777">
      <w:pPr>
        <w:pStyle w:val="FootnoteText"/>
      </w:pPr>
      <w:r>
        <w:rPr>
          <w:rStyle w:val="FootnoteReference"/>
        </w:rPr>
        <w:footnoteRef/>
      </w:r>
      <w:r>
        <w:t xml:space="preserve"> </w:t>
      </w:r>
      <w:r w:rsidRPr="007B68AD">
        <w:rPr>
          <w:i/>
          <w:iCs/>
        </w:rPr>
        <w:t>See id.</w:t>
      </w:r>
    </w:p>
  </w:footnote>
  <w:footnote w:id="8">
    <w:p w:rsidR="00577833" w:rsidP="00577833" w14:paraId="31B035AB" w14:textId="77777777">
      <w:pPr>
        <w:pStyle w:val="FootnoteText"/>
      </w:pPr>
      <w:r>
        <w:rPr>
          <w:rStyle w:val="FootnoteReference"/>
        </w:rPr>
        <w:footnoteRef/>
      </w:r>
      <w:r>
        <w:t xml:space="preserve"> </w:t>
      </w:r>
      <w:r>
        <w:t xml:space="preserve">Supplement to Application for Designation to Expand </w:t>
      </w:r>
      <w:r>
        <w:t>Viasat</w:t>
      </w:r>
      <w:r>
        <w:t xml:space="preserve"> Carrier Services Inc.’s Designated Service Area to Include Specific Tribal Lands, UM 1970, at 1 (filed Feb. 24, 2021) (</w:t>
      </w:r>
      <w:r>
        <w:t>Viasat</w:t>
      </w:r>
      <w:r>
        <w:t xml:space="preserve"> Oregon First Supplement).  </w:t>
      </w:r>
      <w:r w:rsidRPr="006035CC">
        <w:rPr>
          <w:szCs w:val="22"/>
        </w:rPr>
        <w:t>Viasat</w:t>
      </w:r>
      <w:r w:rsidRPr="006035CC">
        <w:rPr>
          <w:szCs w:val="22"/>
        </w:rPr>
        <w:t xml:space="preserve"> received the required support from two </w:t>
      </w:r>
      <w:r>
        <w:rPr>
          <w:szCs w:val="22"/>
        </w:rPr>
        <w:t>T</w:t>
      </w:r>
      <w:r w:rsidRPr="006035CC">
        <w:rPr>
          <w:szCs w:val="22"/>
        </w:rPr>
        <w:t xml:space="preserve">ribes, one formal and one informal objection, and </w:t>
      </w:r>
      <w:r>
        <w:rPr>
          <w:szCs w:val="22"/>
        </w:rPr>
        <w:t>did</w:t>
      </w:r>
      <w:r w:rsidRPr="006035CC">
        <w:rPr>
          <w:szCs w:val="22"/>
        </w:rPr>
        <w:t xml:space="preserve"> not receive a response from five Tribes.</w:t>
      </w:r>
      <w:r>
        <w:rPr>
          <w:szCs w:val="22"/>
        </w:rPr>
        <w:t xml:space="preserve">  </w:t>
      </w:r>
      <w:r w:rsidRPr="005973D7">
        <w:rPr>
          <w:i/>
          <w:iCs/>
          <w:szCs w:val="22"/>
        </w:rPr>
        <w:t>See</w:t>
      </w:r>
      <w:r>
        <w:rPr>
          <w:szCs w:val="22"/>
        </w:rPr>
        <w:t xml:space="preserve"> Confederated Tribes of Warm Springs, Oregon, Letter to Megan Decker, Chair, Oregon PUC, et al., UM 1970 (Mar. 16, 2021).</w:t>
      </w:r>
    </w:p>
  </w:footnote>
  <w:footnote w:id="9">
    <w:p w:rsidR="00577833" w:rsidP="00577833" w14:paraId="5007A30F" w14:textId="77777777">
      <w:pPr>
        <w:pStyle w:val="FootnoteText"/>
      </w:pPr>
      <w:r>
        <w:rPr>
          <w:rStyle w:val="FootnoteReference"/>
        </w:rPr>
        <w:footnoteRef/>
      </w:r>
      <w:r>
        <w:t xml:space="preserve"> Supplement to Application for Designation to Expand </w:t>
      </w:r>
      <w:r>
        <w:t>Viasat</w:t>
      </w:r>
      <w:r>
        <w:t xml:space="preserve"> Carrier Services Inc.’s Designated Service Area to Include Specific Tribal Lands, UM 1970, at 1 (filed Aug. 25, 2021) (</w:t>
      </w:r>
      <w:r>
        <w:t>Viasat</w:t>
      </w:r>
      <w:r>
        <w:t xml:space="preserve"> Oregon Second Supplement).</w:t>
      </w:r>
    </w:p>
  </w:footnote>
  <w:footnote w:id="10">
    <w:p w:rsidR="00577833" w:rsidP="00577833" w14:paraId="50074A4B" w14:textId="77777777">
      <w:pPr>
        <w:pStyle w:val="FootnoteText"/>
      </w:pPr>
      <w:r>
        <w:rPr>
          <w:rStyle w:val="FootnoteReference"/>
        </w:rPr>
        <w:footnoteRef/>
      </w:r>
      <w:r>
        <w:t xml:space="preserve"> </w:t>
      </w:r>
      <w:r>
        <w:rPr>
          <w:szCs w:val="22"/>
        </w:rPr>
        <w:t>Public Utility Commission of Oregon, Order No. 21-349 (</w:t>
      </w:r>
      <w:r>
        <w:t xml:space="preserve">Oct. 25, 2021) (adopting the Oregon PUC staff recommendation to extend </w:t>
      </w:r>
      <w:r>
        <w:t>Viasat’s</w:t>
      </w:r>
      <w:r>
        <w:t xml:space="preserve"> designation to include census blocks overlapping lands of the Burns </w:t>
      </w:r>
      <w:r>
        <w:t>Palute</w:t>
      </w:r>
      <w:r>
        <w:t xml:space="preserve"> Tribe and the Celilo Tribe for the purpose of receiving CAF-II support).  </w:t>
      </w:r>
    </w:p>
  </w:footnote>
  <w:footnote w:id="11">
    <w:p w:rsidR="00577833" w:rsidP="00577833" w14:paraId="42BA02E7" w14:textId="77777777">
      <w:pPr>
        <w:pStyle w:val="FootnoteText"/>
      </w:pPr>
      <w:r>
        <w:rPr>
          <w:rStyle w:val="FootnoteReference"/>
        </w:rPr>
        <w:footnoteRef/>
      </w:r>
      <w:r>
        <w:t xml:space="preserve"> The additional census blocks are 410259602001840, 410659708001028, and 410659708001327.  </w:t>
      </w:r>
      <w:r>
        <w:rPr>
          <w:i/>
          <w:iCs/>
        </w:rPr>
        <w:t xml:space="preserve">Id. </w:t>
      </w:r>
      <w:r>
        <w:t xml:space="preserve">at 3; </w:t>
      </w:r>
      <w:r>
        <w:t>Viasat</w:t>
      </w:r>
      <w:r>
        <w:t xml:space="preserve"> Oregon Second Supplement, Exhibit A.</w:t>
      </w:r>
    </w:p>
  </w:footnote>
  <w:footnote w:id="12">
    <w:p w:rsidR="00577833" w:rsidP="00577833" w14:paraId="750E21B8" w14:textId="77777777">
      <w:pPr>
        <w:pStyle w:val="FootnoteText"/>
      </w:pPr>
      <w:r>
        <w:rPr>
          <w:rStyle w:val="FootnoteReference"/>
        </w:rPr>
        <w:footnoteRef/>
      </w:r>
      <w:r>
        <w:t xml:space="preserve"> </w:t>
      </w:r>
      <w:r>
        <w:rPr>
          <w:i/>
          <w:iCs/>
        </w:rPr>
        <w:t>Auction 903</w:t>
      </w:r>
      <w:r w:rsidRPr="003403E6">
        <w:rPr>
          <w:i/>
          <w:iCs/>
        </w:rPr>
        <w:t xml:space="preserve"> Procedures Public Notice</w:t>
      </w:r>
      <w:r>
        <w:t xml:space="preserve">, 33 FCC </w:t>
      </w:r>
      <w:r>
        <w:t>Rcd</w:t>
      </w:r>
      <w:r>
        <w:t xml:space="preserve"> at 1436-37, para. 18.</w:t>
      </w:r>
    </w:p>
  </w:footnote>
  <w:footnote w:id="13">
    <w:p w:rsidR="00577833" w:rsidP="00577833" w14:paraId="3A308CD3" w14:textId="77777777">
      <w:pPr>
        <w:pStyle w:val="FootnoteText"/>
      </w:pPr>
      <w:r>
        <w:rPr>
          <w:rStyle w:val="FootnoteReference"/>
        </w:rPr>
        <w:footnoteRef/>
      </w:r>
      <w:r>
        <w:t xml:space="preserve"> </w:t>
      </w:r>
      <w:r>
        <w:rPr>
          <w:i/>
          <w:iCs/>
        </w:rPr>
        <w:t>Auction 903</w:t>
      </w:r>
      <w:r w:rsidRPr="003403E6">
        <w:rPr>
          <w:i/>
          <w:iCs/>
        </w:rPr>
        <w:t xml:space="preserve"> Procedures Public Notice</w:t>
      </w:r>
      <w:r>
        <w:t xml:space="preserve">, 33 FCC </w:t>
      </w:r>
      <w:r>
        <w:t>Rcd</w:t>
      </w:r>
      <w:r>
        <w:t xml:space="preserve"> at 1498, para. 223.</w:t>
      </w:r>
    </w:p>
  </w:footnote>
  <w:footnote w:id="14">
    <w:p w:rsidR="00577833" w:rsidP="00577833" w14:paraId="73975397" w14:textId="77777777">
      <w:pPr>
        <w:pStyle w:val="FootnoteText"/>
      </w:pPr>
      <w:r>
        <w:rPr>
          <w:rStyle w:val="FootnoteReference"/>
        </w:rPr>
        <w:footnoteRef/>
      </w:r>
      <w:r>
        <w:t xml:space="preserve"> 47 USC § 254(e).</w:t>
      </w:r>
    </w:p>
  </w:footnote>
  <w:footnote w:id="15">
    <w:p w:rsidR="00577833" w:rsidP="00577833" w14:paraId="0F6EB900" w14:textId="77777777">
      <w:pPr>
        <w:pStyle w:val="FootnoteText"/>
      </w:pPr>
      <w:r>
        <w:rPr>
          <w:rStyle w:val="FootnoteReference"/>
        </w:rPr>
        <w:footnoteRef/>
      </w:r>
      <w:r>
        <w:t xml:space="preserve"> </w:t>
      </w:r>
      <w:r w:rsidRPr="005F0441">
        <w:rPr>
          <w:i/>
          <w:iCs/>
        </w:rPr>
        <w:t xml:space="preserve">Auction </w:t>
      </w:r>
      <w:r>
        <w:rPr>
          <w:i/>
          <w:iCs/>
        </w:rPr>
        <w:t xml:space="preserve">903 </w:t>
      </w:r>
      <w:r w:rsidRPr="005F0441">
        <w:rPr>
          <w:i/>
          <w:iCs/>
        </w:rPr>
        <w:t>Procedures Public Notice</w:t>
      </w:r>
      <w:r>
        <w:t xml:space="preserve">, 33 FCC </w:t>
      </w:r>
      <w:r>
        <w:t>Rcd</w:t>
      </w:r>
      <w:r>
        <w:t xml:space="preserve"> at 1520, para 314.  </w:t>
      </w:r>
      <w:r>
        <w:rPr>
          <w:i/>
          <w:iCs/>
        </w:rPr>
        <w:t xml:space="preserve">See </w:t>
      </w:r>
      <w:r>
        <w:t xml:space="preserve">47 CFR § 1.21004(a) (“A winning bidder . . . that for any reason is not subsequently authorized to receive support has defaulted on its bid.”).  </w:t>
      </w:r>
    </w:p>
  </w:footnote>
  <w:footnote w:id="16">
    <w:p w:rsidR="00577833" w:rsidP="00577833" w14:paraId="25BBF344" w14:textId="77777777">
      <w:pPr>
        <w:pStyle w:val="FootnoteText"/>
      </w:pPr>
      <w:r>
        <w:rPr>
          <w:rStyle w:val="FootnoteReference"/>
        </w:rPr>
        <w:footnoteRef/>
      </w:r>
      <w:r>
        <w:t xml:space="preserve"> As explained in the Auction 903 Technical Guide, a winning bid must cover at least one </w:t>
      </w:r>
      <w:r>
        <w:t>CBG</w:t>
      </w:r>
      <w:r>
        <w:t xml:space="preserve">, the minimum geographic area for bidding.  </w:t>
      </w:r>
      <w:r w:rsidRPr="00C65384">
        <w:rPr>
          <w:i/>
          <w:iCs/>
          <w:snapToGrid w:val="0"/>
        </w:rPr>
        <w:t>See</w:t>
      </w:r>
      <w:r w:rsidRPr="00C01E0B">
        <w:rPr>
          <w:snapToGrid w:val="0"/>
        </w:rPr>
        <w:t xml:space="preserve"> CAF-II Technical Guide, Section 6.14 at p. 15</w:t>
      </w:r>
      <w:r>
        <w:rPr>
          <w:snapToGrid w:val="0"/>
        </w:rPr>
        <w:t xml:space="preserve">.  </w:t>
      </w:r>
      <w:r w:rsidRPr="005F0441">
        <w:rPr>
          <w:i/>
          <w:iCs/>
        </w:rPr>
        <w:t xml:space="preserve">Auction </w:t>
      </w:r>
      <w:r>
        <w:rPr>
          <w:i/>
          <w:iCs/>
        </w:rPr>
        <w:t xml:space="preserve">903 </w:t>
      </w:r>
      <w:r w:rsidRPr="005F0441">
        <w:rPr>
          <w:i/>
          <w:iCs/>
        </w:rPr>
        <w:t>Procedures Public Notice</w:t>
      </w:r>
      <w:r w:rsidRPr="005F0441">
        <w:rPr>
          <w:i/>
          <w:iCs/>
        </w:rPr>
        <w:t xml:space="preserve"> </w:t>
      </w:r>
      <w:r>
        <w:t xml:space="preserve">at 1521, para. 315.  </w:t>
      </w:r>
    </w:p>
  </w:footnote>
  <w:footnote w:id="17">
    <w:p w:rsidR="00577833" w:rsidP="00577833" w14:paraId="36704F5F" w14:textId="77777777">
      <w:pPr>
        <w:pStyle w:val="FootnoteText"/>
      </w:pPr>
      <w:r>
        <w:rPr>
          <w:rStyle w:val="FootnoteReference"/>
        </w:rPr>
        <w:footnoteRef/>
      </w:r>
      <w:r>
        <w:t xml:space="preserve"> 47 CFR § 1.3.</w:t>
      </w:r>
    </w:p>
  </w:footnote>
  <w:footnote w:id="18">
    <w:p w:rsidR="00577833" w:rsidP="00577833" w14:paraId="0DA1B6EC" w14:textId="77777777">
      <w:pPr>
        <w:pStyle w:val="FootnoteText"/>
      </w:pPr>
      <w:r>
        <w:rPr>
          <w:rStyle w:val="FootnoteReference"/>
        </w:rPr>
        <w:footnoteRef/>
      </w:r>
      <w:r>
        <w:t xml:space="preserve"> </w:t>
      </w:r>
      <w:r w:rsidRPr="00DE51AF">
        <w:rPr>
          <w:i/>
        </w:rPr>
        <w:t>Ne. Cellular Tel</w:t>
      </w:r>
      <w:r>
        <w:rPr>
          <w:i/>
        </w:rPr>
        <w:t>.</w:t>
      </w:r>
      <w:r w:rsidRPr="00DE51AF">
        <w:rPr>
          <w:i/>
        </w:rPr>
        <w:t xml:space="preserve"> Co. v. FCC</w:t>
      </w:r>
      <w:r>
        <w:t>, 897 F.2d 1164, 1166 (D.C. Cir. 1990).</w:t>
      </w:r>
    </w:p>
  </w:footnote>
  <w:footnote w:id="19">
    <w:p w:rsidR="00577833" w:rsidP="00577833" w14:paraId="0FF3332F" w14:textId="77777777">
      <w:pPr>
        <w:pStyle w:val="FootnoteText"/>
      </w:pPr>
      <w:r>
        <w:rPr>
          <w:rStyle w:val="FootnoteReference"/>
        </w:rPr>
        <w:footnoteRef/>
      </w:r>
      <w:r>
        <w:t xml:space="preserve"> </w:t>
      </w:r>
      <w:r w:rsidRPr="00DF2217">
        <w:rPr>
          <w:i/>
          <w:iCs/>
        </w:rPr>
        <w:t>Id</w:t>
      </w:r>
      <w:r>
        <w:t xml:space="preserve">. </w:t>
      </w:r>
    </w:p>
  </w:footnote>
  <w:footnote w:id="20">
    <w:p w:rsidR="00577833" w:rsidP="00577833" w14:paraId="7FFF556E" w14:textId="77777777">
      <w:pPr>
        <w:pStyle w:val="FootnoteText"/>
      </w:pPr>
      <w:r>
        <w:rPr>
          <w:rStyle w:val="FootnoteReference"/>
        </w:rPr>
        <w:footnoteRef/>
      </w:r>
      <w:r>
        <w:t xml:space="preserve"> </w:t>
      </w:r>
      <w:r>
        <w:rPr>
          <w:i/>
          <w:iCs/>
        </w:rPr>
        <w:t xml:space="preserve">See </w:t>
      </w:r>
      <w:r>
        <w:t xml:space="preserve">Supplement to Application for Designation to Expand </w:t>
      </w:r>
      <w:r>
        <w:t>Viasat</w:t>
      </w:r>
      <w:r>
        <w:t xml:space="preserve"> Carrier Services Inc.’s Designated Service Area to Include Specific Tribal Lands, UM 1970, at 1 (filed Aug. 25, 2021) (</w:t>
      </w:r>
      <w:r>
        <w:t>Viasat</w:t>
      </w:r>
      <w:r>
        <w:t xml:space="preserve"> Oregon Second Supplement).  </w:t>
      </w:r>
      <w:r w:rsidRPr="00746A37">
        <w:t>Viasat</w:t>
      </w:r>
      <w:r w:rsidRPr="00746A37">
        <w:t xml:space="preserve"> has had on-going discussions with various tribes in Oregon to request these </w:t>
      </w:r>
      <w:r>
        <w:t>T</w:t>
      </w:r>
      <w:r w:rsidRPr="00746A37">
        <w:t xml:space="preserve">ribes provide the Oregon PUC’s notice of support or non-opposition to </w:t>
      </w:r>
      <w:r w:rsidRPr="00746A37">
        <w:t>Viasat’s</w:t>
      </w:r>
      <w:r w:rsidRPr="00746A37">
        <w:t xml:space="preserve"> </w:t>
      </w:r>
      <w:r w:rsidRPr="00746A37">
        <w:t>ETC</w:t>
      </w:r>
      <w:r w:rsidRPr="00746A37">
        <w:t xml:space="preserve"> designation application as required by Oregon law.  </w:t>
      </w:r>
      <w:r w:rsidRPr="00746A37">
        <w:t>Viasat</w:t>
      </w:r>
      <w:r w:rsidRPr="00746A37">
        <w:t xml:space="preserve"> provided additional information about its proposed service areas to the </w:t>
      </w:r>
      <w:r>
        <w:t>T</w:t>
      </w:r>
      <w:r w:rsidRPr="00746A37">
        <w:t xml:space="preserve">ribes and had consultations with </w:t>
      </w:r>
      <w:r>
        <w:t>T</w:t>
      </w:r>
      <w:r w:rsidRPr="00746A37">
        <w:t>rib</w:t>
      </w:r>
      <w:r>
        <w:t>al</w:t>
      </w:r>
      <w:r w:rsidRPr="00746A37">
        <w:t xml:space="preserve"> leaders.  </w:t>
      </w:r>
      <w:r>
        <w:t>Viasat</w:t>
      </w:r>
      <w:r>
        <w:t xml:space="preserve"> Oregon Second Supplement at 1.</w:t>
      </w:r>
    </w:p>
  </w:footnote>
  <w:footnote w:id="21">
    <w:p w:rsidR="00577833" w:rsidP="00577833" w14:paraId="017D687B" w14:textId="77777777">
      <w:pPr>
        <w:pStyle w:val="FootnoteText"/>
      </w:pPr>
      <w:r>
        <w:rPr>
          <w:rStyle w:val="FootnoteReference"/>
        </w:rPr>
        <w:footnoteRef/>
      </w:r>
      <w:r>
        <w:t xml:space="preserve"> </w:t>
      </w:r>
      <w:r>
        <w:t>Viasat</w:t>
      </w:r>
      <w:r>
        <w:t xml:space="preserve"> Oregon Second Supplement at 1.</w:t>
      </w:r>
    </w:p>
  </w:footnote>
  <w:footnote w:id="22">
    <w:p w:rsidR="00577833" w:rsidP="00577833" w14:paraId="431DF28D" w14:textId="7CABB895">
      <w:pPr>
        <w:pStyle w:val="FootnoteText"/>
      </w:pPr>
      <w:r>
        <w:rPr>
          <w:rStyle w:val="FootnoteReference"/>
        </w:rPr>
        <w:footnoteRef/>
      </w:r>
      <w:r>
        <w:t xml:space="preserve"> </w:t>
      </w:r>
      <w:r w:rsidRPr="004B1F2B">
        <w:rPr>
          <w:i/>
          <w:iCs/>
        </w:rPr>
        <w:t>See</w:t>
      </w:r>
      <w:r>
        <w:t xml:space="preserve"> Oregon PUC, Staff Report, Docket No. UM 1970, p. 2-3 (Oct. 8, 2021) (“FCC Staff informed </w:t>
      </w:r>
      <w:r>
        <w:t>OPUC</w:t>
      </w:r>
      <w:r>
        <w:t xml:space="preserve"> Staff that the FCC’s Office of Native Affairs and Policy (</w:t>
      </w:r>
      <w:r>
        <w:t>ONAP</w:t>
      </w:r>
      <w:r>
        <w:t>) conducted two separate outreach efforts to the federally</w:t>
      </w:r>
      <w:r>
        <w:t xml:space="preserve"> </w:t>
      </w:r>
      <w:r>
        <w:t xml:space="preserve">recognized Oregon Tribes whose lands were covered by </w:t>
      </w:r>
      <w:r>
        <w:t>Viasat’s</w:t>
      </w:r>
      <w:r>
        <w:t xml:space="preserve"> winning bids in the CAF-II auction.  </w:t>
      </w:r>
      <w:r>
        <w:t>ONAP</w:t>
      </w:r>
      <w:r>
        <w:t xml:space="preserve"> reached out only to those Tribes from which </w:t>
      </w:r>
      <w:r>
        <w:t>Viasat</w:t>
      </w:r>
      <w:r>
        <w:t xml:space="preserve"> had failed to obtain a meaningful response.  First, </w:t>
      </w:r>
      <w:r>
        <w:t>ONAP</w:t>
      </w:r>
      <w:r>
        <w:t xml:space="preserve"> staff reached out to each of the Tribes repeatedly, primarily by phone, over the course of February and March 2020.  Second, </w:t>
      </w:r>
      <w:r>
        <w:t>ONAP</w:t>
      </w:r>
      <w:r>
        <w:t xml:space="preserve"> resumed outreach efforts in July 2020, reaching out to each of the remaining Tribes repeatedly by both email and telephone into October 2020.  Two Tribes responded to </w:t>
      </w:r>
      <w:r>
        <w:t>ONAP’s</w:t>
      </w:r>
      <w:r>
        <w:t xml:space="preserve"> extended outreach efforts by submitting letters of support to the Oregon PUC, two never responded to </w:t>
      </w:r>
      <w:r>
        <w:t>ONAP’s</w:t>
      </w:r>
      <w:r>
        <w:t xml:space="preserve"> multiple emails and voicemails, and the remainder acknowledged </w:t>
      </w:r>
      <w:r>
        <w:t>ONAP’s</w:t>
      </w:r>
      <w:r>
        <w:t xml:space="preserve"> outreach but, to the best of </w:t>
      </w:r>
      <w:r>
        <w:t>ONAP’s</w:t>
      </w:r>
      <w:r>
        <w:t xml:space="preserve"> knowledge, did not follow up with the Oregon PUC.”).  </w:t>
      </w:r>
    </w:p>
  </w:footnote>
  <w:footnote w:id="23">
    <w:p w:rsidR="00577833" w:rsidP="00577833" w14:paraId="6EEEEA15" w14:textId="77777777">
      <w:pPr>
        <w:pStyle w:val="FootnoteText"/>
      </w:pPr>
      <w:r>
        <w:rPr>
          <w:rStyle w:val="FootnoteReference"/>
        </w:rPr>
        <w:footnoteRef/>
      </w:r>
      <w:r>
        <w:t xml:space="preserve"> </w:t>
      </w:r>
      <w:r w:rsidRPr="00E6223E">
        <w:rPr>
          <w:i/>
          <w:iCs/>
        </w:rPr>
        <w:t>See</w:t>
      </w:r>
      <w:r>
        <w:t xml:space="preserve"> </w:t>
      </w:r>
      <w:r w:rsidRPr="00681D91">
        <w:rPr>
          <w:i/>
          <w:iCs/>
        </w:rPr>
        <w:t>Comment Sought on Competitive Bidding Procedures and Certain Program Requirements for the Connect America Fund Phase II Auction (Auction 903)</w:t>
      </w:r>
      <w:r>
        <w:t xml:space="preserve">, Public Notice, 32 FCC </w:t>
      </w:r>
      <w:r>
        <w:t>Rcd</w:t>
      </w:r>
      <w:r>
        <w:t xml:space="preserve"> 6238, 6241, para. 12 (2017) (36,000 </w:t>
      </w:r>
      <w:r>
        <w:t>CBGs</w:t>
      </w:r>
      <w:r>
        <w:t xml:space="preserve"> vs. 300,000 census blocks).</w:t>
      </w:r>
    </w:p>
  </w:footnote>
  <w:footnote w:id="24">
    <w:p w:rsidR="00577833" w:rsidP="00577833" w14:paraId="5E970B48" w14:textId="77777777">
      <w:pPr>
        <w:pStyle w:val="FootnoteText"/>
      </w:pPr>
      <w:r>
        <w:rPr>
          <w:rStyle w:val="FootnoteReference"/>
        </w:rPr>
        <w:footnoteRef/>
      </w:r>
      <w:r>
        <w:t xml:space="preserve"> </w:t>
      </w:r>
      <w:r>
        <w:rPr>
          <w:i/>
          <w:iCs/>
        </w:rPr>
        <w:t>Auction 903</w:t>
      </w:r>
      <w:r w:rsidRPr="003403E6">
        <w:rPr>
          <w:i/>
          <w:iCs/>
        </w:rPr>
        <w:t xml:space="preserve"> Procedures Public Notice</w:t>
      </w:r>
      <w:r>
        <w:t xml:space="preserve">, 33 FCC </w:t>
      </w:r>
      <w:r>
        <w:t>Rcd</w:t>
      </w:r>
      <w:r>
        <w:t xml:space="preserve"> at 1436-37, para. 18.</w:t>
      </w:r>
    </w:p>
  </w:footnote>
  <w:footnote w:id="25">
    <w:p w:rsidR="00577833" w:rsidRPr="00E6223E" w:rsidP="00577833" w14:paraId="6398B979" w14:textId="77777777">
      <w:pPr>
        <w:pStyle w:val="FootnoteText"/>
      </w:pPr>
      <w:r>
        <w:rPr>
          <w:rStyle w:val="FootnoteReference"/>
        </w:rPr>
        <w:footnoteRef/>
      </w:r>
      <w:r>
        <w:t xml:space="preserve"> </w:t>
      </w:r>
      <w:r>
        <w:rPr>
          <w:i/>
          <w:iCs/>
        </w:rPr>
        <w:t>See Auction 903</w:t>
      </w:r>
      <w:r w:rsidRPr="003403E6">
        <w:rPr>
          <w:i/>
          <w:iCs/>
        </w:rPr>
        <w:t xml:space="preserve"> Procedures Public Notice</w:t>
      </w:r>
      <w:r>
        <w:t xml:space="preserve">, 33 FCC </w:t>
      </w:r>
      <w:r>
        <w:t>Rcd</w:t>
      </w:r>
      <w:r>
        <w:t xml:space="preserve"> at 1502, para. 239.</w:t>
      </w:r>
    </w:p>
  </w:footnote>
  <w:footnote w:id="26">
    <w:p w:rsidR="00577833" w:rsidRPr="000D0DFA" w:rsidP="00577833" w14:paraId="75103B82" w14:textId="77777777">
      <w:pPr>
        <w:pStyle w:val="FootnoteText"/>
      </w:pPr>
      <w:r>
        <w:rPr>
          <w:rStyle w:val="FootnoteReference"/>
        </w:rPr>
        <w:footnoteRef/>
      </w:r>
      <w:r>
        <w:t xml:space="preserve"> </w:t>
      </w:r>
      <w:r>
        <w:rPr>
          <w:i/>
          <w:iCs/>
        </w:rPr>
        <w:t>Auction 903</w:t>
      </w:r>
      <w:r w:rsidRPr="003403E6">
        <w:rPr>
          <w:i/>
          <w:iCs/>
        </w:rPr>
        <w:t xml:space="preserve"> Procedures Public Notice</w:t>
      </w:r>
      <w:r>
        <w:t xml:space="preserve">, 33 FCC </w:t>
      </w:r>
      <w:r>
        <w:t>Rcd</w:t>
      </w:r>
      <w:r>
        <w:t xml:space="preserve"> at 1435, para. 15.</w:t>
      </w:r>
    </w:p>
  </w:footnote>
  <w:footnote w:id="27">
    <w:p w:rsidR="00577833" w:rsidRPr="00606C94" w:rsidP="00577833" w14:paraId="0AC7E14B" w14:textId="77777777">
      <w:pPr>
        <w:pStyle w:val="FootnoteText"/>
      </w:pPr>
      <w:r w:rsidRPr="00606C94">
        <w:rPr>
          <w:rStyle w:val="FootnoteReference"/>
        </w:rPr>
        <w:footnoteRef/>
      </w:r>
      <w:r w:rsidRPr="00606C94">
        <w:t xml:space="preserve"> </w:t>
      </w:r>
      <w:r w:rsidRPr="00606C94">
        <w:rPr>
          <w:i/>
        </w:rPr>
        <w:t>Phase II Auction Order</w:t>
      </w:r>
      <w:r w:rsidRPr="00606C94">
        <w:t xml:space="preserve">, 31 FCC </w:t>
      </w:r>
      <w:r w:rsidRPr="00606C94">
        <w:t>Rcd</w:t>
      </w:r>
      <w:r w:rsidRPr="00606C94">
        <w:rPr>
          <w:i/>
        </w:rPr>
        <w:t xml:space="preserve"> </w:t>
      </w:r>
      <w:r w:rsidRPr="00606C94">
        <w:t xml:space="preserve">at 6000, para. 143; </w:t>
      </w:r>
      <w:r w:rsidRPr="00606C94">
        <w:rPr>
          <w:i/>
        </w:rPr>
        <w:t>Auction 903 Procedures Public Notice</w:t>
      </w:r>
      <w:r w:rsidRPr="00606C94">
        <w:t xml:space="preserve">, 33 FCC </w:t>
      </w:r>
      <w:r w:rsidRPr="00606C94">
        <w:t>Rcd</w:t>
      </w:r>
      <w:r w:rsidRPr="00606C94">
        <w:t xml:space="preserve"> at 1521, para. 315.</w:t>
      </w:r>
    </w:p>
  </w:footnote>
  <w:footnote w:id="28">
    <w:p w:rsidR="00577833" w:rsidRPr="00606C94" w:rsidP="00577833" w14:paraId="311A9F7D" w14:textId="77777777">
      <w:pPr>
        <w:pStyle w:val="FootnoteText"/>
      </w:pPr>
      <w:r w:rsidRPr="00606C94">
        <w:rPr>
          <w:rStyle w:val="FootnoteReference"/>
        </w:rPr>
        <w:footnoteRef/>
      </w:r>
      <w:r w:rsidRPr="00606C94">
        <w:t xml:space="preserve"> </w:t>
      </w:r>
      <w:r w:rsidRPr="00606C94">
        <w:rPr>
          <w:i/>
        </w:rPr>
        <w:t>Phase II Auction Order</w:t>
      </w:r>
      <w:r w:rsidRPr="00606C94">
        <w:t xml:space="preserve">, 31 FCC </w:t>
      </w:r>
      <w:r w:rsidRPr="00606C94">
        <w:t>Rcd</w:t>
      </w:r>
      <w:r w:rsidRPr="00606C94">
        <w:t xml:space="preserve"> at 6000-01, para. 144; </w:t>
      </w:r>
      <w:r w:rsidRPr="00606C94">
        <w:rPr>
          <w:i/>
        </w:rPr>
        <w:t>Auction 903 Procedures Public Notice</w:t>
      </w:r>
      <w:r w:rsidRPr="00606C94">
        <w:t xml:space="preserve">, 33 FCC </w:t>
      </w:r>
      <w:r w:rsidRPr="00606C94">
        <w:t>Rcd</w:t>
      </w:r>
      <w:r w:rsidRPr="00606C94">
        <w:t xml:space="preserve"> at 1521, para. 315.</w:t>
      </w:r>
    </w:p>
  </w:footnote>
  <w:footnote w:id="29">
    <w:p w:rsidR="00577833" w:rsidRPr="00606C94" w:rsidP="00577833" w14:paraId="65653C73" w14:textId="77777777">
      <w:pPr>
        <w:pStyle w:val="FootnoteText"/>
      </w:pPr>
      <w:r w:rsidRPr="00606C94">
        <w:rPr>
          <w:rStyle w:val="FootnoteReference"/>
        </w:rPr>
        <w:footnoteRef/>
      </w:r>
      <w:r w:rsidRPr="00606C94">
        <w:t xml:space="preserve"> </w:t>
      </w:r>
      <w:r w:rsidRPr="00606C94">
        <w:rPr>
          <w:i/>
        </w:rPr>
        <w:t>See</w:t>
      </w:r>
      <w:r w:rsidRPr="00606C94">
        <w:t xml:space="preserve"> 47 U.S.C. § 503(b)(2)(B); 47 CFR § 1.80(b)(8), note to paragraph (b)(8); </w:t>
      </w:r>
      <w:r w:rsidRPr="00606C94">
        <w:rPr>
          <w:i/>
        </w:rPr>
        <w:t>Phase II Auction Order</w:t>
      </w:r>
      <w:r w:rsidRPr="00606C94">
        <w:t xml:space="preserve">, 31 FCC </w:t>
      </w:r>
      <w:r w:rsidRPr="00606C94">
        <w:t>Rcd</w:t>
      </w:r>
      <w:r w:rsidRPr="00606C94">
        <w:t xml:space="preserve"> at 6000-01, para. 143; </w:t>
      </w:r>
      <w:r w:rsidRPr="00606C94">
        <w:rPr>
          <w:i/>
        </w:rPr>
        <w:t>Auction 903 Procedures Public Notice</w:t>
      </w:r>
      <w:r w:rsidRPr="00606C94">
        <w:t xml:space="preserve">, 33 FCC </w:t>
      </w:r>
      <w:r w:rsidRPr="00606C94">
        <w:t>Rcd</w:t>
      </w:r>
      <w:r w:rsidRPr="00606C94">
        <w:t xml:space="preserve"> at 1521, para. 315.</w:t>
      </w:r>
    </w:p>
  </w:footnote>
  <w:footnote w:id="30">
    <w:p w:rsidR="00577833" w:rsidP="00577833" w14:paraId="77CCF0E6" w14:textId="77777777">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xml:space="preserve">, Public Notice, 33 FCC </w:t>
      </w:r>
      <w:r>
        <w:t>Rcd</w:t>
      </w:r>
      <w:r>
        <w:t xml:space="preserve"> 8257 (</w:t>
      </w:r>
      <w:r>
        <w:t>WTB</w:t>
      </w:r>
      <w:r>
        <w:t xml:space="preserve"> and WCB 2018) (</w:t>
      </w:r>
      <w:r w:rsidRPr="00305BB1">
        <w:rPr>
          <w:i/>
        </w:rPr>
        <w:t>Auction 903 Closing Public Notice</w:t>
      </w:r>
      <w:r>
        <w:t>).</w:t>
      </w:r>
    </w:p>
  </w:footnote>
  <w:footnote w:id="31">
    <w:p w:rsidR="00577833" w:rsidP="00577833" w14:paraId="0C42A1B1" w14:textId="77777777">
      <w:pPr>
        <w:pStyle w:val="FootnoteText"/>
      </w:pPr>
      <w:r>
        <w:rPr>
          <w:rStyle w:val="FootnoteReference"/>
        </w:rPr>
        <w:footnoteRef/>
      </w:r>
      <w:r>
        <w:t xml:space="preserve"> </w:t>
      </w:r>
      <w:r w:rsidRPr="006731DE">
        <w:rPr>
          <w:i/>
        </w:rPr>
        <w:t>134 Long-Form Applicants in the Connect America Fund Phase II Auction (Auction 903)</w:t>
      </w:r>
      <w:r w:rsidRPr="006731DE">
        <w:t xml:space="preserve">, Public Notice, 33 FCC </w:t>
      </w:r>
      <w:r w:rsidRPr="006731DE">
        <w:t>Rcd</w:t>
      </w:r>
      <w:r w:rsidRPr="006731DE">
        <w:t xml:space="preserve"> 10967 (</w:t>
      </w:r>
      <w:r w:rsidRPr="006731DE">
        <w:t>WTB</w:t>
      </w:r>
      <w:r w:rsidRPr="006731DE">
        <w:t xml:space="preserve"> and WCB 2018).  </w:t>
      </w:r>
    </w:p>
  </w:footnote>
  <w:footnote w:id="32">
    <w:p w:rsidR="00577833" w:rsidP="00577833" w14:paraId="7341B9C5"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t>315(b)(6)(v).</w:t>
      </w:r>
      <w:r w:rsidRPr="004C60A9">
        <w:t xml:space="preserve"> </w:t>
      </w:r>
      <w:r>
        <w:t xml:space="preserve"> The support amounts indicated on Attachment A have been proportionally reduced from the awarded support amount to reflect the defaulted blocks.  </w:t>
      </w:r>
    </w:p>
  </w:footnote>
  <w:footnote w:id="33">
    <w:p w:rsidR="00577833" w:rsidRPr="004A4861" w:rsidP="00577833" w14:paraId="3B80BCCB" w14:textId="77777777">
      <w:pPr>
        <w:pStyle w:val="FootnoteText"/>
      </w:pPr>
      <w:r w:rsidRPr="004C60A9">
        <w:rPr>
          <w:rStyle w:val="FootnoteReference"/>
        </w:rPr>
        <w:footnoteRef/>
      </w:r>
      <w:r>
        <w:t xml:space="preserve"> </w:t>
      </w:r>
      <w:r>
        <w:rPr>
          <w:i/>
        </w:rPr>
        <w:t>Phase II Auction Order</w:t>
      </w:r>
      <w:r w:rsidRPr="00010B65">
        <w:t xml:space="preserve">, 31 FCC </w:t>
      </w:r>
      <w:r w:rsidRPr="00010B65">
        <w:t>Rcd</w:t>
      </w:r>
      <w:r w:rsidRPr="00010B65">
        <w:t xml:space="preserve"> </w:t>
      </w:r>
      <w:r>
        <w:t>at</w:t>
      </w:r>
      <w:r w:rsidRPr="008A5853">
        <w:t xml:space="preserve"> 6045-49, App. B</w:t>
      </w:r>
      <w:r w:rsidRPr="004C60A9">
        <w:t>.</w:t>
      </w:r>
      <w:r>
        <w:t xml:space="preserve">  </w:t>
      </w:r>
    </w:p>
  </w:footnote>
  <w:footnote w:id="34">
    <w:p w:rsidR="00577833" w:rsidRPr="004C60A9" w:rsidP="00577833" w14:paraId="54D785E5"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54.315(c)(2); </w:t>
      </w:r>
      <w:r w:rsidRPr="00E624F7">
        <w:rPr>
          <w:i/>
        </w:rPr>
        <w:t>Phase II Auction Order</w:t>
      </w:r>
      <w:r>
        <w:t xml:space="preserve">, 31 FCC </w:t>
      </w:r>
      <w:r>
        <w:t>Rcd</w:t>
      </w:r>
      <w:r>
        <w:t xml:space="preserve"> at 5992-97, paras. 126-33.</w:t>
      </w:r>
    </w:p>
  </w:footnote>
  <w:footnote w:id="35">
    <w:p w:rsidR="00577833" w:rsidP="00577833" w14:paraId="6B388D56" w14:textId="77777777">
      <w:pPr>
        <w:pStyle w:val="FootnoteText"/>
      </w:pPr>
      <w:r w:rsidRPr="0042165B">
        <w:rPr>
          <w:rStyle w:val="FootnoteReference"/>
        </w:rPr>
        <w:footnoteRef/>
      </w:r>
      <w:r>
        <w:t xml:space="preserve"> </w:t>
      </w:r>
      <w:r w:rsidRPr="00E624F7">
        <w:rPr>
          <w:i/>
        </w:rPr>
        <w:t>Phase II Auction Order</w:t>
      </w:r>
      <w:r>
        <w:t xml:space="preserve">, 31 FCC </w:t>
      </w:r>
      <w:r>
        <w:t>Rcd</w:t>
      </w:r>
      <w:r>
        <w:t xml:space="preserve"> at 5991, para. 122. </w:t>
      </w:r>
    </w:p>
  </w:footnote>
  <w:footnote w:id="36">
    <w:p w:rsidR="00577833" w:rsidP="00577833" w14:paraId="739312B3" w14:textId="77777777">
      <w:pPr>
        <w:pStyle w:val="FootnoteText"/>
      </w:pPr>
      <w:r>
        <w:rPr>
          <w:rStyle w:val="FootnoteReference"/>
        </w:rPr>
        <w:footnoteRef/>
      </w:r>
      <w:r>
        <w:t xml:space="preserve"> </w:t>
      </w:r>
      <w:r w:rsidRPr="008D6745">
        <w:t xml:space="preserve">47 CFR § 54.315(c)(1); </w:t>
      </w:r>
      <w:r w:rsidRPr="008D6745">
        <w:rPr>
          <w:i/>
        </w:rPr>
        <w:t>Phase II Auction Order</w:t>
      </w:r>
      <w:r w:rsidRPr="008D6745">
        <w:t xml:space="preserve">, 31 FCC </w:t>
      </w:r>
      <w:r w:rsidRPr="008D6745">
        <w:t>Rcd</w:t>
      </w:r>
      <w:r w:rsidRPr="008D6745">
        <w:t xml:space="preserve"> at 5991, </w:t>
      </w:r>
      <w:r w:rsidRPr="00ED5762">
        <w:t xml:space="preserve">5997, </w:t>
      </w:r>
      <w:r w:rsidRPr="008A5853">
        <w:t xml:space="preserve">paras. 122, 135.  Once an Auction 903 support </w:t>
      </w:r>
      <w:r w:rsidRPr="008D6745">
        <w:t xml:space="preserve">recipient has met its 60 percent service milestone, its letter of credit may be valued at 90 percent of the total support amount already disbursed plus the amount that will be disbursed in the coming year.  Once an Auction 903 support recipient has met its 80 percent service milestone, its letter of credit may be valued at 60 percent of the total support amount already disbursed plus the amount that will be disbursed in the coming year.  </w:t>
      </w:r>
      <w:r>
        <w:rPr>
          <w:i/>
        </w:rPr>
        <w:t xml:space="preserve">See </w:t>
      </w:r>
      <w:r>
        <w:t xml:space="preserve">47 CFR § 54.315(c)(1); </w:t>
      </w:r>
      <w:r w:rsidRPr="008D6745">
        <w:rPr>
          <w:i/>
        </w:rPr>
        <w:t>Connect America Fund et al.</w:t>
      </w:r>
      <w:r w:rsidRPr="008D6745">
        <w:t xml:space="preserve">, Order on Reconsideration, 33 FCC </w:t>
      </w:r>
      <w:r w:rsidRPr="008D6745">
        <w:t>Rcd</w:t>
      </w:r>
      <w:r w:rsidRPr="008D6745">
        <w:t xml:space="preserve"> </w:t>
      </w:r>
      <w:r>
        <w:t>1380, 1405, para. 64</w:t>
      </w:r>
      <w:r w:rsidRPr="008D6745">
        <w:t xml:space="preserve">; </w:t>
      </w:r>
      <w:r w:rsidRPr="008D6745">
        <w:rPr>
          <w:i/>
        </w:rPr>
        <w:t>Phase II Auction Order</w:t>
      </w:r>
      <w:r w:rsidRPr="008D6745">
        <w:t xml:space="preserve">, 31 FCC </w:t>
      </w:r>
      <w:r w:rsidRPr="008D6745">
        <w:t>Rcd</w:t>
      </w:r>
      <w:r w:rsidRPr="008D6745">
        <w:t xml:space="preserve"> at 5997-98, para. 136.</w:t>
      </w:r>
    </w:p>
  </w:footnote>
  <w:footnote w:id="37">
    <w:p w:rsidR="00577833" w:rsidRPr="008D6745" w:rsidP="00577833" w14:paraId="6C4163F9" w14:textId="77777777">
      <w:pPr>
        <w:pStyle w:val="FootnoteText"/>
      </w:pPr>
      <w:r w:rsidRPr="00004808">
        <w:rPr>
          <w:rStyle w:val="FootnoteReference"/>
          <w:sz w:val="20"/>
        </w:rPr>
        <w:footnoteRef/>
      </w:r>
      <w:r w:rsidRPr="008D6745">
        <w:t xml:space="preserve"> </w:t>
      </w:r>
      <w:r>
        <w:rPr>
          <w:i/>
        </w:rPr>
        <w:t>Phase II Auction Order</w:t>
      </w:r>
      <w:r>
        <w:t xml:space="preserve">, 31 FCC </w:t>
      </w:r>
      <w:r>
        <w:t>Rcd</w:t>
      </w:r>
      <w:r w:rsidRPr="008D6745">
        <w:t xml:space="preserve"> at 5991, para. 122 &amp; n.242.</w:t>
      </w:r>
    </w:p>
  </w:footnote>
  <w:footnote w:id="38">
    <w:p w:rsidR="00577833" w:rsidRPr="004C60A9" w:rsidP="00577833" w14:paraId="23A5268B" w14:textId="77777777">
      <w:pPr>
        <w:pStyle w:val="FootnoteText"/>
      </w:pPr>
      <w:r w:rsidRPr="0042165B">
        <w:rPr>
          <w:rStyle w:val="FootnoteReference"/>
        </w:rPr>
        <w:footnoteRef/>
      </w:r>
      <w:r>
        <w:t xml:space="preserve"> 11 U.S.C. </w:t>
      </w:r>
      <w:r w:rsidRPr="008D6745">
        <w:t xml:space="preserve">§ </w:t>
      </w:r>
      <w:r>
        <w:t xml:space="preserve">541; </w:t>
      </w:r>
      <w:r w:rsidRPr="008D6745">
        <w:t xml:space="preserve">47 CFR § 54.315(c)(3); </w:t>
      </w:r>
      <w:r w:rsidRPr="008A5853">
        <w:rPr>
          <w:i/>
        </w:rPr>
        <w:t>Phase II Auction Order</w:t>
      </w:r>
      <w:r w:rsidRPr="008A5853">
        <w:t xml:space="preserve">, 31 FCC </w:t>
      </w:r>
      <w:r w:rsidRPr="008A5853">
        <w:t>Rcd</w:t>
      </w:r>
      <w:r w:rsidRPr="008A5853">
        <w:t xml:space="preserve"> at 5992, para. 125</w:t>
      </w:r>
      <w:r>
        <w:t xml:space="preserve">; </w:t>
      </w:r>
      <w:r w:rsidRPr="00010B65">
        <w:rPr>
          <w:i/>
        </w:rPr>
        <w:t xml:space="preserve">Auction 903 Procedures Public </w:t>
      </w:r>
      <w:r w:rsidRPr="00EF1DD9">
        <w:rPr>
          <w:i/>
        </w:rPr>
        <w:t>Notice</w:t>
      </w:r>
      <w:r>
        <w:t xml:space="preserve">, </w:t>
      </w:r>
      <w:r w:rsidRPr="00010B65">
        <w:t xml:space="preserve">33 FCC </w:t>
      </w:r>
      <w:r w:rsidRPr="00010B65">
        <w:t>Rcd</w:t>
      </w:r>
      <w:r w:rsidRPr="00010B65">
        <w:t xml:space="preserve"> </w:t>
      </w:r>
      <w:r>
        <w:t>at 1520, para. 313.</w:t>
      </w:r>
    </w:p>
  </w:footnote>
  <w:footnote w:id="39">
    <w:p w:rsidR="00577833" w:rsidP="00577833" w14:paraId="11C4694E" w14:textId="77777777">
      <w:pPr>
        <w:pStyle w:val="FootnoteText"/>
      </w:pPr>
      <w:r>
        <w:rPr>
          <w:rStyle w:val="FootnoteReference"/>
        </w:rPr>
        <w:footnoteRef/>
      </w:r>
      <w:r>
        <w:t xml:space="preserve"> If a request for public inspection under section </w:t>
      </w:r>
      <w:r w:rsidRPr="00735F3D">
        <w:t>0.461</w:t>
      </w:r>
      <w:r>
        <w:t xml:space="preserve"> is made for the long-form applicant’s letter of credit or attorney opinion letter, the long-form applicant will be notified and then must justify the continued confidential treatment of the information if it objects to the disclosure.  47 CFR </w:t>
      </w:r>
      <w:r w:rsidRPr="00D62C8E">
        <w:t>§§ 0.459</w:t>
      </w:r>
      <w:r>
        <w:t>, 0.461</w:t>
      </w:r>
      <w:r w:rsidRPr="00D62C8E">
        <w:t>.</w:t>
      </w:r>
    </w:p>
  </w:footnote>
  <w:footnote w:id="40">
    <w:p w:rsidR="00577833" w:rsidP="00577833" w14:paraId="3708A1C3"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41">
    <w:p w:rsidR="00577833" w:rsidRPr="004C60A9" w:rsidP="00577833" w14:paraId="61329A2B" w14:textId="77777777">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42">
    <w:p w:rsidR="00577833" w:rsidRPr="009F36E4" w:rsidP="00577833" w14:paraId="6D5145C6" w14:textId="77777777">
      <w:pPr>
        <w:pStyle w:val="FootnoteText"/>
      </w:pPr>
      <w:r>
        <w:rPr>
          <w:rStyle w:val="FootnoteReference"/>
        </w:rPr>
        <w:footnoteRef/>
      </w:r>
      <w:r>
        <w:t xml:space="preserve"> </w:t>
      </w:r>
      <w:r w:rsidRPr="00357F33">
        <w:rPr>
          <w:i/>
        </w:rPr>
        <w:t>Phase II Auction Order</w:t>
      </w:r>
      <w:r>
        <w:t xml:space="preserve">, 31 FCC </w:t>
      </w:r>
      <w:r>
        <w:t>Rcd</w:t>
      </w:r>
      <w:r>
        <w:t xml:space="preserve"> at 6000-01, paras. 143-45; </w:t>
      </w:r>
      <w:r w:rsidRPr="00010B65">
        <w:rPr>
          <w:i/>
        </w:rPr>
        <w:t>Auction 903 Procedures Public Notice</w:t>
      </w:r>
      <w:r>
        <w:t xml:space="preserve">, 33 FCC </w:t>
      </w:r>
      <w:r>
        <w:t>Rcd</w:t>
      </w:r>
      <w:r>
        <w:t xml:space="preserve"> at 1520-21, paras. 314-15</w:t>
      </w:r>
      <w:r>
        <w:rPr>
          <w:i/>
        </w:rPr>
        <w:t xml:space="preserve">; Auction 903 Closing Public Notice </w:t>
      </w:r>
      <w:r>
        <w:t>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1E0" w14:paraId="4DA0CFA8" w14:textId="70BC84B1">
    <w:pPr>
      <w:tabs>
        <w:tab w:val="center" w:pos="4680"/>
        <w:tab w:val="right" w:pos="9360"/>
      </w:tabs>
    </w:pPr>
    <w:r>
      <w:rPr>
        <w:b/>
      </w:rPr>
      <w:tab/>
      <w:t>Federal Communications Commission</w:t>
    </w:r>
    <w:r>
      <w:rPr>
        <w:b/>
      </w:rPr>
      <w:tab/>
    </w:r>
    <w:r w:rsidR="00577833">
      <w:rPr>
        <w:b/>
      </w:rPr>
      <w:t>DA 22-638</w:t>
    </w:r>
  </w:p>
  <w:p w:rsidR="000D21E0" w14:paraId="2D4B341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D21E0" w14:paraId="391A9BA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1E0" w14:paraId="1D0A9D21" w14:textId="77777777">
    <w:pPr>
      <w:pStyle w:val="Header"/>
      <w:ind w:left="-990"/>
      <w:rPr>
        <w:noProof/>
        <w:snapToGrid/>
        <w:sz w:val="20"/>
        <w:szCs w:val="20"/>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1.5pt;height:114pt;mso-wrap-style:square;visibility:visible">
          <v:imagedata r:id="rId1" o:title=""/>
        </v:shape>
      </w:pict>
    </w:r>
  </w:p>
  <w:p w:rsidR="000D21E0" w14:paraId="3B3ACE29"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E0"/>
    <w:rsid w:val="000020F3"/>
    <w:rsid w:val="00010B65"/>
    <w:rsid w:val="000D0DFA"/>
    <w:rsid w:val="000D21E0"/>
    <w:rsid w:val="001463F6"/>
    <w:rsid w:val="001A06CA"/>
    <w:rsid w:val="00234155"/>
    <w:rsid w:val="002B3ACA"/>
    <w:rsid w:val="002F2C58"/>
    <w:rsid w:val="00305BB1"/>
    <w:rsid w:val="003403E6"/>
    <w:rsid w:val="00357F33"/>
    <w:rsid w:val="003B2B28"/>
    <w:rsid w:val="0041131D"/>
    <w:rsid w:val="00456492"/>
    <w:rsid w:val="004A4861"/>
    <w:rsid w:val="004B1F2B"/>
    <w:rsid w:val="004C60A9"/>
    <w:rsid w:val="00577833"/>
    <w:rsid w:val="00593DB1"/>
    <w:rsid w:val="005973D7"/>
    <w:rsid w:val="005D5866"/>
    <w:rsid w:val="005F0441"/>
    <w:rsid w:val="006035CC"/>
    <w:rsid w:val="00606C94"/>
    <w:rsid w:val="006731DE"/>
    <w:rsid w:val="00681D91"/>
    <w:rsid w:val="006B0E4F"/>
    <w:rsid w:val="006B77FF"/>
    <w:rsid w:val="00735F3D"/>
    <w:rsid w:val="00746A37"/>
    <w:rsid w:val="007A1F8B"/>
    <w:rsid w:val="007B68AD"/>
    <w:rsid w:val="00807A20"/>
    <w:rsid w:val="00882DC3"/>
    <w:rsid w:val="00893B45"/>
    <w:rsid w:val="008A5853"/>
    <w:rsid w:val="008D6745"/>
    <w:rsid w:val="00937EBA"/>
    <w:rsid w:val="00962684"/>
    <w:rsid w:val="00986BD1"/>
    <w:rsid w:val="009F36E4"/>
    <w:rsid w:val="00A25268"/>
    <w:rsid w:val="00AE6BAE"/>
    <w:rsid w:val="00B345AF"/>
    <w:rsid w:val="00BA1752"/>
    <w:rsid w:val="00BB7EEB"/>
    <w:rsid w:val="00C01E0B"/>
    <w:rsid w:val="00C65384"/>
    <w:rsid w:val="00D62C8E"/>
    <w:rsid w:val="00DE51AF"/>
    <w:rsid w:val="00DF2217"/>
    <w:rsid w:val="00E6223E"/>
    <w:rsid w:val="00E624F7"/>
    <w:rsid w:val="00EA1AA9"/>
    <w:rsid w:val="00EB385C"/>
    <w:rsid w:val="00ED261D"/>
    <w:rsid w:val="00ED36F8"/>
    <w:rsid w:val="00ED5762"/>
    <w:rsid w:val="00EE1D2F"/>
    <w:rsid w:val="00EF1DD9"/>
    <w:rsid w:val="00F01AEC"/>
    <w:rsid w:val="00F12A46"/>
    <w:rsid w:val="00FB1424"/>
    <w:rsid w:val="00FB66FF"/>
    <w:rsid w:val="00FF5E0D"/>
    <w:rsid w:val="130D622F"/>
    <w:rsid w:val="1C9F500A"/>
    <w:rsid w:val="2355F555"/>
    <w:rsid w:val="2930EF98"/>
    <w:rsid w:val="2C42B615"/>
    <w:rsid w:val="2E858C06"/>
    <w:rsid w:val="2F9841C7"/>
    <w:rsid w:val="3791832C"/>
    <w:rsid w:val="38B4A181"/>
    <w:rsid w:val="3D955C04"/>
    <w:rsid w:val="4641F08D"/>
    <w:rsid w:val="4FD20856"/>
    <w:rsid w:val="50F1FE82"/>
    <w:rsid w:val="545D8D32"/>
    <w:rsid w:val="5B484444"/>
    <w:rsid w:val="5B8D3B33"/>
    <w:rsid w:val="5C06B788"/>
    <w:rsid w:val="610240F3"/>
    <w:rsid w:val="6539DEF5"/>
    <w:rsid w:val="6B6622C3"/>
    <w:rsid w:val="6C39674B"/>
    <w:rsid w:val="6D75D2EC"/>
    <w:rsid w:val="757022EC"/>
    <w:rsid w:val="760EDA24"/>
    <w:rsid w:val="794D3A02"/>
    <w:rsid w:val="79DDDE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0599D3"/>
  <w15:chartTrackingRefBased/>
  <w15:docId w15:val="{06891D98-B3E7-4993-BB48-4184D40A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577833"/>
  </w:style>
  <w:style w:type="paragraph" w:customStyle="1" w:styleId="paragraph">
    <w:name w:val="paragraph"/>
    <w:basedOn w:val="Normal"/>
    <w:rsid w:val="00577833"/>
    <w:pPr>
      <w:widowControl/>
    </w:pPr>
    <w:rPr>
      <w:snapToGrid/>
      <w:kern w:val="0"/>
      <w:sz w:val="24"/>
      <w:szCs w:val="24"/>
    </w:rPr>
  </w:style>
  <w:style w:type="character" w:customStyle="1" w:styleId="normaltextrun1">
    <w:name w:val="normaltextrun1"/>
    <w:basedOn w:val="DefaultParagraphFont"/>
    <w:rsid w:val="00577833"/>
  </w:style>
  <w:style w:type="character" w:customStyle="1" w:styleId="eop">
    <w:name w:val="eop"/>
    <w:basedOn w:val="DefaultParagraphFont"/>
    <w:rsid w:val="0057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c/funds/caf-phase-ii-auction.aspx" TargetMode="External" /><Relationship Id="rId6" Type="http://schemas.openxmlformats.org/officeDocument/2006/relationships/hyperlink" Target="http://www.fcc.gov/ocbo/" TargetMode="External" /><Relationship Id="rId7" Type="http://schemas.openxmlformats.org/officeDocument/2006/relationships/hyperlink" Target="mailto:fcc504@fcc.gov" TargetMode="External" /><Relationship Id="rId8" Type="http://schemas.openxmlformats.org/officeDocument/2006/relationships/hyperlink" Target="http://www.fcc.gov" TargetMode="External" /><Relationship Id="rId9" Type="http://schemas.openxmlformats.org/officeDocument/2006/relationships/hyperlink" Target="https://www.fcc.gov/auction/903"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