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4894E0B" w14:textId="3FD71D09">
      <w:pPr>
        <w:jc w:val="right"/>
        <w:rPr>
          <w:b/>
          <w:sz w:val="24"/>
        </w:rPr>
      </w:pPr>
      <w:r>
        <w:rPr>
          <w:b/>
          <w:sz w:val="24"/>
        </w:rPr>
        <w:t>DA  22-530</w:t>
      </w:r>
    </w:p>
    <w:p w:rsidR="00013A8B" w:rsidRPr="00B20363" w:rsidP="00013A8B" w14:paraId="7283C38D" w14:textId="76BC4D3C">
      <w:pPr>
        <w:spacing w:before="60"/>
        <w:jc w:val="right"/>
        <w:rPr>
          <w:b/>
          <w:sz w:val="24"/>
        </w:rPr>
      </w:pPr>
      <w:r>
        <w:rPr>
          <w:b/>
          <w:sz w:val="24"/>
        </w:rPr>
        <w:t xml:space="preserve">Released:  </w:t>
      </w:r>
      <w:r w:rsidR="00536F1D">
        <w:rPr>
          <w:b/>
          <w:sz w:val="24"/>
        </w:rPr>
        <w:t>May 13, 2022</w:t>
      </w:r>
    </w:p>
    <w:p w:rsidR="00013A8B" w:rsidP="00013A8B" w14:paraId="43F1E3F8" w14:textId="77777777">
      <w:pPr>
        <w:jc w:val="right"/>
        <w:rPr>
          <w:sz w:val="24"/>
        </w:rPr>
      </w:pPr>
    </w:p>
    <w:p w:rsidR="00536F1D" w:rsidP="00536F1D" w14:paraId="7841D2FB" w14:textId="77777777">
      <w:pPr>
        <w:jc w:val="center"/>
        <w:rPr>
          <w:rFonts w:ascii="Times New Roman Bold" w:hAnsi="Times New Roman Bold"/>
          <w:b/>
          <w:bCs/>
          <w:caps/>
          <w:sz w:val="24"/>
        </w:rPr>
      </w:pPr>
      <w:r w:rsidRPr="00536F1D">
        <w:rPr>
          <w:rFonts w:ascii="Times New Roman Bold" w:hAnsi="Times New Roman Bold"/>
          <w:b/>
          <w:bCs/>
          <w:caps/>
          <w:sz w:val="24"/>
        </w:rPr>
        <w:t xml:space="preserve">AUTHORIZATION OF ATLINK SERVICES, LLC TO RECEIVE CONNECT AMERICA FUND (CAF) PHASE II AUCTION SUPPORT TRANSFERRED </w:t>
      </w:r>
    </w:p>
    <w:p w:rsidR="00013A8B" w:rsidRPr="00B20363" w:rsidP="00536F1D" w14:paraId="31C382BA" w14:textId="157D0552">
      <w:pPr>
        <w:spacing w:after="240"/>
        <w:jc w:val="center"/>
        <w:rPr>
          <w:rFonts w:ascii="Times New Roman Bold" w:hAnsi="Times New Roman Bold"/>
          <w:b/>
          <w:caps/>
          <w:sz w:val="24"/>
        </w:rPr>
      </w:pPr>
      <w:r w:rsidRPr="00536F1D">
        <w:rPr>
          <w:rFonts w:ascii="Times New Roman Bold" w:hAnsi="Times New Roman Bold"/>
          <w:b/>
          <w:bCs/>
          <w:caps/>
          <w:sz w:val="24"/>
        </w:rPr>
        <w:t>FROM CHEROKEE TELEPHONE COMPANY PURSUANT TO A COMMISSION APPROVED TRANSACTION</w:t>
      </w:r>
    </w:p>
    <w:p w:rsidR="00013A8B" w:rsidP="00013A8B" w14:paraId="69FE8A27" w14:textId="2B8A7802">
      <w:pPr>
        <w:jc w:val="center"/>
        <w:rPr>
          <w:b/>
          <w:sz w:val="24"/>
        </w:rPr>
      </w:pPr>
      <w:r>
        <w:rPr>
          <w:b/>
          <w:sz w:val="24"/>
        </w:rPr>
        <w:t>WC Docket No. 10-90</w:t>
      </w:r>
    </w:p>
    <w:p w:rsidR="00536F1D" w:rsidP="00536F1D" w14:paraId="7A2AB63F" w14:textId="5311644D">
      <w:pPr>
        <w:rPr>
          <w:b/>
          <w:sz w:val="24"/>
        </w:rPr>
      </w:pPr>
    </w:p>
    <w:p w:rsidR="00536F1D" w:rsidP="00536F1D" w14:paraId="03BF96B7" w14:textId="2EA1E84F">
      <w:pPr>
        <w:tabs>
          <w:tab w:val="left" w:pos="720"/>
        </w:tabs>
        <w:spacing w:after="120"/>
      </w:pPr>
      <w:r>
        <w:tab/>
      </w:r>
      <w:r>
        <w:t xml:space="preserve">On January 27, 2022, the Commission approved the transfer of domestic section 214 authorizations between </w:t>
      </w:r>
      <w:r>
        <w:t>AtLink</w:t>
      </w:r>
      <w:r>
        <w:t xml:space="preserve"> Services, LLC (</w:t>
      </w:r>
      <w:r>
        <w:t>AtLink</w:t>
      </w:r>
      <w:r>
        <w:t>) and Cherokee Telephone Company (Cherokee) (together, the Parties) in relation to the exchange of Connect America Fund (CAF) Phase II auction support and o</w:t>
      </w:r>
      <w:r w:rsidRPr="00A04A63">
        <w:t xml:space="preserve">bligations </w:t>
      </w:r>
      <w:r>
        <w:t>associated with 249 census blocks in Oklahoma.</w:t>
      </w:r>
      <w:r>
        <w:rPr>
          <w:rStyle w:val="FootnoteReference"/>
        </w:rPr>
        <w:footnoteReference w:id="3"/>
      </w:r>
      <w:r>
        <w:t xml:space="preserve">  Consistent with this approval, the Wireline Competition Bureau, in coordination with the Rural Broadband Auctions Task Force, modifies the support and associated defined deployment obligations of </w:t>
      </w:r>
      <w:r>
        <w:t>AtLink</w:t>
      </w:r>
      <w:r>
        <w:t xml:space="preserve"> and authorizes it to receive all remaining CAF Phase II auction support initially awarded to Cherokee, as described in more detail below.  </w:t>
      </w:r>
    </w:p>
    <w:p w:rsidR="00536F1D" w:rsidRPr="00392ED2" w:rsidP="00536F1D" w14:paraId="68059E67" w14:textId="77777777">
      <w:pPr>
        <w:tabs>
          <w:tab w:val="left" w:pos="720"/>
        </w:tabs>
        <w:spacing w:after="120"/>
      </w:pPr>
      <w:r>
        <w:tab/>
      </w:r>
      <w:r w:rsidRPr="5674F222">
        <w:t>On May 14, 2020, Cherokee was authorized to receive $594,975 in CAF Phase II support to deploy supported services over 10 years to 1,166 high-cost locations in 249 census blocks in Oklahoma</w:t>
      </w:r>
      <w:r w:rsidRPr="00392ED2">
        <w:t>.</w:t>
      </w:r>
      <w:r>
        <w:rPr>
          <w:rStyle w:val="FootnoteReference"/>
        </w:rPr>
        <w:footnoteReference w:id="4"/>
      </w:r>
      <w:r w:rsidRPr="0089222A">
        <w:rPr>
          <w:rStyle w:val="FootnoteReference"/>
        </w:rPr>
        <w:t xml:space="preserve"> </w:t>
      </w:r>
      <w:r w:rsidRPr="00392ED2">
        <w:t xml:space="preserve">On August 11, 2020, Cherokee and </w:t>
      </w:r>
      <w:r w:rsidRPr="00392ED2">
        <w:t>AtLink</w:t>
      </w:r>
      <w:r w:rsidRPr="00392ED2">
        <w:t xml:space="preserve"> filed an application, pursuant to section 214 of the Communications Act of 1934, as amended, and sections 63.03-04 of the Commission’s rules, for approval of a transaction by which </w:t>
      </w:r>
      <w:r w:rsidRPr="00392ED2">
        <w:t>AtLink</w:t>
      </w:r>
      <w:r w:rsidRPr="00392ED2">
        <w:t xml:space="preserve"> would assume all of the Cherokee’s CAF Phase II auction obligations and acquire the corresponding support for the associated 249 blocks (Assigned Census Blocks).</w:t>
      </w:r>
      <w:r>
        <w:rPr>
          <w:rStyle w:val="FootnoteReference"/>
        </w:rPr>
        <w:footnoteReference w:id="5"/>
      </w:r>
      <w:r w:rsidRPr="0089222A">
        <w:rPr>
          <w:rStyle w:val="FootnoteReference"/>
        </w:rPr>
        <w:t xml:space="preserve"> </w:t>
      </w:r>
      <w:r w:rsidRPr="00392ED2">
        <w:t xml:space="preserve"> </w:t>
      </w:r>
      <w:r>
        <w:t>On January 27, 2022, the Commission approved the transaction, which was consummated on April 26, 2022.</w:t>
      </w:r>
      <w:r>
        <w:rPr>
          <w:rStyle w:val="FootnoteReference"/>
        </w:rPr>
        <w:footnoteReference w:id="6"/>
      </w:r>
    </w:p>
    <w:p w:rsidR="00536F1D" w:rsidP="00536F1D" w14:paraId="3A9AD0E7" w14:textId="77777777">
      <w:pPr>
        <w:widowControl/>
        <w:tabs>
          <w:tab w:val="left" w:pos="720"/>
        </w:tabs>
        <w:spacing w:after="120"/>
      </w:pPr>
      <w:r>
        <w:tab/>
        <w:t xml:space="preserve">As a condition of this authorization, </w:t>
      </w:r>
      <w:r>
        <w:t>AtLink</w:t>
      </w:r>
      <w:r>
        <w:t xml:space="preserve"> assumes responsibility for complying with universal service fund requirements and Commission rules, regardless of any preexisting or reasonably foreseeable conditions on the ground in the Assigned Census Blocks that could negatively impact </w:t>
      </w:r>
      <w:r>
        <w:t>AtLink’s</w:t>
      </w:r>
      <w:r>
        <w:t xml:space="preserve"> ability to meet these obligations in the future.  Indeed, any carrier seeking authorization to receive high cost support pursuant to a section 214 transfer must conduct the proper due diligence prior to consummation of the transaction, and, in doing so, must assume all risk and consequences of noncompliance with CAF Phase II auction requirements, including default penalties.</w:t>
      </w:r>
      <w:r>
        <w:rPr>
          <w:rStyle w:val="FootnoteReference"/>
        </w:rPr>
        <w:footnoteReference w:id="7"/>
      </w:r>
      <w:r>
        <w:t xml:space="preserve">  Accordingly, </w:t>
      </w:r>
      <w:r>
        <w:t>AtLink</w:t>
      </w:r>
      <w:r>
        <w:t xml:space="preserve"> must meet all administrative, performance, and CAF Phase II auction </w:t>
      </w:r>
      <w:r w:rsidRPr="00046A73">
        <w:t xml:space="preserve">deployment </w:t>
      </w:r>
      <w:r>
        <w:t xml:space="preserve">obligations and deadlines associated with the Assigned Census Blocks, including deployment of voice and broadband service meeting minimum standards to 40% of locations by the end of 2022, </w:t>
      </w:r>
      <w:r w:rsidRPr="00FD12D7">
        <w:t xml:space="preserve">60% of </w:t>
      </w:r>
      <w:r>
        <w:t>all locations</w:t>
      </w:r>
      <w:r w:rsidRPr="00FD12D7">
        <w:t xml:space="preserve"> by the end of 2023</w:t>
      </w:r>
      <w:r>
        <w:t>,</w:t>
      </w:r>
      <w:r w:rsidRPr="00FD12D7">
        <w:t xml:space="preserve"> 80</w:t>
      </w:r>
      <w:r>
        <w:t>%</w:t>
      </w:r>
      <w:r w:rsidRPr="00FD12D7">
        <w:t xml:space="preserve"> by the end of 2024</w:t>
      </w:r>
      <w:r>
        <w:t>, and 100% by 2025.</w:t>
      </w:r>
      <w:r>
        <w:rPr>
          <w:rStyle w:val="FootnoteReference"/>
        </w:rPr>
        <w:footnoteReference w:id="8"/>
      </w:r>
    </w:p>
    <w:p w:rsidR="00536F1D" w:rsidP="00536F1D" w14:paraId="604CEE94" w14:textId="77777777">
      <w:pPr>
        <w:spacing w:after="120"/>
        <w:ind w:firstLine="720"/>
      </w:pPr>
      <w:r>
        <w:t>AtLink</w:t>
      </w:r>
      <w:r>
        <w:t xml:space="preserve"> successfully completed the CAF Phase II auction application processes in 2019 and was authorized to receive </w:t>
      </w:r>
      <w:r w:rsidRPr="43C90C5C">
        <w:t>$4,762,674</w:t>
      </w:r>
      <w:r>
        <w:rPr>
          <w:szCs w:val="22"/>
        </w:rPr>
        <w:t xml:space="preserve"> </w:t>
      </w:r>
      <w:r w:rsidRPr="43C90C5C">
        <w:t>to serve 12,491 locations in 1,938 different census blocks in Oklahoma.</w:t>
      </w:r>
      <w:r>
        <w:rPr>
          <w:rStyle w:val="FootnoteReference"/>
        </w:rPr>
        <w:footnoteReference w:id="9"/>
      </w:r>
      <w:r w:rsidRPr="5674F222">
        <w:rPr>
          <w:szCs w:val="22"/>
        </w:rPr>
        <w:t xml:space="preserve">  </w:t>
      </w:r>
      <w:r w:rsidRPr="43C90C5C">
        <w:t>As indicated in the Transfer Public Notice</w:t>
      </w:r>
      <w:r w:rsidRPr="5674F222">
        <w:rPr>
          <w:szCs w:val="22"/>
        </w:rPr>
        <w:t xml:space="preserve">, </w:t>
      </w:r>
      <w:r w:rsidRPr="43C90C5C">
        <w:t>AtLink</w:t>
      </w:r>
      <w:r w:rsidRPr="43C90C5C">
        <w:t xml:space="preserve"> will retain its current CAF Phase II auction obligations in addition to assuming Cherokee’s obligations in the Assigned Census Blocks.</w:t>
      </w:r>
      <w:r>
        <w:rPr>
          <w:rStyle w:val="FootnoteReference"/>
        </w:rPr>
        <w:footnoteReference w:id="10"/>
      </w:r>
      <w:r w:rsidRPr="001C0C29">
        <w:t xml:space="preserve"> </w:t>
      </w:r>
      <w:r>
        <w:t xml:space="preserve"> In addition, </w:t>
      </w:r>
      <w:r w:rsidRPr="5674F222">
        <w:t>AtLink</w:t>
      </w:r>
      <w:r w:rsidRPr="026292FA">
        <w:rPr>
          <w:szCs w:val="22"/>
        </w:rPr>
        <w:t xml:space="preserve"> </w:t>
      </w:r>
      <w:r w:rsidRPr="5674F222">
        <w:t>states that because it is ahead of its required deployment obligations in its existing</w:t>
      </w:r>
      <w:r w:rsidRPr="026292FA">
        <w:rPr>
          <w:szCs w:val="22"/>
        </w:rPr>
        <w:t xml:space="preserve"> </w:t>
      </w:r>
      <w:r w:rsidRPr="5674F222">
        <w:t>blocks</w:t>
      </w:r>
      <w:r w:rsidRPr="026292FA">
        <w:rPr>
          <w:szCs w:val="22"/>
        </w:rPr>
        <w:t>,</w:t>
      </w:r>
      <w:r w:rsidRPr="43C90C5C">
        <w:t xml:space="preserve"> it</w:t>
      </w:r>
      <w:r w:rsidRPr="026292FA">
        <w:rPr>
          <w:szCs w:val="22"/>
        </w:rPr>
        <w:t xml:space="preserve"> </w:t>
      </w:r>
      <w:r>
        <w:t xml:space="preserve">can </w:t>
      </w:r>
      <w:r w:rsidRPr="5674F222">
        <w:t xml:space="preserve">take advantage of </w:t>
      </w:r>
      <w:r w:rsidRPr="026292FA">
        <w:rPr>
          <w:snapToGrid/>
          <w:kern w:val="0"/>
        </w:rPr>
        <w:t>economies of scale</w:t>
      </w:r>
      <w:r>
        <w:rPr>
          <w:snapToGrid/>
          <w:kern w:val="0"/>
          <w:szCs w:val="22"/>
        </w:rPr>
        <w:t xml:space="preserve"> </w:t>
      </w:r>
      <w:r>
        <w:t xml:space="preserve">to serve the Assigned Census Blocks </w:t>
      </w:r>
      <w:r w:rsidRPr="026292FA">
        <w:rPr>
          <w:snapToGrid/>
          <w:kern w:val="0"/>
        </w:rPr>
        <w:t>and will not incur additional debt obligations or otherwise substantially increase its costs.</w:t>
      </w:r>
      <w:r>
        <w:rPr>
          <w:rStyle w:val="FootnoteReference"/>
          <w:szCs w:val="22"/>
        </w:rPr>
        <w:footnoteReference w:id="11"/>
      </w:r>
      <w:r>
        <w:rPr>
          <w:snapToGrid/>
          <w:kern w:val="0"/>
          <w:szCs w:val="22"/>
        </w:rPr>
        <w:t xml:space="preserve"> </w:t>
      </w:r>
      <w:r w:rsidRPr="00433A96">
        <w:rPr>
          <w:snapToGrid/>
          <w:kern w:val="0"/>
          <w:szCs w:val="22"/>
        </w:rPr>
        <w:t xml:space="preserve"> </w:t>
      </w:r>
      <w:r>
        <w:t>AtLink</w:t>
      </w:r>
      <w:r>
        <w:t xml:space="preserve"> has also committed to meeting all CAF Phase II auction performance and deployment requirements, attested to having</w:t>
      </w:r>
      <w:r w:rsidRPr="026292FA">
        <w:rPr>
          <w:snapToGrid/>
          <w:kern w:val="0"/>
        </w:rPr>
        <w:t xml:space="preserve"> necessary managerial and operational expertise to meet buildout and performance obligations, </w:t>
      </w:r>
      <w:r>
        <w:t xml:space="preserve">and has committed to remaining financially </w:t>
      </w:r>
      <w:r w:rsidRPr="00D278B6">
        <w:t xml:space="preserve">and technically capable </w:t>
      </w:r>
      <w:r>
        <w:t>of</w:t>
      </w:r>
      <w:r w:rsidRPr="00D278B6">
        <w:t xml:space="preserve"> fulfill</w:t>
      </w:r>
      <w:r>
        <w:t>ing</w:t>
      </w:r>
      <w:r w:rsidRPr="00D278B6">
        <w:t xml:space="preserve"> the obligations required as a condition of receiving such support.</w:t>
      </w:r>
      <w:r>
        <w:rPr>
          <w:rStyle w:val="FootnoteReference"/>
          <w:szCs w:val="22"/>
        </w:rPr>
        <w:footnoteReference w:id="12"/>
      </w:r>
      <w:r>
        <w:t xml:space="preserve"> </w:t>
      </w:r>
    </w:p>
    <w:p w:rsidR="00536F1D" w:rsidP="00536F1D" w14:paraId="02699A9B" w14:textId="77777777">
      <w:pPr>
        <w:widowControl/>
        <w:tabs>
          <w:tab w:val="left" w:pos="720"/>
        </w:tabs>
        <w:spacing w:after="120"/>
        <w:ind w:firstLine="720"/>
      </w:pPr>
      <w:r>
        <w:t xml:space="preserve">We recognize that </w:t>
      </w:r>
      <w:r>
        <w:t>AtLink</w:t>
      </w:r>
      <w:r>
        <w:t xml:space="preserve"> has obtained a Letter of Credit securing the adjusted support amounts resulting from the transaction and has met all other prerequisites to its authorization for receiving support in the Assigned Census Blocks, including expansion of its preexisting ETC designation to cover the Assigned Census Blocks.  We thus authorize </w:t>
      </w:r>
      <w:r>
        <w:t>AtLink</w:t>
      </w:r>
      <w:r>
        <w:t xml:space="preserve"> to receive the support associated with the Assigned Census Blocks.  We direct USAC to disburse from the Universal Service Fund the revised CAF Phase II auction support amounts that have not already been disbursed to Cherokee as of the release of this public </w:t>
      </w:r>
      <w:r>
        <w:t xml:space="preserve">notice.  Such support will continue to be paid in monthly installments to the account on file for the 498 ID associated with </w:t>
      </w:r>
      <w:r>
        <w:t>AtLink’s</w:t>
      </w:r>
      <w:r>
        <w:t xml:space="preserve"> SAC 439077.</w:t>
      </w:r>
    </w:p>
    <w:p w:rsidR="00536F1D" w:rsidP="00536F1D" w14:paraId="285CE2EF" w14:textId="77777777">
      <w:pPr>
        <w:widowControl/>
        <w:tabs>
          <w:tab w:val="left" w:pos="720"/>
        </w:tabs>
        <w:spacing w:after="120"/>
        <w:rPr>
          <w:szCs w:val="22"/>
        </w:rPr>
      </w:pPr>
      <w:r>
        <w:tab/>
        <w:t xml:space="preserve"> </w:t>
      </w:r>
      <w:r>
        <w:rPr>
          <w:szCs w:val="22"/>
        </w:rPr>
        <w:t>For further information, please contact Nissa Laughner, Telecommunications Access Policy Division, Wireline Competition Bureau at 202-418-7400 or at TTY (202) 418-0484.</w:t>
      </w:r>
    </w:p>
    <w:p w:rsidR="00536F1D" w:rsidP="00536F1D" w14:paraId="0E7AAE44" w14:textId="77777777">
      <w:pPr>
        <w:widowControl/>
        <w:tabs>
          <w:tab w:val="left" w:pos="720"/>
        </w:tabs>
        <w:spacing w:after="120"/>
        <w:rPr>
          <w:szCs w:val="22"/>
        </w:rPr>
      </w:pPr>
    </w:p>
    <w:p w:rsidR="00536F1D" w:rsidP="00536F1D" w14:paraId="137C1D1B" w14:textId="77777777">
      <w:pPr>
        <w:widowControl/>
        <w:tabs>
          <w:tab w:val="left" w:pos="720"/>
        </w:tabs>
        <w:spacing w:after="120"/>
        <w:rPr>
          <w:szCs w:val="22"/>
        </w:rPr>
      </w:pPr>
    </w:p>
    <w:p w:rsidR="00536F1D" w:rsidRPr="00392ED2" w:rsidP="00536F1D" w14:paraId="1B754357" w14:textId="77777777">
      <w:pPr>
        <w:widowControl/>
        <w:tabs>
          <w:tab w:val="left" w:pos="720"/>
        </w:tabs>
        <w:spacing w:after="120"/>
        <w:jc w:val="center"/>
        <w:rPr>
          <w:b/>
          <w:bCs/>
          <w:szCs w:val="22"/>
        </w:rPr>
      </w:pPr>
      <w:r w:rsidRPr="00392ED2">
        <w:rPr>
          <w:b/>
          <w:bCs/>
          <w:szCs w:val="22"/>
        </w:rPr>
        <w:t>- FCC -</w:t>
      </w:r>
    </w:p>
    <w:p w:rsidR="00536F1D" w:rsidP="00536F1D" w14:paraId="5D41AD52" w14:textId="75FA47D9">
      <w:pPr>
        <w:rPr>
          <w:b/>
          <w:sz w:val="24"/>
        </w:rPr>
      </w:pPr>
    </w:p>
    <w:p w:rsidR="00F96F63" w:rsidRPr="00930ECF" w:rsidP="00F96F63" w14:paraId="6506EF5B" w14:textId="77777777">
      <w:pPr>
        <w:rPr>
          <w:sz w:val="24"/>
        </w:rPr>
      </w:pPr>
      <w:bookmarkStart w:id="0" w:name="TOChere"/>
    </w:p>
    <w:bookmarkEnd w:id="0"/>
    <w:p w:rsidR="00F96F63" w:rsidP="00F96F63" w14:paraId="56195332" w14:textId="77777777">
      <w:pPr>
        <w:rPr>
          <w:sz w:val="24"/>
        </w:rPr>
      </w:pPr>
    </w:p>
    <w:p w:rsidR="00930ECF" w:rsidRPr="00930ECF" w:rsidP="00F96F63" w14:paraId="2499768A"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C979E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FA0EF0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8F524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3011E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6F1D" w14:paraId="2E6549A6" w14:textId="77777777">
      <w:r>
        <w:separator/>
      </w:r>
    </w:p>
  </w:footnote>
  <w:footnote w:type="continuationSeparator" w:id="1">
    <w:p w:rsidR="00536F1D" w14:paraId="3D8917B5" w14:textId="77777777">
      <w:pPr>
        <w:rPr>
          <w:sz w:val="20"/>
        </w:rPr>
      </w:pPr>
      <w:r>
        <w:rPr>
          <w:sz w:val="20"/>
        </w:rPr>
        <w:t xml:space="preserve">(Continued from previous page)  </w:t>
      </w:r>
      <w:r>
        <w:rPr>
          <w:sz w:val="20"/>
        </w:rPr>
        <w:separator/>
      </w:r>
    </w:p>
  </w:footnote>
  <w:footnote w:type="continuationNotice" w:id="2">
    <w:p w:rsidR="00536F1D" w:rsidP="00910F12" w14:paraId="17489C60" w14:textId="77777777">
      <w:pPr>
        <w:jc w:val="right"/>
        <w:rPr>
          <w:sz w:val="20"/>
        </w:rPr>
      </w:pPr>
      <w:r>
        <w:rPr>
          <w:sz w:val="20"/>
        </w:rPr>
        <w:t>(continued….)</w:t>
      </w:r>
    </w:p>
  </w:footnote>
  <w:footnote w:id="3">
    <w:p w:rsidR="00536F1D" w:rsidRPr="00843DDE" w:rsidP="00536F1D" w14:paraId="7CA532B9" w14:textId="77777777">
      <w:pPr>
        <w:pStyle w:val="FootnoteText"/>
      </w:pPr>
      <w:r w:rsidRPr="00164674">
        <w:rPr>
          <w:rStyle w:val="FootnoteReference"/>
          <w:sz w:val="20"/>
        </w:rPr>
        <w:footnoteRef/>
      </w:r>
      <w:r w:rsidRPr="00164674">
        <w:t xml:space="preserve"> </w:t>
      </w:r>
      <w:r w:rsidRPr="00954154">
        <w:t xml:space="preserve">Domestic 214 Application Granted </w:t>
      </w:r>
      <w:r>
        <w:t>f</w:t>
      </w:r>
      <w:r w:rsidRPr="00954154">
        <w:t xml:space="preserve">or </w:t>
      </w:r>
      <w:r>
        <w:t>t</w:t>
      </w:r>
      <w:r w:rsidRPr="00954154">
        <w:t xml:space="preserve">he Transfer </w:t>
      </w:r>
      <w:r>
        <w:t>o</w:t>
      </w:r>
      <w:r w:rsidRPr="00954154">
        <w:t xml:space="preserve">f Certain Authorizations </w:t>
      </w:r>
      <w:r>
        <w:t>o</w:t>
      </w:r>
      <w:r w:rsidRPr="00954154">
        <w:t xml:space="preserve">f Cherokee Telephone Company </w:t>
      </w:r>
      <w:r>
        <w:t>t</w:t>
      </w:r>
      <w:r w:rsidRPr="00954154">
        <w:t xml:space="preserve">o </w:t>
      </w:r>
      <w:r w:rsidRPr="00954154">
        <w:t>AtLink</w:t>
      </w:r>
      <w:r w:rsidRPr="00954154">
        <w:t xml:space="preserve"> Services, LLC</w:t>
      </w:r>
      <w:r>
        <w:t xml:space="preserve">, WC Docket No. 21-423, </w:t>
      </w:r>
      <w:r w:rsidRPr="00954154">
        <w:t>DA</w:t>
      </w:r>
      <w:r>
        <w:t xml:space="preserve"> </w:t>
      </w:r>
      <w:r w:rsidRPr="00954154">
        <w:t>22-90</w:t>
      </w:r>
      <w:r>
        <w:t xml:space="preserve"> (WCB 2022) (Transfer Public Notice).</w:t>
      </w:r>
    </w:p>
  </w:footnote>
  <w:footnote w:id="4">
    <w:p w:rsidR="00536F1D" w:rsidRPr="00DB5B34" w:rsidP="00536F1D" w14:paraId="6897E668" w14:textId="77777777">
      <w:pPr>
        <w:pStyle w:val="FootnoteText"/>
      </w:pPr>
      <w:r w:rsidRPr="00595ECF">
        <w:rPr>
          <w:rStyle w:val="FootnoteReference"/>
        </w:rPr>
        <w:footnoteRef/>
      </w:r>
      <w:r>
        <w:rPr>
          <w:i/>
          <w:iCs/>
        </w:rPr>
        <w:t xml:space="preserve"> See</w:t>
      </w:r>
      <w:r>
        <w:t xml:space="preserve"> </w:t>
      </w:r>
      <w:r w:rsidRPr="0081064D">
        <w:t>Connect America Fund Phase II Auction Support Authorized for 77 Winning Bids, AU Docket No. 17-182, WC Docket No. 10-90, Public Notice,</w:t>
      </w:r>
      <w:r w:rsidRPr="00154FBD">
        <w:rPr>
          <w:i/>
          <w:iCs/>
        </w:rPr>
        <w:t xml:space="preserve"> </w:t>
      </w:r>
      <w:r w:rsidRPr="00154FBD">
        <w:t xml:space="preserve">35 FCC </w:t>
      </w:r>
      <w:r w:rsidRPr="00154FBD">
        <w:t>Rcd</w:t>
      </w:r>
      <w:r w:rsidRPr="00154FBD">
        <w:t xml:space="preserve"> 4869, 4875</w:t>
      </w:r>
      <w:r>
        <w:t xml:space="preserve">, </w:t>
      </w:r>
      <w:r w:rsidRPr="00154FBD">
        <w:t>Attach. A (Authorized Long Form Applicants and Winning Bids) (WCB</w:t>
      </w:r>
      <w:r>
        <w:t>/RBATF</w:t>
      </w:r>
      <w:r w:rsidRPr="00154FBD">
        <w:t xml:space="preserve"> 2020)</w:t>
      </w:r>
      <w:r>
        <w:t>.</w:t>
      </w:r>
    </w:p>
  </w:footnote>
  <w:footnote w:id="5">
    <w:p w:rsidR="00536F1D" w:rsidRPr="00595ECF" w:rsidP="00536F1D" w14:paraId="266EFFB8" w14:textId="77777777">
      <w:pPr>
        <w:pStyle w:val="FootnoteText"/>
      </w:pPr>
      <w:r w:rsidRPr="00595ECF">
        <w:rPr>
          <w:rStyle w:val="FootnoteReference"/>
        </w:rPr>
        <w:footnoteRef/>
      </w:r>
      <w:r w:rsidRPr="00595ECF">
        <w:t xml:space="preserve"> </w:t>
      </w:r>
      <w:r w:rsidRPr="001B3504">
        <w:rPr>
          <w:i/>
          <w:iCs/>
        </w:rPr>
        <w:t>See</w:t>
      </w:r>
      <w:r w:rsidRPr="003B45EC">
        <w:t xml:space="preserve"> Domestic Section 214 Application of Cherokee Telephone Company, Assignor, and </w:t>
      </w:r>
      <w:r w:rsidRPr="003B45EC">
        <w:t>AtLink</w:t>
      </w:r>
      <w:r w:rsidRPr="003B45EC">
        <w:t xml:space="preserve"> Services, LLC, Assignee, for Consent for the Assignment of Certain Assets of Cherokee Telephone Company to </w:t>
      </w:r>
      <w:r w:rsidRPr="003B45EC">
        <w:t>AtLink</w:t>
      </w:r>
      <w:r w:rsidRPr="003B45EC">
        <w:t xml:space="preserve"> Services, LLC Pursuant to Section 214 of the Communications Act of 1934, as Amended, WC Docket No. 21-423 (filed Oct. 27, 2021)</w:t>
      </w:r>
      <w:r>
        <w:t xml:space="preserve">, </w:t>
      </w:r>
      <w:hyperlink r:id="rId1" w:history="1">
        <w:r w:rsidRPr="00FF4EA9">
          <w:rPr>
            <w:rStyle w:val="Hyperlink"/>
          </w:rPr>
          <w:t>https://ecfsapi.fcc.gov/file/102742244794/AtLink%20Services%20Transfer%20Application.pdf</w:t>
        </w:r>
      </w:hyperlink>
      <w:r>
        <w:t xml:space="preserve"> </w:t>
      </w:r>
      <w:r w:rsidRPr="003B45EC">
        <w:t xml:space="preserve"> (Application)</w:t>
      </w:r>
      <w:r>
        <w:t xml:space="preserve"> at Exhibit 1.  </w:t>
      </w:r>
      <w:r w:rsidRPr="003B45EC">
        <w:t xml:space="preserve">On November 15, 2021, Applicants filed a supplement to the Application.  Letter from Stephen E. Coran, Counsel for Applicants, to Marlene H. Dortch, Secretary, FCC, WC Docket No. 21-423 (Nov. 15, 2021) (Supplement).  </w:t>
      </w:r>
    </w:p>
  </w:footnote>
  <w:footnote w:id="6">
    <w:p w:rsidR="00536F1D" w:rsidP="00536F1D" w14:paraId="0B550AD1" w14:textId="77777777">
      <w:pPr>
        <w:pStyle w:val="FootnoteText"/>
      </w:pPr>
      <w:r>
        <w:rPr>
          <w:rStyle w:val="FootnoteReference"/>
        </w:rPr>
        <w:footnoteRef/>
      </w:r>
      <w:r>
        <w:t xml:space="preserve"> Transfer Public Notice, DA 22-90; Letter to Marlene K. Dortch from </w:t>
      </w:r>
      <w:r w:rsidRPr="00197E82">
        <w:t>Stephen E. Coran</w:t>
      </w:r>
      <w:r>
        <w:t xml:space="preserve">, Counsel for </w:t>
      </w:r>
      <w:r>
        <w:t>AtLink</w:t>
      </w:r>
      <w:r>
        <w:t xml:space="preserve"> Services, LLC, </w:t>
      </w:r>
      <w:r w:rsidRPr="00197E82">
        <w:t>WC Docket No. 21‐423</w:t>
      </w:r>
      <w:r>
        <w:t xml:space="preserve"> (Apr. 27, 2022) (notifying Commission of the consummation of this transaction). </w:t>
      </w:r>
    </w:p>
  </w:footnote>
  <w:footnote w:id="7">
    <w:p w:rsidR="00536F1D" w:rsidRPr="00164674" w:rsidP="00536F1D" w14:paraId="588CA6A7" w14:textId="77777777">
      <w:pPr>
        <w:pStyle w:val="FootnoteText"/>
      </w:pPr>
      <w:r w:rsidRPr="43C90C5C">
        <w:rPr>
          <w:rStyle w:val="FootnoteReference"/>
          <w:sz w:val="20"/>
        </w:rPr>
        <w:footnoteRef/>
      </w:r>
      <w:r w:rsidRPr="00164674">
        <w:t xml:space="preserve"> </w:t>
      </w:r>
      <w:r w:rsidRPr="43C90C5C">
        <w:rPr>
          <w:i/>
          <w:iCs/>
        </w:rPr>
        <w:t xml:space="preserve">See </w:t>
      </w:r>
      <w:r w:rsidRPr="43C90C5C">
        <w:rPr>
          <w:i/>
          <w:iCs/>
          <w:snapToGrid w:val="0"/>
          <w:color w:val="000000"/>
        </w:rPr>
        <w:t>Connect America Fund et al</w:t>
      </w:r>
      <w:r w:rsidRPr="00164674">
        <w:rPr>
          <w:snapToGrid w:val="0"/>
          <w:color w:val="000000"/>
        </w:rPr>
        <w:t>., WC Docket No. 10-90 et al.</w:t>
      </w:r>
      <w:r w:rsidRPr="00164674">
        <w:rPr>
          <w:snapToGrid w:val="0"/>
        </w:rPr>
        <w:t xml:space="preserve">, Order on Reconsideration, 33 FCC </w:t>
      </w:r>
      <w:r w:rsidRPr="00164674">
        <w:rPr>
          <w:snapToGrid w:val="0"/>
        </w:rPr>
        <w:t>Rcd</w:t>
      </w:r>
      <w:r w:rsidRPr="00164674">
        <w:rPr>
          <w:snapToGrid w:val="0"/>
        </w:rPr>
        <w:t xml:space="preserve"> 1380,</w:t>
      </w:r>
      <w:r>
        <w:rPr>
          <w:snapToGrid w:val="0"/>
        </w:rPr>
        <w:t xml:space="preserve"> </w:t>
      </w:r>
      <w:r w:rsidRPr="00164674">
        <w:rPr>
          <w:snapToGrid w:val="0"/>
        </w:rPr>
        <w:t>1390, para. 25 (2018) (“</w:t>
      </w:r>
      <w:r w:rsidRPr="00164674">
        <w:rPr>
          <w:snapToGrid w:val="0"/>
        </w:rPr>
        <w:t>emphasi</w:t>
      </w:r>
      <w:r>
        <w:rPr>
          <w:snapToGrid w:val="0"/>
        </w:rPr>
        <w:t>z</w:t>
      </w:r>
      <w:r w:rsidRPr="00164674">
        <w:rPr>
          <w:snapToGrid w:val="0"/>
        </w:rPr>
        <w:t>[</w:t>
      </w:r>
      <w:r w:rsidRPr="00164674">
        <w:rPr>
          <w:snapToGrid w:val="0"/>
        </w:rPr>
        <w:t>ing</w:t>
      </w:r>
      <w:r w:rsidRPr="00164674">
        <w:rPr>
          <w:snapToGrid w:val="0"/>
        </w:rPr>
        <w:t>] that applicants are required to conduct the necessary due diligence prior to submitting their short-form applications, including identifying locations they will serve within the eligible areas, so that they can certify that they will be able to meet the relevant public interest obligations when they submit their applications.”)</w:t>
      </w:r>
      <w:r w:rsidRPr="00164674">
        <w:t xml:space="preserve">; </w:t>
      </w:r>
      <w:r w:rsidRPr="43C90C5C">
        <w:rPr>
          <w:i/>
          <w:iCs/>
        </w:rPr>
        <w:t>see also</w:t>
      </w:r>
      <w:r w:rsidRPr="00164674">
        <w:t xml:space="preserve"> </w:t>
      </w:r>
      <w:r w:rsidRPr="43C90C5C">
        <w:rPr>
          <w:i/>
          <w:iCs/>
        </w:rPr>
        <w:t>id</w:t>
      </w:r>
      <w:r w:rsidRPr="00164674">
        <w:t>. at 5966, para. 47 (acknowledging that the risk of nonc</w:t>
      </w:r>
      <w:r>
        <w:t>o</w:t>
      </w:r>
      <w:r w:rsidRPr="00164674">
        <w:t xml:space="preserve">mpliance is a factor in the bidding process but emphasizing that recipients of support awarded through a competitive bidding process generally have control over project areas and size and bid amounts).  </w:t>
      </w:r>
    </w:p>
  </w:footnote>
  <w:footnote w:id="8">
    <w:p w:rsidR="00536F1D" w:rsidP="00536F1D" w14:paraId="26E22D63" w14:textId="77777777">
      <w:pPr>
        <w:pStyle w:val="FootnoteText"/>
      </w:pPr>
      <w:r>
        <w:rPr>
          <w:rStyle w:val="FootnoteReference"/>
        </w:rPr>
        <w:footnoteRef/>
      </w:r>
      <w:r>
        <w:t xml:space="preserve"> </w:t>
      </w:r>
      <w:r w:rsidRPr="00843DDE">
        <w:t xml:space="preserve">47 CFR § 54.316(b)(4); </w:t>
      </w:r>
      <w:r w:rsidRPr="00010B65">
        <w:rPr>
          <w:i/>
        </w:rPr>
        <w:t>Connect America Fund et al.</w:t>
      </w:r>
      <w:r w:rsidRPr="00010B65">
        <w:t xml:space="preserve">, Report and Order and Further Notice of Proposed Rulemaking, 31 FCC </w:t>
      </w:r>
      <w:r w:rsidRPr="00010B65">
        <w:t>Rcd</w:t>
      </w:r>
      <w:r w:rsidRPr="00010B65">
        <w:t xml:space="preserve"> 5949</w:t>
      </w:r>
      <w:r>
        <w:t xml:space="preserve">, 6011, para. 174 </w:t>
      </w:r>
      <w:r w:rsidRPr="008A5853">
        <w:t>(2016)</w:t>
      </w:r>
      <w:r w:rsidRPr="00843DDE">
        <w:t>.</w:t>
      </w:r>
      <w:r>
        <w:t xml:space="preserve">  </w:t>
      </w:r>
      <w:r w:rsidRPr="00164674">
        <w:t>We have provided a summary of the various obligations of authorized CAF Phase II auction support recipients in prior authorization public notices,</w:t>
      </w:r>
      <w:r>
        <w:t xml:space="preserve"> including the authorization of </w:t>
      </w:r>
      <w:r>
        <w:t>AtLink</w:t>
      </w:r>
      <w:r w:rsidRPr="00164674">
        <w:t xml:space="preserve">.  </w:t>
      </w:r>
      <w:r w:rsidRPr="00843DDE">
        <w:rPr>
          <w:i/>
          <w:iCs/>
        </w:rPr>
        <w:t xml:space="preserve">See </w:t>
      </w:r>
      <w:r>
        <w:rPr>
          <w:rStyle w:val="item-value"/>
        </w:rPr>
        <w:t xml:space="preserve">Connect America Fund Phase II Auction Support Authorized for 2,413 Winning Bids, </w:t>
      </w:r>
      <w:r>
        <w:t xml:space="preserve">AU </w:t>
      </w:r>
      <w:r w:rsidRPr="00595ECF">
        <w:t xml:space="preserve">Docket No. 17-182, WC Docket No. 10-90, </w:t>
      </w:r>
      <w:r>
        <w:rPr>
          <w:rStyle w:val="item-value"/>
        </w:rPr>
        <w:t xml:space="preserve">Public Notice, 34 FCC </w:t>
      </w:r>
      <w:r>
        <w:rPr>
          <w:rStyle w:val="item-value"/>
        </w:rPr>
        <w:t>Rcd</w:t>
      </w:r>
      <w:r>
        <w:rPr>
          <w:rStyle w:val="item-value"/>
        </w:rPr>
        <w:t xml:space="preserve"> 5966 (WCB/RBATF 2019) (</w:t>
      </w:r>
      <w:r>
        <w:rPr>
          <w:rStyle w:val="item-value"/>
        </w:rPr>
        <w:t>AtLink</w:t>
      </w:r>
      <w:r>
        <w:rPr>
          <w:rStyle w:val="item-value"/>
        </w:rPr>
        <w:t xml:space="preserve"> Authorization Public Notice).  </w:t>
      </w:r>
      <w:r w:rsidRPr="00164674">
        <w:t>As stated therein, the list is not intended to be comprehensive and all authorized parties are still responsible for conducting the due diligence required to comply with universal service fund requirements and the Commission’s rules.</w:t>
      </w:r>
      <w:r>
        <w:t xml:space="preserve">  </w:t>
      </w:r>
      <w:r w:rsidRPr="0051284A">
        <w:rPr>
          <w:i/>
          <w:iCs/>
        </w:rPr>
        <w:t>See</w:t>
      </w:r>
      <w:r>
        <w:rPr>
          <w:i/>
          <w:iCs/>
        </w:rPr>
        <w:t xml:space="preserve"> id.</w:t>
      </w:r>
    </w:p>
  </w:footnote>
  <w:footnote w:id="9">
    <w:p w:rsidR="00536F1D" w:rsidRPr="00595ECF" w:rsidP="00536F1D" w14:paraId="4DF3E4D6" w14:textId="77777777">
      <w:pPr>
        <w:pStyle w:val="FootnoteText"/>
      </w:pPr>
      <w:r w:rsidRPr="00595ECF">
        <w:rPr>
          <w:rStyle w:val="FootnoteReference"/>
        </w:rPr>
        <w:footnoteRef/>
      </w:r>
      <w:r w:rsidRPr="00595ECF">
        <w:t xml:space="preserve"> </w:t>
      </w:r>
      <w:r>
        <w:rPr>
          <w:rStyle w:val="item-value"/>
        </w:rPr>
        <w:t xml:space="preserve">Connect America Fund Phase II Auction Support Authorized for 2,413 Winning Bids, </w:t>
      </w:r>
      <w:r>
        <w:t xml:space="preserve">AU </w:t>
      </w:r>
      <w:r w:rsidRPr="00595ECF">
        <w:t xml:space="preserve">Docket No. 17-182, WC Docket No. 10-90, </w:t>
      </w:r>
      <w:r>
        <w:rPr>
          <w:rStyle w:val="item-value"/>
        </w:rPr>
        <w:t xml:space="preserve">Public Notice, 34 FCC </w:t>
      </w:r>
      <w:r>
        <w:rPr>
          <w:rStyle w:val="item-value"/>
        </w:rPr>
        <w:t>Rcd</w:t>
      </w:r>
      <w:r>
        <w:rPr>
          <w:rStyle w:val="item-value"/>
        </w:rPr>
        <w:t xml:space="preserve"> 5966 at Attach. A (WCB/RBATF 2019) (</w:t>
      </w:r>
      <w:r>
        <w:rPr>
          <w:rStyle w:val="item-value"/>
        </w:rPr>
        <w:t>AtLink</w:t>
      </w:r>
      <w:r>
        <w:rPr>
          <w:rStyle w:val="item-value"/>
        </w:rPr>
        <w:t xml:space="preserve"> Authorization Public Notice). </w:t>
      </w:r>
    </w:p>
  </w:footnote>
  <w:footnote w:id="10">
    <w:p w:rsidR="00536F1D" w:rsidP="00536F1D" w14:paraId="209ED696" w14:textId="77777777">
      <w:pPr>
        <w:pStyle w:val="FootnoteText"/>
      </w:pPr>
      <w:r>
        <w:rPr>
          <w:rStyle w:val="FootnoteReference"/>
        </w:rPr>
        <w:footnoteRef/>
      </w:r>
      <w:r>
        <w:t xml:space="preserve"> </w:t>
      </w:r>
      <w:r w:rsidRPr="00E557AD">
        <w:rPr>
          <w:i/>
          <w:iCs/>
        </w:rPr>
        <w:t>See</w:t>
      </w:r>
      <w:r>
        <w:t xml:space="preserve"> Transfer Public Notice at 3.</w:t>
      </w:r>
    </w:p>
  </w:footnote>
  <w:footnote w:id="11">
    <w:p w:rsidR="00536F1D" w:rsidRPr="00392ED2" w:rsidP="00536F1D" w14:paraId="089B011A" w14:textId="77777777">
      <w:pPr>
        <w:widowControl/>
        <w:spacing w:after="120"/>
        <w:rPr>
          <w:sz w:val="20"/>
        </w:rPr>
      </w:pPr>
      <w:r w:rsidRPr="00392ED2">
        <w:rPr>
          <w:rStyle w:val="FootnoteReference"/>
          <w:snapToGrid/>
          <w:kern w:val="0"/>
          <w:sz w:val="20"/>
        </w:rPr>
        <w:footnoteRef/>
      </w:r>
      <w:r w:rsidRPr="00392ED2">
        <w:rPr>
          <w:rStyle w:val="FootnoteReference"/>
          <w:snapToGrid/>
          <w:kern w:val="0"/>
          <w:sz w:val="20"/>
        </w:rPr>
        <w:t xml:space="preserve"> </w:t>
      </w:r>
      <w:r w:rsidRPr="00392ED2">
        <w:rPr>
          <w:i/>
          <w:iCs/>
          <w:sz w:val="20"/>
        </w:rPr>
        <w:t>See</w:t>
      </w:r>
      <w:r w:rsidRPr="00392ED2">
        <w:rPr>
          <w:sz w:val="20"/>
        </w:rPr>
        <w:t xml:space="preserve"> </w:t>
      </w:r>
      <w:r w:rsidRPr="00392ED2">
        <w:rPr>
          <w:i/>
          <w:iCs/>
          <w:sz w:val="20"/>
        </w:rPr>
        <w:t>id.</w:t>
      </w:r>
    </w:p>
  </w:footnote>
  <w:footnote w:id="12">
    <w:p w:rsidR="00536F1D" w:rsidP="00536F1D" w14:paraId="3D85F64C" w14:textId="77777777">
      <w:pPr>
        <w:widowControl/>
        <w:spacing w:after="120"/>
      </w:pPr>
      <w:r w:rsidRPr="00392ED2">
        <w:rPr>
          <w:rStyle w:val="FootnoteReference"/>
          <w:snapToGrid/>
          <w:kern w:val="0"/>
          <w:sz w:val="20"/>
        </w:rPr>
        <w:footnoteRef/>
      </w:r>
      <w:r w:rsidRPr="00392ED2">
        <w:rPr>
          <w:sz w:val="20"/>
        </w:rPr>
        <w:t xml:space="preserve"> </w:t>
      </w:r>
      <w:r w:rsidRPr="00392ED2">
        <w:rPr>
          <w:i/>
          <w:iCs/>
          <w:sz w:val="20"/>
        </w:rPr>
        <w:t>See id</w:t>
      </w:r>
      <w:r w:rsidRPr="00392ED2">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E4B40BD" w14:textId="652D20AA">
    <w:pPr>
      <w:tabs>
        <w:tab w:val="center" w:pos="4680"/>
        <w:tab w:val="right" w:pos="9360"/>
      </w:tabs>
    </w:pPr>
    <w:r w:rsidRPr="009838BC">
      <w:rPr>
        <w:b/>
      </w:rPr>
      <w:tab/>
      <w:t>Federal Communications Commission</w:t>
    </w:r>
    <w:r w:rsidRPr="009838BC">
      <w:rPr>
        <w:b/>
      </w:rPr>
      <w:tab/>
    </w:r>
    <w:r w:rsidR="00536F1D">
      <w:rPr>
        <w:b/>
      </w:rPr>
      <w:t>DA  22-530</w:t>
    </w:r>
  </w:p>
  <w:p w:rsidR="009838BC" w:rsidRPr="009838BC" w:rsidP="009838BC" w14:paraId="07FF85A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70B810B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25449C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AD2B4BB" w14:textId="77777777">
                <w:pPr>
                  <w:rPr>
                    <w:rFonts w:ascii="Arial" w:hAnsi="Arial"/>
                    <w:b/>
                    <w:snapToGrid/>
                  </w:rPr>
                </w:pPr>
                <w:r>
                  <w:rPr>
                    <w:rFonts w:ascii="Arial" w:hAnsi="Arial"/>
                    <w:b/>
                  </w:rPr>
                  <w:t>Federal Communications Commission</w:t>
                </w:r>
              </w:p>
              <w:p w:rsidR="00DE0AB8" w:rsidP="00DE0AB8" w14:paraId="106C4DF7" w14:textId="77777777">
                <w:pPr>
                  <w:rPr>
                    <w:rFonts w:ascii="Arial" w:hAnsi="Arial"/>
                    <w:b/>
                  </w:rPr>
                </w:pPr>
                <w:r>
                  <w:rPr>
                    <w:rFonts w:ascii="Arial" w:hAnsi="Arial"/>
                    <w:b/>
                  </w:rPr>
                  <w:t>45 L Street NE</w:t>
                </w:r>
              </w:p>
              <w:p w:rsidR="009838BC" w:rsidP="00DE0AB8" w14:paraId="25F7C30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69FBF4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844.8pt,56.7pt" to="1312.8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1F9DA0C" w14:textId="77777777">
                <w:pPr>
                  <w:spacing w:before="40"/>
                  <w:jc w:val="right"/>
                  <w:rPr>
                    <w:rFonts w:ascii="Arial" w:hAnsi="Arial"/>
                    <w:b/>
                    <w:sz w:val="16"/>
                  </w:rPr>
                </w:pPr>
                <w:r>
                  <w:rPr>
                    <w:rFonts w:ascii="Arial" w:hAnsi="Arial"/>
                    <w:b/>
                    <w:sz w:val="16"/>
                  </w:rPr>
                  <w:t>News Media Information 202 / 418-0500</w:t>
                </w:r>
              </w:p>
              <w:p w:rsidR="009838BC" w:rsidP="009838BC" w14:paraId="092EB78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6043A695" w14:textId="77777777">
                <w:pPr>
                  <w:jc w:val="right"/>
                </w:pPr>
                <w:r>
                  <w:rPr>
                    <w:rFonts w:ascii="Arial" w:hAnsi="Arial"/>
                    <w:b/>
                    <w:sz w:val="16"/>
                  </w:rPr>
                  <w:t>TTY: 1-888-835-5322</w:t>
                </w:r>
              </w:p>
            </w:txbxContent>
          </v:textbox>
        </v:shape>
      </w:pict>
    </w:r>
  </w:p>
  <w:p w:rsidR="006F7393" w:rsidRPr="009838BC" w:rsidP="009838BC" w14:paraId="4979A1B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1D"/>
    <w:rsid w:val="000072CE"/>
    <w:rsid w:val="00010B65"/>
    <w:rsid w:val="00013A8B"/>
    <w:rsid w:val="00021445"/>
    <w:rsid w:val="00036039"/>
    <w:rsid w:val="00037F90"/>
    <w:rsid w:val="00046A73"/>
    <w:rsid w:val="000875BF"/>
    <w:rsid w:val="00096D8C"/>
    <w:rsid w:val="000C0B65"/>
    <w:rsid w:val="000E3D42"/>
    <w:rsid w:val="000E5884"/>
    <w:rsid w:val="00122BD5"/>
    <w:rsid w:val="00154FBD"/>
    <w:rsid w:val="00164674"/>
    <w:rsid w:val="001979D9"/>
    <w:rsid w:val="00197E82"/>
    <w:rsid w:val="001B3504"/>
    <w:rsid w:val="001C0C29"/>
    <w:rsid w:val="001D6BCF"/>
    <w:rsid w:val="001E01CA"/>
    <w:rsid w:val="002060D9"/>
    <w:rsid w:val="00226822"/>
    <w:rsid w:val="00260594"/>
    <w:rsid w:val="00285017"/>
    <w:rsid w:val="002A2D2E"/>
    <w:rsid w:val="00343749"/>
    <w:rsid w:val="00357D50"/>
    <w:rsid w:val="003925DC"/>
    <w:rsid w:val="00392ED2"/>
    <w:rsid w:val="003B0550"/>
    <w:rsid w:val="003B45EC"/>
    <w:rsid w:val="003B694F"/>
    <w:rsid w:val="003F171C"/>
    <w:rsid w:val="00412FC5"/>
    <w:rsid w:val="00422276"/>
    <w:rsid w:val="004242F1"/>
    <w:rsid w:val="00433A96"/>
    <w:rsid w:val="00445A00"/>
    <w:rsid w:val="00451B0F"/>
    <w:rsid w:val="0046125F"/>
    <w:rsid w:val="00487524"/>
    <w:rsid w:val="00496106"/>
    <w:rsid w:val="004C12D0"/>
    <w:rsid w:val="004C2EE3"/>
    <w:rsid w:val="004E4A22"/>
    <w:rsid w:val="00511968"/>
    <w:rsid w:val="0051284A"/>
    <w:rsid w:val="00515C30"/>
    <w:rsid w:val="00536F1D"/>
    <w:rsid w:val="0055614C"/>
    <w:rsid w:val="00595ECF"/>
    <w:rsid w:val="00607BA5"/>
    <w:rsid w:val="00626EB6"/>
    <w:rsid w:val="006353A3"/>
    <w:rsid w:val="00655D03"/>
    <w:rsid w:val="00683F84"/>
    <w:rsid w:val="006A6A81"/>
    <w:rsid w:val="006E26AF"/>
    <w:rsid w:val="006F7393"/>
    <w:rsid w:val="0070224F"/>
    <w:rsid w:val="007115F7"/>
    <w:rsid w:val="00785689"/>
    <w:rsid w:val="0079754B"/>
    <w:rsid w:val="007A1E6D"/>
    <w:rsid w:val="0081064D"/>
    <w:rsid w:val="00822CE0"/>
    <w:rsid w:val="00837C62"/>
    <w:rsid w:val="00841AB1"/>
    <w:rsid w:val="00843DDE"/>
    <w:rsid w:val="0089222A"/>
    <w:rsid w:val="008A5853"/>
    <w:rsid w:val="008C22FD"/>
    <w:rsid w:val="00910F12"/>
    <w:rsid w:val="00926503"/>
    <w:rsid w:val="00930ECF"/>
    <w:rsid w:val="00954154"/>
    <w:rsid w:val="009838BC"/>
    <w:rsid w:val="00A04A63"/>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278B6"/>
    <w:rsid w:val="00DA2529"/>
    <w:rsid w:val="00DB130A"/>
    <w:rsid w:val="00DB5B34"/>
    <w:rsid w:val="00DC10A1"/>
    <w:rsid w:val="00DC655F"/>
    <w:rsid w:val="00DD7EBD"/>
    <w:rsid w:val="00DE0AB8"/>
    <w:rsid w:val="00DF62B6"/>
    <w:rsid w:val="00E07225"/>
    <w:rsid w:val="00E155B7"/>
    <w:rsid w:val="00E5409F"/>
    <w:rsid w:val="00E557AD"/>
    <w:rsid w:val="00EC0185"/>
    <w:rsid w:val="00F021FA"/>
    <w:rsid w:val="00F57ACA"/>
    <w:rsid w:val="00F62E97"/>
    <w:rsid w:val="00F64209"/>
    <w:rsid w:val="00F86E0D"/>
    <w:rsid w:val="00F93BF5"/>
    <w:rsid w:val="00F96F63"/>
    <w:rsid w:val="00FD12D7"/>
    <w:rsid w:val="00FF4EA9"/>
    <w:rsid w:val="026292FA"/>
    <w:rsid w:val="43C90C5C"/>
    <w:rsid w:val="5674F2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FF9D03"/>
  <w15:chartTrackingRefBased/>
  <w15:docId w15:val="{74587556-867F-44A5-B910-D33277AD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536F1D"/>
  </w:style>
  <w:style w:type="character" w:customStyle="1" w:styleId="item-value">
    <w:name w:val="item-value"/>
    <w:basedOn w:val="DefaultParagraphFont"/>
    <w:rsid w:val="0053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2742244794/AtLink%20Services%20Transfer%20Application.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