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D5D85FE" w14:textId="182085D4">
      <w:pPr>
        <w:jc w:val="right"/>
        <w:rPr>
          <w:b/>
          <w:sz w:val="24"/>
        </w:rPr>
      </w:pPr>
      <w:r>
        <w:rPr>
          <w:b/>
          <w:sz w:val="24"/>
        </w:rPr>
        <w:t>DA  22-470</w:t>
      </w:r>
    </w:p>
    <w:p w:rsidR="00013A8B" w:rsidRPr="00B20363" w:rsidP="00013A8B" w14:paraId="07EA6A52" w14:textId="150FC543">
      <w:pPr>
        <w:spacing w:before="60"/>
        <w:jc w:val="right"/>
        <w:rPr>
          <w:b/>
          <w:sz w:val="24"/>
        </w:rPr>
      </w:pPr>
      <w:r>
        <w:rPr>
          <w:b/>
          <w:sz w:val="24"/>
        </w:rPr>
        <w:t xml:space="preserve">Released:  </w:t>
      </w:r>
      <w:r w:rsidR="00906F21">
        <w:rPr>
          <w:b/>
          <w:sz w:val="24"/>
        </w:rPr>
        <w:t>April 28, 2022</w:t>
      </w:r>
    </w:p>
    <w:p w:rsidR="00013A8B" w:rsidP="00013A8B" w14:paraId="46FD87CE" w14:textId="77777777">
      <w:pPr>
        <w:jc w:val="right"/>
        <w:rPr>
          <w:sz w:val="24"/>
        </w:rPr>
      </w:pPr>
    </w:p>
    <w:p w:rsidR="00013A8B" w:rsidRPr="00B20363" w:rsidP="00013A8B" w14:paraId="074FD6A3" w14:textId="0BC70788">
      <w:pPr>
        <w:spacing w:after="240"/>
        <w:jc w:val="center"/>
        <w:rPr>
          <w:rFonts w:ascii="Times New Roman Bold" w:hAnsi="Times New Roman Bold"/>
          <w:b/>
          <w:caps/>
          <w:sz w:val="24"/>
        </w:rPr>
      </w:pPr>
      <w:r w:rsidRPr="00906F21">
        <w:rPr>
          <w:rFonts w:ascii="Times New Roman Bold" w:hAnsi="Times New Roman Bold"/>
          <w:b/>
          <w:bCs/>
          <w:caps/>
          <w:sz w:val="24"/>
        </w:rPr>
        <w:t>WIRELINE COMPETITION BUREAU SEEKS COMMENT ON PETITION FILED BY AT&amp;T SERVICES, INC.</w:t>
      </w:r>
    </w:p>
    <w:p w:rsidR="00013A8B" w:rsidP="00013A8B" w14:paraId="51958F0B" w14:textId="3216C536">
      <w:pPr>
        <w:jc w:val="center"/>
        <w:rPr>
          <w:b/>
          <w:sz w:val="24"/>
        </w:rPr>
      </w:pPr>
      <w:r>
        <w:rPr>
          <w:b/>
          <w:sz w:val="24"/>
        </w:rPr>
        <w:t>WC Docket No. 21-450</w:t>
      </w:r>
    </w:p>
    <w:p w:rsidR="00906F21" w:rsidP="00906F21" w14:paraId="2E986CF4" w14:textId="24386535">
      <w:pPr>
        <w:rPr>
          <w:b/>
          <w:sz w:val="24"/>
        </w:rPr>
      </w:pPr>
    </w:p>
    <w:p w:rsidR="00906F21" w:rsidP="00906F21" w14:paraId="228F77AD" w14:textId="54FAF4F8">
      <w:pPr>
        <w:rPr>
          <w:b/>
          <w:bCs/>
          <w:sz w:val="24"/>
        </w:rPr>
      </w:pPr>
      <w:r w:rsidRPr="00906F21">
        <w:rPr>
          <w:b/>
          <w:bCs/>
          <w:sz w:val="24"/>
        </w:rPr>
        <w:t xml:space="preserve">Comment Date:  May </w:t>
      </w:r>
      <w:r w:rsidR="00C80E6F">
        <w:rPr>
          <w:b/>
          <w:bCs/>
          <w:sz w:val="24"/>
        </w:rPr>
        <w:t>6</w:t>
      </w:r>
      <w:r w:rsidRPr="00906F21">
        <w:rPr>
          <w:b/>
          <w:bCs/>
          <w:sz w:val="24"/>
        </w:rPr>
        <w:t>, 2022</w:t>
      </w:r>
    </w:p>
    <w:p w:rsidR="00C80E6F" w:rsidP="00906F21" w14:paraId="4B9DB276" w14:textId="7BD43D7E">
      <w:pPr>
        <w:rPr>
          <w:b/>
          <w:bCs/>
          <w:sz w:val="24"/>
        </w:rPr>
      </w:pPr>
    </w:p>
    <w:p w:rsidR="00C80E6F" w:rsidRPr="00C9551A" w:rsidP="00C80E6F" w14:paraId="0F78E47A" w14:textId="77777777">
      <w:pPr>
        <w:spacing w:after="120"/>
        <w:ind w:firstLine="720"/>
        <w:rPr>
          <w:szCs w:val="22"/>
        </w:rPr>
      </w:pPr>
      <w:r>
        <w:rPr>
          <w:szCs w:val="22"/>
        </w:rPr>
        <w:t>The Wireline Competition Bureau seeks comment on a petition filed by AT&amp;T Services, Inc.  (AT&amp;T).  AT&amp;T seeks an expedited waiver of sections 54.1808(c) and 54.1809(c) of the Commission’s rules with respect to customers who receive an Affordable Connectivity Program (ACP) benefit on its grandfathered service plans that use Asymmetric Digital Subscriber Line (“ASDL”) technology.  AT&amp;T states that due to technical limitations, where the non-usage rules apply and the customer receives an ACP benefit on its grandfathered service plans that use ASDL technology, AT&amp;T is unable to capture usage information necessary to comply with the non-usage customer notice and de-enrollment requirements.</w:t>
      </w:r>
      <w:r>
        <w:rPr>
          <w:rStyle w:val="FootnoteReference"/>
          <w:szCs w:val="22"/>
        </w:rPr>
        <w:footnoteReference w:id="3"/>
      </w:r>
      <w:r>
        <w:rPr>
          <w:szCs w:val="22"/>
        </w:rPr>
        <w:t xml:space="preserve">  </w:t>
      </w:r>
    </w:p>
    <w:p w:rsidR="00C80E6F" w:rsidRPr="00C9551A" w:rsidP="00C80E6F" w14:paraId="2BE1C71B" w14:textId="77777777">
      <w:pPr>
        <w:widowControl/>
        <w:autoSpaceDE w:val="0"/>
        <w:autoSpaceDN w:val="0"/>
        <w:adjustRightInd w:val="0"/>
        <w:spacing w:after="120"/>
        <w:ind w:firstLine="36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No. </w:t>
      </w:r>
      <w:r>
        <w:rPr>
          <w:b/>
          <w:bCs/>
          <w:iCs/>
          <w:szCs w:val="22"/>
        </w:rPr>
        <w:t>21-450</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r w:rsidRPr="00C9551A">
        <w:rPr>
          <w:szCs w:val="22"/>
        </w:rPr>
        <w:t xml:space="preserve">  </w:t>
      </w:r>
    </w:p>
    <w:p w:rsidR="00C80E6F" w:rsidRPr="00C9551A" w:rsidP="00C80E6F" w14:paraId="0FA025C9" w14:textId="77777777">
      <w:pPr>
        <w:pStyle w:val="ListParagraph"/>
        <w:numPr>
          <w:ilvl w:val="0"/>
          <w:numId w:val="7"/>
        </w:numPr>
        <w:spacing w:after="120"/>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C80E6F" w:rsidRPr="00C9551A" w:rsidP="00C80E6F" w14:paraId="727D5310" w14:textId="77777777">
      <w:pPr>
        <w:pStyle w:val="ListParagraph"/>
        <w:numPr>
          <w:ilvl w:val="0"/>
          <w:numId w:val="7"/>
        </w:numPr>
        <w:spacing w:after="120"/>
        <w:rPr>
          <w:szCs w:val="22"/>
        </w:rPr>
      </w:pPr>
      <w:r w:rsidRPr="00C9551A">
        <w:rPr>
          <w:szCs w:val="22"/>
        </w:rPr>
        <w:t>Paper Filers:  Parties who choose to file by paper must file an original and one copy of each filing</w:t>
      </w:r>
      <w:r w:rsidRPr="0010390B">
        <w:rPr>
          <w:szCs w:val="22"/>
        </w:rPr>
        <w:t>.</w:t>
      </w:r>
    </w:p>
    <w:p w:rsidR="00C80E6F" w:rsidRPr="00C9551A" w:rsidP="00C80E6F" w14:paraId="4CE87171"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C80E6F" w:rsidRPr="00C9551A" w:rsidP="00C80E6F" w14:paraId="0C54D3CC"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80E6F" w:rsidRPr="00C9551A" w:rsidP="00A45260" w14:paraId="2D4DE11F" w14:textId="77777777">
      <w:pPr>
        <w:pStyle w:val="ListParagraph"/>
        <w:widowControl/>
        <w:numPr>
          <w:ilvl w:val="0"/>
          <w:numId w:val="7"/>
        </w:numPr>
        <w:spacing w:after="120"/>
        <w:ind w:left="1080"/>
        <w:rPr>
          <w:szCs w:val="22"/>
        </w:rPr>
      </w:pPr>
      <w:r w:rsidRPr="00C9551A">
        <w:rPr>
          <w:szCs w:val="22"/>
        </w:rPr>
        <w:t xml:space="preserve">Effective March 19, 2020, and until further notice, the Commission no longer accepts any hand or messenger delivered filings.  This is a temporary measure taken to help protect the </w:t>
      </w:r>
      <w:r w:rsidRPr="00C9551A">
        <w:rPr>
          <w:szCs w:val="22"/>
        </w:rPr>
        <w:t>health and safety of individuals, and to mitigate the transmission of COVID-19.</w:t>
      </w:r>
      <w:r>
        <w:rPr>
          <w:rStyle w:val="FootnoteReference"/>
          <w:szCs w:val="22"/>
        </w:rPr>
        <w:footnoteReference w:id="6"/>
      </w:r>
      <w:r w:rsidRPr="00C9551A">
        <w:rPr>
          <w:szCs w:val="22"/>
        </w:rPr>
        <w:t xml:space="preserve">  </w:t>
      </w:r>
    </w:p>
    <w:p w:rsidR="00C80E6F" w:rsidRPr="00C9551A" w:rsidP="00C80E6F" w14:paraId="1FC23BF4"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C80E6F" w:rsidRPr="00C9551A" w:rsidP="00C80E6F" w14:paraId="7982C35F"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C80E6F" w:rsidRPr="00C9551A" w:rsidP="00C80E6F" w14:paraId="288E1B82" w14:textId="2B9A245B">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Rashann Duvall</w:t>
      </w:r>
      <w:r w:rsidRPr="00C9551A">
        <w:rPr>
          <w:snapToGrid/>
          <w:color w:val="010101"/>
          <w:kern w:val="0"/>
          <w:szCs w:val="22"/>
        </w:rPr>
        <w:t xml:space="preserve">, Telecommunications Access Policy Division, Wireline Competition Bureau at </w:t>
      </w:r>
      <w:r>
        <w:rPr>
          <w:snapToGrid/>
          <w:color w:val="010101"/>
          <w:kern w:val="0"/>
          <w:szCs w:val="22"/>
        </w:rPr>
        <w:t>Rashann.Duvall</w:t>
      </w:r>
      <w:r w:rsidRPr="00C9551A">
        <w:rPr>
          <w:snapToGrid/>
          <w:color w:val="010101"/>
          <w:kern w:val="0"/>
          <w:szCs w:val="22"/>
        </w:rPr>
        <w:t>@fcc.gov.</w:t>
      </w:r>
    </w:p>
    <w:p w:rsidR="00C80E6F" w:rsidRPr="00C9551A" w:rsidP="00C80E6F" w14:paraId="6EC217C6" w14:textId="77777777">
      <w:pPr>
        <w:widowControl/>
        <w:autoSpaceDE w:val="0"/>
        <w:autoSpaceDN w:val="0"/>
        <w:adjustRightInd w:val="0"/>
        <w:rPr>
          <w:snapToGrid/>
          <w:color w:val="010101"/>
          <w:kern w:val="0"/>
          <w:szCs w:val="22"/>
        </w:rPr>
      </w:pPr>
    </w:p>
    <w:p w:rsidR="00C80E6F" w:rsidP="00C80E6F" w14:paraId="184808CE" w14:textId="2717070F">
      <w:pPr>
        <w:jc w:val="center"/>
        <w:rPr>
          <w:b/>
          <w:sz w:val="24"/>
        </w:rPr>
      </w:pPr>
      <w:r w:rsidRPr="00C9551A">
        <w:rPr>
          <w:b/>
          <w:bCs/>
          <w:snapToGrid/>
          <w:color w:val="010101"/>
          <w:kern w:val="0"/>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A2EEC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5294D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088FD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703E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6F21" w14:paraId="59FC9B37" w14:textId="77777777">
      <w:r>
        <w:separator/>
      </w:r>
    </w:p>
  </w:footnote>
  <w:footnote w:type="continuationSeparator" w:id="1">
    <w:p w:rsidR="00906F21" w14:paraId="6242E713" w14:textId="77777777">
      <w:pPr>
        <w:rPr>
          <w:sz w:val="20"/>
        </w:rPr>
      </w:pPr>
      <w:r>
        <w:rPr>
          <w:sz w:val="20"/>
        </w:rPr>
        <w:t xml:space="preserve">(Continued from previous page)  </w:t>
      </w:r>
      <w:r>
        <w:rPr>
          <w:sz w:val="20"/>
        </w:rPr>
        <w:separator/>
      </w:r>
    </w:p>
  </w:footnote>
  <w:footnote w:type="continuationNotice" w:id="2">
    <w:p w:rsidR="00906F21" w:rsidP="00910F12" w14:paraId="2A8EBA59" w14:textId="77777777">
      <w:pPr>
        <w:jc w:val="right"/>
        <w:rPr>
          <w:sz w:val="20"/>
        </w:rPr>
      </w:pPr>
      <w:r>
        <w:rPr>
          <w:sz w:val="20"/>
        </w:rPr>
        <w:t>(continued….)</w:t>
      </w:r>
    </w:p>
  </w:footnote>
  <w:footnote w:id="3">
    <w:p w:rsidR="00C80E6F" w:rsidP="00C80E6F" w14:paraId="3976954E" w14:textId="77777777">
      <w:pPr>
        <w:pStyle w:val="FootnoteText"/>
      </w:pPr>
      <w:r>
        <w:rPr>
          <w:rStyle w:val="FootnoteReference"/>
        </w:rPr>
        <w:footnoteRef/>
      </w:r>
      <w:r>
        <w:t>AT&amp;T Petition for Limited Waiver , WC Docket No. 21-450, at 1-3 (filed Apr. 22, 2022).  AT&amp;T filed the petition on behalf of its affiliates identified in the waiver petition.</w:t>
      </w:r>
    </w:p>
  </w:footnote>
  <w:footnote w:id="4">
    <w:p w:rsidR="00C80E6F" w:rsidP="00C80E6F" w14:paraId="154A966C"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C80E6F" w:rsidRPr="001212ED" w:rsidP="00C80E6F" w14:paraId="697972D7"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C80E6F" w:rsidRPr="0038566F" w:rsidP="00C80E6F" w14:paraId="7337987D"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7">
    <w:p w:rsidR="00C80E6F" w:rsidRPr="00526349" w:rsidP="00C80E6F" w14:paraId="36E1F350"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C80E6F" w:rsidRPr="0014668A" w:rsidP="00C80E6F" w14:paraId="1540204D"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14D1C00" w14:textId="4A121F68">
    <w:pPr>
      <w:tabs>
        <w:tab w:val="center" w:pos="4680"/>
        <w:tab w:val="right" w:pos="9360"/>
      </w:tabs>
    </w:pPr>
    <w:r w:rsidRPr="009838BC">
      <w:rPr>
        <w:b/>
      </w:rPr>
      <w:tab/>
      <w:t>Federal Communications Commission</w:t>
    </w:r>
    <w:r w:rsidRPr="009838BC">
      <w:rPr>
        <w:b/>
      </w:rPr>
      <w:tab/>
    </w:r>
    <w:r w:rsidR="00C80E6F">
      <w:rPr>
        <w:b/>
      </w:rPr>
      <w:t>DA  22-470</w:t>
    </w:r>
  </w:p>
  <w:p w:rsidR="009838BC" w:rsidRPr="009838BC" w:rsidP="009838BC" w14:paraId="5637E0A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8B31AE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F59CE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41C5187" w14:textId="77777777">
                <w:pPr>
                  <w:rPr>
                    <w:rFonts w:ascii="Arial" w:hAnsi="Arial"/>
                    <w:b/>
                    <w:snapToGrid/>
                  </w:rPr>
                </w:pPr>
                <w:r>
                  <w:rPr>
                    <w:rFonts w:ascii="Arial" w:hAnsi="Arial"/>
                    <w:b/>
                  </w:rPr>
                  <w:t>Federal Communications Commission</w:t>
                </w:r>
              </w:p>
              <w:p w:rsidR="00DE0AB8" w:rsidP="00DE0AB8" w14:paraId="5D708614" w14:textId="77777777">
                <w:pPr>
                  <w:rPr>
                    <w:rFonts w:ascii="Arial" w:hAnsi="Arial"/>
                    <w:b/>
                  </w:rPr>
                </w:pPr>
                <w:r>
                  <w:rPr>
                    <w:rFonts w:ascii="Arial" w:hAnsi="Arial"/>
                    <w:b/>
                  </w:rPr>
                  <w:t>45 L Street NE</w:t>
                </w:r>
              </w:p>
              <w:p w:rsidR="009838BC" w:rsidP="00DE0AB8" w14:paraId="40D4858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191B65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CCFE05E" w14:textId="77777777">
                <w:pPr>
                  <w:spacing w:before="40"/>
                  <w:jc w:val="right"/>
                  <w:rPr>
                    <w:rFonts w:ascii="Arial" w:hAnsi="Arial"/>
                    <w:b/>
                    <w:sz w:val="16"/>
                  </w:rPr>
                </w:pPr>
                <w:r>
                  <w:rPr>
                    <w:rFonts w:ascii="Arial" w:hAnsi="Arial"/>
                    <w:b/>
                    <w:sz w:val="16"/>
                  </w:rPr>
                  <w:t>News Media Information 202 / 418-0500</w:t>
                </w:r>
              </w:p>
              <w:p w:rsidR="009838BC" w:rsidP="009838BC" w14:paraId="7DDF62D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DE0CE10" w14:textId="77777777">
                <w:pPr>
                  <w:jc w:val="right"/>
                </w:pPr>
                <w:r>
                  <w:rPr>
                    <w:rFonts w:ascii="Arial" w:hAnsi="Arial"/>
                    <w:b/>
                    <w:sz w:val="16"/>
                  </w:rPr>
                  <w:t>TTY: 1-888-835-5322</w:t>
                </w:r>
              </w:p>
            </w:txbxContent>
          </v:textbox>
        </v:shape>
      </w:pict>
    </w:r>
  </w:p>
  <w:p w:rsidR="006F7393" w:rsidRPr="009838BC" w:rsidP="009838BC" w14:paraId="1E0D8E1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21"/>
    <w:rsid w:val="000072CE"/>
    <w:rsid w:val="00013A8B"/>
    <w:rsid w:val="00021445"/>
    <w:rsid w:val="00036039"/>
    <w:rsid w:val="00037F90"/>
    <w:rsid w:val="000875BF"/>
    <w:rsid w:val="00096D8C"/>
    <w:rsid w:val="000C0B65"/>
    <w:rsid w:val="000E3D42"/>
    <w:rsid w:val="000E5884"/>
    <w:rsid w:val="0010390B"/>
    <w:rsid w:val="001212ED"/>
    <w:rsid w:val="00122BD5"/>
    <w:rsid w:val="0014668A"/>
    <w:rsid w:val="001979D9"/>
    <w:rsid w:val="001D6BCF"/>
    <w:rsid w:val="001E01CA"/>
    <w:rsid w:val="002060D9"/>
    <w:rsid w:val="00226822"/>
    <w:rsid w:val="00260594"/>
    <w:rsid w:val="00285017"/>
    <w:rsid w:val="002A2D2E"/>
    <w:rsid w:val="00343749"/>
    <w:rsid w:val="00357D50"/>
    <w:rsid w:val="0038566F"/>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349"/>
    <w:rsid w:val="0055614C"/>
    <w:rsid w:val="00607BA5"/>
    <w:rsid w:val="00626EB6"/>
    <w:rsid w:val="00631564"/>
    <w:rsid w:val="006353A3"/>
    <w:rsid w:val="00655D03"/>
    <w:rsid w:val="00683F84"/>
    <w:rsid w:val="006A6A81"/>
    <w:rsid w:val="006E26AF"/>
    <w:rsid w:val="006F7393"/>
    <w:rsid w:val="0070224F"/>
    <w:rsid w:val="007115F7"/>
    <w:rsid w:val="00785689"/>
    <w:rsid w:val="0079754B"/>
    <w:rsid w:val="007A1E6D"/>
    <w:rsid w:val="007F7B6A"/>
    <w:rsid w:val="00822CE0"/>
    <w:rsid w:val="00837C62"/>
    <w:rsid w:val="00841AB1"/>
    <w:rsid w:val="0087057A"/>
    <w:rsid w:val="008C22FD"/>
    <w:rsid w:val="00906F21"/>
    <w:rsid w:val="00910F12"/>
    <w:rsid w:val="00926503"/>
    <w:rsid w:val="00930ECF"/>
    <w:rsid w:val="009838BC"/>
    <w:rsid w:val="00A45260"/>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0E6F"/>
    <w:rsid w:val="00C82B6B"/>
    <w:rsid w:val="00C90D6A"/>
    <w:rsid w:val="00C9551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AA3C1D"/>
  <w15:chartTrackingRefBased/>
  <w15:docId w15:val="{DBFB7272-5C41-4F6F-81E7-5CFF049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80E6F"/>
  </w:style>
  <w:style w:type="paragraph" w:styleId="ListParagraph">
    <w:name w:val="List Paragraph"/>
    <w:basedOn w:val="Normal"/>
    <w:uiPriority w:val="34"/>
    <w:qFormat/>
    <w:rsid w:val="00C80E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