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E5884" w:rsidRPr="00E3186C" w:rsidP="00C82B6B" w14:paraId="1C53D18C" w14:textId="77777777">
      <w:pPr>
        <w:jc w:val="right"/>
        <w:rPr>
          <w:szCs w:val="22"/>
        </w:rPr>
      </w:pPr>
    </w:p>
    <w:p w:rsidR="006D1C17" w:rsidRPr="00E3186C" w:rsidP="006D1C17" w14:paraId="569AB9FB" w14:textId="6AD8F3DF">
      <w:pPr>
        <w:jc w:val="right"/>
        <w:rPr>
          <w:b/>
          <w:szCs w:val="22"/>
        </w:rPr>
      </w:pPr>
      <w:r w:rsidRPr="00E3186C">
        <w:rPr>
          <w:b/>
          <w:szCs w:val="22"/>
        </w:rPr>
        <w:t>DA 2</w:t>
      </w:r>
      <w:r w:rsidR="005F513D">
        <w:rPr>
          <w:b/>
          <w:szCs w:val="22"/>
        </w:rPr>
        <w:t>2</w:t>
      </w:r>
      <w:r w:rsidRPr="00E3186C">
        <w:rPr>
          <w:b/>
          <w:szCs w:val="22"/>
        </w:rPr>
        <w:t>-</w:t>
      </w:r>
      <w:r w:rsidR="002C6E0B">
        <w:rPr>
          <w:b/>
          <w:szCs w:val="22"/>
        </w:rPr>
        <w:t>320</w:t>
      </w:r>
    </w:p>
    <w:p w:rsidR="006D1C17" w:rsidRPr="00E3186C" w:rsidP="006D1C17" w14:paraId="08DDAF06" w14:textId="7CB37033">
      <w:pPr>
        <w:spacing w:before="60"/>
        <w:jc w:val="right"/>
        <w:rPr>
          <w:b/>
          <w:szCs w:val="22"/>
        </w:rPr>
      </w:pPr>
      <w:r w:rsidRPr="00E3186C">
        <w:rPr>
          <w:b/>
          <w:szCs w:val="22"/>
        </w:rPr>
        <w:t>Released</w:t>
      </w:r>
      <w:r w:rsidRPr="002C6E0B">
        <w:rPr>
          <w:b/>
          <w:szCs w:val="22"/>
        </w:rPr>
        <w:t xml:space="preserve">:  </w:t>
      </w:r>
      <w:r w:rsidRPr="002C6E0B" w:rsidR="00FD66D5">
        <w:rPr>
          <w:b/>
          <w:szCs w:val="22"/>
        </w:rPr>
        <w:t xml:space="preserve">March </w:t>
      </w:r>
      <w:r w:rsidRPr="002C6E0B" w:rsidR="002C6E0B">
        <w:rPr>
          <w:b/>
          <w:szCs w:val="22"/>
        </w:rPr>
        <w:t>25</w:t>
      </w:r>
      <w:r w:rsidRPr="002C6E0B" w:rsidR="00FD66D5">
        <w:rPr>
          <w:b/>
          <w:szCs w:val="22"/>
        </w:rPr>
        <w:t>, 202</w:t>
      </w:r>
      <w:r w:rsidRPr="002C6E0B" w:rsidR="0071662E">
        <w:rPr>
          <w:b/>
          <w:szCs w:val="22"/>
        </w:rPr>
        <w:t>2</w:t>
      </w:r>
    </w:p>
    <w:p w:rsidR="006D1C17" w:rsidRPr="00E3186C" w:rsidP="006D1C17" w14:paraId="3B902EAE" w14:textId="77777777">
      <w:pPr>
        <w:jc w:val="right"/>
        <w:rPr>
          <w:szCs w:val="22"/>
        </w:rPr>
      </w:pPr>
    </w:p>
    <w:p w:rsidR="006D1C17" w:rsidRPr="00E3186C" w:rsidP="006D1C17" w14:paraId="255B9737" w14:textId="51ED013D">
      <w:pPr>
        <w:jc w:val="center"/>
        <w:rPr>
          <w:rFonts w:ascii="Times New Roman Bold" w:hAnsi="Times New Roman Bold"/>
          <w:b/>
          <w:caps/>
          <w:szCs w:val="22"/>
        </w:rPr>
      </w:pPr>
      <w:r w:rsidRPr="00E3186C">
        <w:rPr>
          <w:rFonts w:ascii="Times New Roman Bold" w:hAnsi="Times New Roman Bold"/>
          <w:b/>
          <w:caps/>
          <w:szCs w:val="22"/>
        </w:rPr>
        <w:t xml:space="preserve">public safety and homeland security BUREAU </w:t>
      </w:r>
      <w:r w:rsidR="00757DB2">
        <w:rPr>
          <w:rFonts w:ascii="Times New Roman Bold" w:hAnsi="Times New Roman Bold"/>
          <w:b/>
          <w:caps/>
          <w:szCs w:val="22"/>
        </w:rPr>
        <w:t xml:space="preserve">announces </w:t>
      </w:r>
      <w:r w:rsidR="0071662E">
        <w:rPr>
          <w:rFonts w:ascii="Times New Roman Bold" w:hAnsi="Times New Roman Bold"/>
          <w:b/>
          <w:caps/>
          <w:szCs w:val="22"/>
        </w:rPr>
        <w:t xml:space="preserve">ADDITIONS </w:t>
      </w:r>
      <w:r w:rsidR="005F513D">
        <w:rPr>
          <w:rFonts w:ascii="Times New Roman Bold" w:hAnsi="Times New Roman Bold"/>
          <w:b/>
          <w:caps/>
          <w:szCs w:val="22"/>
        </w:rPr>
        <w:t xml:space="preserve">to </w:t>
      </w:r>
      <w:r w:rsidR="00757DB2">
        <w:rPr>
          <w:rFonts w:ascii="Times New Roman Bold" w:hAnsi="Times New Roman Bold"/>
          <w:b/>
          <w:caps/>
          <w:szCs w:val="22"/>
        </w:rPr>
        <w:t>the list of</w:t>
      </w:r>
      <w:r w:rsidR="00CD3AB7">
        <w:rPr>
          <w:rFonts w:ascii="Times New Roman Bold" w:hAnsi="Times New Roman Bold"/>
          <w:b/>
          <w:caps/>
          <w:szCs w:val="22"/>
        </w:rPr>
        <w:t xml:space="preserve"> equipment and services</w:t>
      </w:r>
      <w:r w:rsidR="00757DB2">
        <w:rPr>
          <w:rFonts w:ascii="Times New Roman Bold" w:hAnsi="Times New Roman Bold"/>
          <w:b/>
          <w:caps/>
          <w:szCs w:val="22"/>
        </w:rPr>
        <w:t xml:space="preserve"> covered by section 2 of the secure networks act</w:t>
      </w:r>
    </w:p>
    <w:p w:rsidR="006D1C17" w:rsidRPr="00E3186C" w:rsidP="006D1C17" w14:paraId="45C4CFD4" w14:textId="77777777">
      <w:pPr>
        <w:jc w:val="center"/>
        <w:rPr>
          <w:rFonts w:ascii="Times New Roman Bold" w:hAnsi="Times New Roman Bold"/>
          <w:b/>
          <w:caps/>
          <w:szCs w:val="22"/>
        </w:rPr>
      </w:pPr>
    </w:p>
    <w:p w:rsidR="006D1C17" w:rsidRPr="00E3186C" w:rsidP="006D1C17" w14:paraId="2A65D05C" w14:textId="77777777">
      <w:pPr>
        <w:jc w:val="center"/>
        <w:rPr>
          <w:b/>
        </w:rPr>
      </w:pPr>
      <w:r w:rsidRPr="00C9125B">
        <w:rPr>
          <w:b/>
          <w:bCs/>
        </w:rPr>
        <w:t>WC</w:t>
      </w:r>
      <w:r w:rsidRPr="00C9125B">
        <w:rPr>
          <w:b/>
        </w:rPr>
        <w:t xml:space="preserve"> Docket No. </w:t>
      </w:r>
      <w:r w:rsidRPr="00C9125B" w:rsidR="771FCD04">
        <w:rPr>
          <w:b/>
          <w:bCs/>
        </w:rPr>
        <w:t>18-89</w:t>
      </w:r>
    </w:p>
    <w:p w:rsidR="006D1C17" w:rsidRPr="00E3186C" w:rsidP="006D1C17" w14:paraId="1EF712D2" w14:textId="77777777">
      <w:pPr>
        <w:jc w:val="center"/>
        <w:rPr>
          <w:b/>
          <w:szCs w:val="22"/>
        </w:rPr>
      </w:pPr>
    </w:p>
    <w:p w:rsidR="00B77AE1" w:rsidRPr="00AD62BF" w:rsidP="008B1B6B" w14:paraId="0799BB03" w14:textId="334F18B4">
      <w:pPr>
        <w:pStyle w:val="ParaNum"/>
        <w:numPr>
          <w:ilvl w:val="0"/>
          <w:numId w:val="0"/>
        </w:numPr>
        <w:ind w:firstLine="720"/>
      </w:pPr>
      <w:r w:rsidRPr="271648C2">
        <w:t xml:space="preserve">Pursuant to </w:t>
      </w:r>
      <w:r w:rsidR="003437FC">
        <w:t>s</w:t>
      </w:r>
      <w:r w:rsidRPr="271648C2">
        <w:t>ection</w:t>
      </w:r>
      <w:r w:rsidR="00A86ECB">
        <w:t>s</w:t>
      </w:r>
      <w:r w:rsidRPr="271648C2">
        <w:t xml:space="preserve"> 2(a)</w:t>
      </w:r>
      <w:r w:rsidR="00A86ECB">
        <w:t xml:space="preserve"> and (d)</w:t>
      </w:r>
      <w:r w:rsidRPr="271648C2">
        <w:t xml:space="preserve"> of the Secure and Trusted Communications Networks Act of 2019 </w:t>
      </w:r>
      <w:r w:rsidR="3679D128">
        <w:t>(Secure Networks Act)</w:t>
      </w:r>
      <w:r w:rsidR="0073298E">
        <w:t>,</w:t>
      </w:r>
      <w:r>
        <w:rPr>
          <w:rStyle w:val="FootnoteReference"/>
        </w:rPr>
        <w:footnoteReference w:id="3"/>
      </w:r>
      <w:r w:rsidRPr="271648C2">
        <w:t xml:space="preserve"> </w:t>
      </w:r>
      <w:r w:rsidRPr="271648C2" w:rsidR="00342F26">
        <w:t>and section</w:t>
      </w:r>
      <w:r w:rsidR="00781DE3">
        <w:t>s</w:t>
      </w:r>
      <w:r w:rsidRPr="271648C2" w:rsidR="00342F26">
        <w:t xml:space="preserve"> 1.50002</w:t>
      </w:r>
      <w:r w:rsidR="00781DE3">
        <w:t xml:space="preserve"> and 1.50003</w:t>
      </w:r>
      <w:r w:rsidRPr="271648C2" w:rsidR="00342F26">
        <w:t xml:space="preserve"> of the Commission’s rules</w:t>
      </w:r>
      <w:r w:rsidR="00342F26">
        <w:rPr>
          <w:szCs w:val="22"/>
        </w:rPr>
        <w:t>,</w:t>
      </w:r>
      <w:r>
        <w:rPr>
          <w:rStyle w:val="FootnoteReference"/>
        </w:rPr>
        <w:footnoteReference w:id="4"/>
      </w:r>
      <w:r w:rsidR="00342F26">
        <w:rPr>
          <w:szCs w:val="22"/>
        </w:rPr>
        <w:t xml:space="preserve"> </w:t>
      </w:r>
      <w:r w:rsidRPr="271648C2">
        <w:t xml:space="preserve">the Federal Communications Commission’s Public Safety and Homeland Security Bureau (Bureau) announces the </w:t>
      </w:r>
      <w:r w:rsidR="0071662E">
        <w:t>following additions to the</w:t>
      </w:r>
      <w:r w:rsidRPr="271648C2">
        <w:t xml:space="preserve"> list of communications equipment and services</w:t>
      </w:r>
      <w:r>
        <w:t xml:space="preserve"> </w:t>
      </w:r>
      <w:r w:rsidR="000602BE">
        <w:t>(Covered List)</w:t>
      </w:r>
      <w:r w:rsidRPr="271648C2">
        <w:t xml:space="preserve"> that </w:t>
      </w:r>
      <w:r w:rsidR="00382BE9">
        <w:t>have been</w:t>
      </w:r>
      <w:r w:rsidRPr="271648C2" w:rsidR="00382BE9">
        <w:t xml:space="preserve"> </w:t>
      </w:r>
      <w:r w:rsidR="00382BE9">
        <w:t xml:space="preserve">determined </w:t>
      </w:r>
      <w:r w:rsidR="00A86ECB">
        <w:t xml:space="preserve">by the Department of Homeland Security and an executive branch interagency body with appropriate national security expertise </w:t>
      </w:r>
      <w:r w:rsidRPr="271648C2">
        <w:t>to pose an unacceptable risk to the national security of the United States</w:t>
      </w:r>
      <w:r w:rsidR="006D5C84">
        <w:t xml:space="preserve"> or the security and safety of United States persons</w:t>
      </w:r>
      <w:r w:rsidR="008B1B6B">
        <w:t>.</w:t>
      </w:r>
      <w:r>
        <w:rPr>
          <w:rStyle w:val="FootnoteReference"/>
        </w:rPr>
        <w:footnoteReference w:id="5"/>
      </w:r>
      <w:r w:rsidR="008B1B6B">
        <w:t xml:space="preserve"> </w:t>
      </w:r>
      <w:r w:rsidR="003437FC">
        <w:t xml:space="preserve"> </w:t>
      </w:r>
      <w:r w:rsidR="0071662E">
        <w:t>The updated Covered List</w:t>
      </w:r>
      <w:r w:rsidRPr="41E9C31D" w:rsidR="008B1B6B">
        <w:t xml:space="preserve"> </w:t>
      </w:r>
      <w:r w:rsidR="008B1B6B">
        <w:t>reproduced in the Appendix to this Public Notice</w:t>
      </w:r>
      <w:r w:rsidRPr="41E9C31D" w:rsidR="008B1B6B">
        <w:t xml:space="preserve"> </w:t>
      </w:r>
      <w:r w:rsidR="0071662E">
        <w:t xml:space="preserve">is also found </w:t>
      </w:r>
      <w:r w:rsidRPr="41E9C31D" w:rsidR="008B1B6B">
        <w:t xml:space="preserve">on </w:t>
      </w:r>
      <w:r w:rsidR="00382BE9">
        <w:t>the Bureau’s</w:t>
      </w:r>
      <w:r w:rsidRPr="41E9C31D" w:rsidR="00382BE9">
        <w:t xml:space="preserve"> </w:t>
      </w:r>
      <w:r w:rsidRPr="41E9C31D" w:rsidR="008B1B6B">
        <w:t>website</w:t>
      </w:r>
      <w:r w:rsidR="008B1B6B">
        <w:t xml:space="preserve"> at</w:t>
      </w:r>
      <w:r w:rsidR="00D5048B">
        <w:t xml:space="preserve"> </w:t>
      </w:r>
      <w:hyperlink r:id="rId5" w:history="1">
        <w:r w:rsidRPr="00D607D7" w:rsidR="00382BE9">
          <w:rPr>
            <w:rStyle w:val="Hyperlink"/>
          </w:rPr>
          <w:t>https://www.fcc.gov/supplychain/coveredlist</w:t>
        </w:r>
      </w:hyperlink>
      <w:r w:rsidR="00382BE9">
        <w:t xml:space="preserve">. </w:t>
      </w:r>
    </w:p>
    <w:p w:rsidR="006D4DD3" w:rsidP="002F1A34" w14:paraId="37D3DA02" w14:textId="08B2DC63">
      <w:pPr>
        <w:pStyle w:val="ParaNum"/>
        <w:numPr>
          <w:ilvl w:val="0"/>
          <w:numId w:val="0"/>
        </w:numPr>
        <w:ind w:firstLine="720"/>
      </w:pPr>
      <w:r>
        <w:t>T</w:t>
      </w:r>
      <w:r w:rsidR="002700B1">
        <w:rPr>
          <w:szCs w:val="22"/>
        </w:rPr>
        <w:t xml:space="preserve">he </w:t>
      </w:r>
      <w:r w:rsidR="002700B1">
        <w:rPr>
          <w:i/>
          <w:iCs/>
          <w:szCs w:val="22"/>
        </w:rPr>
        <w:t xml:space="preserve">Supply Chain Second Report and Order </w:t>
      </w:r>
      <w:r w:rsidR="002700B1">
        <w:rPr>
          <w:szCs w:val="22"/>
        </w:rPr>
        <w:t xml:space="preserve">adopted rules governing the </w:t>
      </w:r>
      <w:r w:rsidR="00AB2C66">
        <w:rPr>
          <w:szCs w:val="22"/>
        </w:rPr>
        <w:t>maintenance</w:t>
      </w:r>
      <w:r w:rsidR="007B5513">
        <w:rPr>
          <w:szCs w:val="22"/>
        </w:rPr>
        <w:t>, including updates,</w:t>
      </w:r>
      <w:r w:rsidR="00AB2C66">
        <w:rPr>
          <w:szCs w:val="22"/>
        </w:rPr>
        <w:t xml:space="preserve"> of</w:t>
      </w:r>
      <w:r w:rsidR="007B5513">
        <w:rPr>
          <w:szCs w:val="22"/>
        </w:rPr>
        <w:t xml:space="preserve"> </w:t>
      </w:r>
      <w:r w:rsidR="002700B1">
        <w:rPr>
          <w:szCs w:val="22"/>
        </w:rPr>
        <w:t xml:space="preserve">the Covered List </w:t>
      </w:r>
      <w:r w:rsidR="00F8483C">
        <w:rPr>
          <w:szCs w:val="22"/>
        </w:rPr>
        <w:t>and</w:t>
      </w:r>
      <w:r w:rsidR="002700B1">
        <w:rPr>
          <w:szCs w:val="22"/>
        </w:rPr>
        <w:t xml:space="preserve"> tasked the Bureau with both publishing and maintaining </w:t>
      </w:r>
      <w:r w:rsidR="00AB22BD">
        <w:rPr>
          <w:szCs w:val="22"/>
        </w:rPr>
        <w:t>it</w:t>
      </w:r>
      <w:r w:rsidR="002700B1">
        <w:rPr>
          <w:szCs w:val="22"/>
        </w:rPr>
        <w:t xml:space="preserve"> on the Commission’s website in accordance with the Commission’s rules.</w:t>
      </w:r>
      <w:r>
        <w:rPr>
          <w:rStyle w:val="FootnoteReference"/>
          <w:szCs w:val="22"/>
        </w:rPr>
        <w:footnoteReference w:id="6"/>
      </w:r>
      <w:r w:rsidR="002F1A34">
        <w:rPr>
          <w:szCs w:val="22"/>
        </w:rPr>
        <w:t xml:space="preserve">  </w:t>
      </w:r>
      <w:r w:rsidR="00762AB5">
        <w:rPr>
          <w:szCs w:val="22"/>
        </w:rPr>
        <w:t>The Commission’s rules require</w:t>
      </w:r>
      <w:r>
        <w:rPr>
          <w:rStyle w:val="FootnoteReference"/>
        </w:rPr>
        <w:footnoteReference w:id="7"/>
      </w:r>
      <w:r w:rsidR="00762AB5">
        <w:rPr>
          <w:szCs w:val="22"/>
        </w:rPr>
        <w:t xml:space="preserve"> </w:t>
      </w:r>
      <w:r w:rsidR="002F1A34">
        <w:t xml:space="preserve">the Commission to place on the Covered List any communications equipment or service if a source enumerated in the Secure Networks Act determines that the equipment or service poses an unacceptable </w:t>
      </w:r>
      <w:r w:rsidR="002F1A34">
        <w:t>risk to the national security of the United States, and</w:t>
      </w:r>
      <w:r w:rsidR="002D7FE7">
        <w:t xml:space="preserve"> if the communications equipment or service</w:t>
      </w:r>
      <w:r w:rsidR="002F1A34">
        <w:t xml:space="preserve"> is capable of posing an unacceptable risk to the national security of the United States.</w:t>
      </w:r>
      <w:r>
        <w:rPr>
          <w:rStyle w:val="FootnoteReference"/>
        </w:rPr>
        <w:footnoteReference w:id="8"/>
      </w:r>
      <w:r w:rsidR="002F1A34">
        <w:t xml:space="preserve">  </w:t>
      </w:r>
      <w:r w:rsidR="00762AB5">
        <w:t xml:space="preserve">Two of those enumerated sources </w:t>
      </w:r>
      <w:r w:rsidR="00A9497B">
        <w:t>are</w:t>
      </w:r>
      <w:r w:rsidR="00762AB5">
        <w:t xml:space="preserve"> the Department of Homeland Security</w:t>
      </w:r>
      <w:r>
        <w:rPr>
          <w:rStyle w:val="FootnoteReference"/>
        </w:rPr>
        <w:footnoteReference w:id="9"/>
      </w:r>
      <w:r w:rsidR="00762AB5">
        <w:t xml:space="preserve"> and </w:t>
      </w:r>
      <w:r w:rsidR="009B26C8">
        <w:t>t</w:t>
      </w:r>
      <w:r w:rsidRPr="004F79A5" w:rsidR="009B26C8">
        <w:t>he Committee for the Assessment of Foreign Participation in the United States Telecommunications Services Sector</w:t>
      </w:r>
      <w:r w:rsidR="00762AB5">
        <w:t xml:space="preserve">, a group of government agencies </w:t>
      </w:r>
      <w:r w:rsidR="00FE4C33">
        <w:t xml:space="preserve">that </w:t>
      </w:r>
      <w:r w:rsidR="00762AB5">
        <w:t>assist</w:t>
      </w:r>
      <w:r w:rsidR="005D1081">
        <w:t>s</w:t>
      </w:r>
      <w:r w:rsidR="00762AB5">
        <w:t xml:space="preserve"> the FCC in its public interest review of national security and law enforcement concerns that may be raised by foreign participation in the United States telecommunications services sector</w:t>
      </w:r>
      <w:r w:rsidR="009B26C8">
        <w:t>, which was formerly known informally as Team Telecom</w:t>
      </w:r>
      <w:r w:rsidR="00762AB5">
        <w:t>.</w:t>
      </w:r>
      <w:r>
        <w:rPr>
          <w:rStyle w:val="FootnoteReference"/>
        </w:rPr>
        <w:footnoteReference w:id="10"/>
      </w:r>
      <w:r w:rsidR="00A9497B">
        <w:t xml:space="preserve">  </w:t>
      </w:r>
    </w:p>
    <w:p w:rsidR="007B5513" w:rsidP="002F1A34" w14:paraId="151796CF" w14:textId="4772CA35">
      <w:pPr>
        <w:pStyle w:val="ParaNum"/>
        <w:numPr>
          <w:ilvl w:val="0"/>
          <w:numId w:val="0"/>
        </w:numPr>
        <w:ind w:firstLine="720"/>
      </w:pPr>
      <w:r>
        <w:t xml:space="preserve">The Bureau has identified three </w:t>
      </w:r>
      <w:r w:rsidR="002F1A34">
        <w:t>determinations</w:t>
      </w:r>
      <w:r w:rsidR="00B30FA7">
        <w:t>, one from the Department of Homeland Security and two from Team Teleco</w:t>
      </w:r>
      <w:r w:rsidR="009A08CE">
        <w:t>m</w:t>
      </w:r>
      <w:r w:rsidR="006F05B1">
        <w:t>,</w:t>
      </w:r>
      <w:r w:rsidR="009A08CE">
        <w:t xml:space="preserve"> </w:t>
      </w:r>
      <w:r>
        <w:t xml:space="preserve">that meet the </w:t>
      </w:r>
      <w:r>
        <w:t xml:space="preserve">statutory </w:t>
      </w:r>
      <w:r>
        <w:t xml:space="preserve">requirements </w:t>
      </w:r>
      <w:r w:rsidR="00610C34">
        <w:t xml:space="preserve">for additions </w:t>
      </w:r>
      <w:r>
        <w:t xml:space="preserve">to the Covered List.  </w:t>
      </w:r>
    </w:p>
    <w:p w:rsidR="00987840" w:rsidP="009A08CE" w14:paraId="1B2C4D31" w14:textId="2083EE20">
      <w:pPr>
        <w:pStyle w:val="ParaNum"/>
        <w:numPr>
          <w:ilvl w:val="0"/>
          <w:numId w:val="0"/>
        </w:numPr>
        <w:ind w:firstLine="720"/>
      </w:pPr>
      <w:r>
        <w:t xml:space="preserve">First, </w:t>
      </w:r>
      <w:r w:rsidR="00976D24">
        <w:t xml:space="preserve">a </w:t>
      </w:r>
      <w:r w:rsidR="00B648EA">
        <w:t>Binding Operational Directive</w:t>
      </w:r>
      <w:r w:rsidR="00B25DBA">
        <w:t xml:space="preserve"> (BOD)</w:t>
      </w:r>
      <w:r w:rsidR="00331948">
        <w:t>,</w:t>
      </w:r>
      <w:r w:rsidR="00B648EA">
        <w:t xml:space="preserve"> </w:t>
      </w:r>
      <w:r w:rsidR="007B5513">
        <w:t>issued by</w:t>
      </w:r>
      <w:r w:rsidR="00B648EA">
        <w:t xml:space="preserve"> the Department of Homeland Security</w:t>
      </w:r>
      <w:r w:rsidR="009A08CE">
        <w:t xml:space="preserve"> and </w:t>
      </w:r>
      <w:r w:rsidR="00B648EA">
        <w:t>published in the Federal Register on September 11, 2017</w:t>
      </w:r>
      <w:r w:rsidR="00331948">
        <w:t xml:space="preserve">, </w:t>
      </w:r>
      <w:r w:rsidR="00BB5D53">
        <w:t>requir</w:t>
      </w:r>
      <w:r>
        <w:t>ed</w:t>
      </w:r>
      <w:r w:rsidR="009A08CE">
        <w:t xml:space="preserve"> certain</w:t>
      </w:r>
      <w:r w:rsidR="00BB5D53">
        <w:t xml:space="preserve"> federal agencies</w:t>
      </w:r>
      <w:r w:rsidR="009A08CE">
        <w:t xml:space="preserve"> </w:t>
      </w:r>
      <w:r w:rsidR="00BB5D53">
        <w:t>to remove “Kaspersky-branded products”</w:t>
      </w:r>
      <w:r w:rsidR="009A08CE">
        <w:t xml:space="preserve"> from federal information systems.</w:t>
      </w:r>
      <w:r>
        <w:rPr>
          <w:rStyle w:val="FootnoteReference"/>
        </w:rPr>
        <w:footnoteReference w:id="11"/>
      </w:r>
      <w:r w:rsidR="00E21EBF">
        <w:t xml:space="preserve">  </w:t>
      </w:r>
      <w:r w:rsidR="009A08CE">
        <w:t>More specifically, t</w:t>
      </w:r>
      <w:r w:rsidR="00B648EA">
        <w:t>he</w:t>
      </w:r>
      <w:r w:rsidR="00B25DBA">
        <w:t xml:space="preserve"> BOD</w:t>
      </w:r>
      <w:r w:rsidR="007B5513">
        <w:t xml:space="preserve"> </w:t>
      </w:r>
      <w:r w:rsidR="007A3B5E">
        <w:t>is a compulsory direction to federal, executive branch, departments and agencies for the purposes of safeguarding information and information systems</w:t>
      </w:r>
      <w:r w:rsidR="006F32CA">
        <w:t>;</w:t>
      </w:r>
      <w:r w:rsidR="007A3B5E">
        <w:t xml:space="preserve"> federal agencies are required to comply with BODs.</w:t>
      </w:r>
      <w:r>
        <w:rPr>
          <w:rStyle w:val="FootnoteReference"/>
        </w:rPr>
        <w:footnoteReference w:id="12"/>
      </w:r>
      <w:r w:rsidR="007A3B5E">
        <w:t xml:space="preserve">  The BOD states </w:t>
      </w:r>
      <w:r w:rsidR="007B5513">
        <w:t>that</w:t>
      </w:r>
      <w:r w:rsidR="00B25DBA">
        <w:t xml:space="preserve">, in consultation with interagency partners, </w:t>
      </w:r>
      <w:r w:rsidR="002B029B">
        <w:t>the Department of Homeland Security “</w:t>
      </w:r>
      <w:r w:rsidR="00B25DBA">
        <w:t>determined that the risks presented by Kaspersky-branded products justify the issuance of this Binding Operational Directive.</w:t>
      </w:r>
      <w:r w:rsidR="002B029B">
        <w:t>”</w:t>
      </w:r>
      <w:r>
        <w:rPr>
          <w:rStyle w:val="FootnoteReference"/>
        </w:rPr>
        <w:footnoteReference w:id="13"/>
      </w:r>
      <w:r>
        <w:t xml:space="preserve">  </w:t>
      </w:r>
      <w:r w:rsidR="009A08CE">
        <w:t>Based on the required actions by federal agencies in response to the threats identified in the BOD, w</w:t>
      </w:r>
      <w:r>
        <w:t>e interpret the BOD to be a finding from the Department of Homeland Security that Kaspersky-branded products pose an unacceptable risk to the national security of the United States</w:t>
      </w:r>
      <w:r w:rsidR="009A08CE">
        <w:t>.  Further,</w:t>
      </w:r>
      <w:r w:rsidR="00DB3030">
        <w:t xml:space="preserve"> by requiring federal agencies to remove Kaspersky-branded products</w:t>
      </w:r>
      <w:r w:rsidR="004D4690">
        <w:t xml:space="preserve"> we find that</w:t>
      </w:r>
      <w:r>
        <w:t xml:space="preserve"> the Department of Homeland Security has determined that its products are capable of posing an unacceptable risk to the national security of the United States and its people.</w:t>
      </w:r>
      <w:r>
        <w:rPr>
          <w:rStyle w:val="FootnoteReference"/>
        </w:rPr>
        <w:footnoteReference w:id="14"/>
      </w:r>
      <w:r w:rsidR="00DB3030">
        <w:t xml:space="preserve">  </w:t>
      </w:r>
    </w:p>
    <w:p w:rsidR="00AC6BA5" w:rsidP="0025580E" w14:paraId="0D5AF902" w14:textId="1EEE93C8">
      <w:pPr>
        <w:pStyle w:val="ParaNum"/>
        <w:numPr>
          <w:ilvl w:val="0"/>
          <w:numId w:val="0"/>
        </w:numPr>
        <w:ind w:firstLine="720"/>
        <w:rPr>
          <w:szCs w:val="22"/>
        </w:rPr>
      </w:pPr>
      <w:r>
        <w:rPr>
          <w:szCs w:val="22"/>
        </w:rPr>
        <w:t xml:space="preserve">Second, </w:t>
      </w:r>
      <w:r w:rsidR="001528C7">
        <w:rPr>
          <w:szCs w:val="22"/>
        </w:rPr>
        <w:t xml:space="preserve">Team Telecom found </w:t>
      </w:r>
      <w:r w:rsidR="00E832AA">
        <w:rPr>
          <w:szCs w:val="22"/>
        </w:rPr>
        <w:t>that China Telecom</w:t>
      </w:r>
      <w:r w:rsidR="00BD1D06">
        <w:rPr>
          <w:szCs w:val="22"/>
        </w:rPr>
        <w:t xml:space="preserve"> </w:t>
      </w:r>
      <w:r w:rsidR="00E832AA">
        <w:rPr>
          <w:szCs w:val="22"/>
        </w:rPr>
        <w:t xml:space="preserve">(Americas) Corp. (China Telecom) services </w:t>
      </w:r>
      <w:r w:rsidR="00E832AA">
        <w:rPr>
          <w:szCs w:val="22"/>
        </w:rPr>
        <w:t>associated with its section 214 authorizations</w:t>
      </w:r>
      <w:r w:rsidR="007F294A">
        <w:rPr>
          <w:szCs w:val="22"/>
        </w:rPr>
        <w:t>, and China Telecom’s operations</w:t>
      </w:r>
      <w:r w:rsidR="00845209">
        <w:rPr>
          <w:szCs w:val="22"/>
        </w:rPr>
        <w:t xml:space="preserve"> as a carrier</w:t>
      </w:r>
      <w:r w:rsidR="007F294A">
        <w:rPr>
          <w:szCs w:val="22"/>
        </w:rPr>
        <w:t xml:space="preserve"> in the United States pose substantial and unacceptable risks to U.S. national security and law enforcement concerns.</w:t>
      </w:r>
      <w:r>
        <w:rPr>
          <w:rStyle w:val="FootnoteReference"/>
          <w:szCs w:val="22"/>
        </w:rPr>
        <w:footnoteReference w:id="15"/>
      </w:r>
      <w:r w:rsidR="001528C7">
        <w:rPr>
          <w:szCs w:val="22"/>
        </w:rPr>
        <w:t xml:space="preserve">  Based on Team Telecom’s finding that China Telecom’s services associated with its section 214 authorizations pose substantial and unacceptable risks to U.S. national security,</w:t>
      </w:r>
      <w:r w:rsidR="00F435D2">
        <w:rPr>
          <w:szCs w:val="22"/>
        </w:rPr>
        <w:t xml:space="preserve"> we find that</w:t>
      </w:r>
      <w:r w:rsidR="001528C7">
        <w:rPr>
          <w:szCs w:val="22"/>
        </w:rPr>
        <w:t xml:space="preserve"> Team Telecom </w:t>
      </w:r>
      <w:r w:rsidR="00845209">
        <w:rPr>
          <w:szCs w:val="22"/>
        </w:rPr>
        <w:t>also</w:t>
      </w:r>
      <w:r w:rsidR="001528C7">
        <w:rPr>
          <w:szCs w:val="22"/>
        </w:rPr>
        <w:t xml:space="preserve"> determined that those services are capable of </w:t>
      </w:r>
      <w:r w:rsidR="001528C7">
        <w:t xml:space="preserve">otherwise posing an unacceptable risk to the national security of the United States and its people. </w:t>
      </w:r>
    </w:p>
    <w:p w:rsidR="006D0A0B" w:rsidP="0025580E" w14:paraId="69CF19E4" w14:textId="6D1475EB">
      <w:pPr>
        <w:pStyle w:val="ParaNum"/>
        <w:numPr>
          <w:ilvl w:val="0"/>
          <w:numId w:val="0"/>
        </w:numPr>
        <w:ind w:firstLine="720"/>
        <w:rPr>
          <w:szCs w:val="22"/>
        </w:rPr>
      </w:pPr>
      <w:r>
        <w:rPr>
          <w:szCs w:val="22"/>
        </w:rPr>
        <w:t xml:space="preserve">Third, </w:t>
      </w:r>
      <w:r w:rsidR="001528C7">
        <w:rPr>
          <w:szCs w:val="22"/>
        </w:rPr>
        <w:t>Team Telecom found</w:t>
      </w:r>
      <w:r w:rsidR="00D8629D">
        <w:rPr>
          <w:szCs w:val="22"/>
        </w:rPr>
        <w:t xml:space="preserve"> that services associated with China Mobile International USA Inc. (China Mobile)’s application for a certificate of public convenience and necessity under section 214 of the Communications Act raise</w:t>
      </w:r>
      <w:r w:rsidR="00756B94">
        <w:rPr>
          <w:szCs w:val="22"/>
        </w:rPr>
        <w:t>d</w:t>
      </w:r>
      <w:r w:rsidR="00D8629D">
        <w:rPr>
          <w:szCs w:val="22"/>
        </w:rPr>
        <w:t xml:space="preserve"> “substantial and unacceptable national security and law enforcement risks in the current national security environment.”</w:t>
      </w:r>
      <w:r>
        <w:rPr>
          <w:rStyle w:val="FootnoteReference"/>
          <w:szCs w:val="22"/>
        </w:rPr>
        <w:footnoteReference w:id="16"/>
      </w:r>
      <w:r w:rsidR="00D8629D">
        <w:rPr>
          <w:szCs w:val="22"/>
        </w:rPr>
        <w:t xml:space="preserve"> </w:t>
      </w:r>
      <w:r w:rsidR="00756B94">
        <w:rPr>
          <w:szCs w:val="22"/>
        </w:rPr>
        <w:t xml:space="preserve"> </w:t>
      </w:r>
      <w:r w:rsidR="001528C7">
        <w:rPr>
          <w:szCs w:val="22"/>
        </w:rPr>
        <w:t>Based on Team Telecom’s finding that China Mobile’s services associated with its application for section 214 services pose</w:t>
      </w:r>
      <w:r w:rsidR="000F4646">
        <w:rPr>
          <w:szCs w:val="22"/>
        </w:rPr>
        <w:t>d</w:t>
      </w:r>
      <w:r w:rsidR="001528C7">
        <w:rPr>
          <w:szCs w:val="22"/>
        </w:rPr>
        <w:t xml:space="preserve"> substantial and unacceptable risks to U.S. national security,</w:t>
      </w:r>
      <w:r w:rsidR="00F435D2">
        <w:rPr>
          <w:szCs w:val="22"/>
        </w:rPr>
        <w:t xml:space="preserve"> we find that</w:t>
      </w:r>
      <w:r w:rsidR="001528C7">
        <w:rPr>
          <w:szCs w:val="22"/>
        </w:rPr>
        <w:t xml:space="preserve"> Team Telecom </w:t>
      </w:r>
      <w:r w:rsidR="00845209">
        <w:rPr>
          <w:szCs w:val="22"/>
        </w:rPr>
        <w:t>also</w:t>
      </w:r>
      <w:r w:rsidR="001528C7">
        <w:rPr>
          <w:szCs w:val="22"/>
        </w:rPr>
        <w:t xml:space="preserve"> determined that </w:t>
      </w:r>
      <w:r w:rsidR="00E0647A">
        <w:rPr>
          <w:szCs w:val="22"/>
        </w:rPr>
        <w:t xml:space="preserve">the </w:t>
      </w:r>
      <w:r w:rsidR="001528C7">
        <w:rPr>
          <w:szCs w:val="22"/>
        </w:rPr>
        <w:t xml:space="preserve">services </w:t>
      </w:r>
      <w:r w:rsidR="00395BCC">
        <w:rPr>
          <w:szCs w:val="22"/>
        </w:rPr>
        <w:t xml:space="preserve">that </w:t>
      </w:r>
      <w:r w:rsidR="008A3F75">
        <w:rPr>
          <w:szCs w:val="22"/>
        </w:rPr>
        <w:t xml:space="preserve">China Mobile’s application sought authority to provide </w:t>
      </w:r>
      <w:r w:rsidR="001528C7">
        <w:rPr>
          <w:szCs w:val="22"/>
        </w:rPr>
        <w:t xml:space="preserve">are capable of </w:t>
      </w:r>
      <w:r w:rsidR="001528C7">
        <w:t>otherwise posing an unacceptable risk to the national security of the United States and its people</w:t>
      </w:r>
      <w:r w:rsidR="00CC2ECF">
        <w:t>.</w:t>
      </w:r>
    </w:p>
    <w:p w:rsidR="003C6537" w:rsidRPr="0025580E" w:rsidP="0025580E" w14:paraId="7998D69E" w14:textId="7E795946">
      <w:pPr>
        <w:pStyle w:val="ParaNum"/>
        <w:numPr>
          <w:ilvl w:val="0"/>
          <w:numId w:val="0"/>
        </w:numPr>
        <w:ind w:firstLine="720"/>
      </w:pPr>
      <w:r>
        <w:t xml:space="preserve">The inclusion of these </w:t>
      </w:r>
      <w:r w:rsidR="00872D5E">
        <w:t xml:space="preserve">services </w:t>
      </w:r>
      <w:r>
        <w:t xml:space="preserve">on the </w:t>
      </w:r>
      <w:r w:rsidR="003437FC">
        <w:t>C</w:t>
      </w:r>
      <w:r>
        <w:t xml:space="preserve">overed </w:t>
      </w:r>
      <w:r w:rsidR="003437FC">
        <w:t>L</w:t>
      </w:r>
      <w:r>
        <w:t xml:space="preserve">ist </w:t>
      </w:r>
      <w:r w:rsidR="00333B4F">
        <w:t xml:space="preserve">extends both to subsidiaries and affiliates of the </w:t>
      </w:r>
      <w:r w:rsidR="00872D5E">
        <w:t xml:space="preserve">named </w:t>
      </w:r>
      <w:r w:rsidR="00333B4F">
        <w:t>entities</w:t>
      </w:r>
      <w:r w:rsidR="00C36A42">
        <w:t xml:space="preserve">. </w:t>
      </w:r>
    </w:p>
    <w:p w:rsidR="00413FD5" w:rsidRPr="00807466" w:rsidP="00EC62F2" w14:paraId="776E738A" w14:textId="22CEB218">
      <w:pPr>
        <w:pStyle w:val="ParaNum"/>
        <w:numPr>
          <w:ilvl w:val="0"/>
          <w:numId w:val="0"/>
        </w:numPr>
        <w:ind w:firstLine="720"/>
      </w:pPr>
      <w:r>
        <w:t>Consistent with the Secure Networks Act and the Commission’s rules, the Bureau wil</w:t>
      </w:r>
      <w:r w:rsidR="00F553AC">
        <w:t xml:space="preserve">l update this list upon </w:t>
      </w:r>
      <w:r w:rsidR="0004782E">
        <w:t xml:space="preserve">becoming aware of any equipment or service that satisfies the criteria established in section 2 of the Secure Networks Act and </w:t>
      </w:r>
      <w:r w:rsidR="005D40ED">
        <w:t>section 1.50002 of the Commission’s rules.</w:t>
      </w:r>
      <w:r w:rsidR="00EC62F2">
        <w:t xml:space="preserve">  </w:t>
      </w:r>
    </w:p>
    <w:p w:rsidR="006C4D6E" w:rsidRPr="00E3186C" w:rsidP="009E4E52" w14:paraId="14087326" w14:textId="0FDDCFFB">
      <w:pPr>
        <w:pStyle w:val="ParaNum"/>
        <w:numPr>
          <w:ilvl w:val="0"/>
          <w:numId w:val="0"/>
        </w:numPr>
        <w:tabs>
          <w:tab w:val="left" w:pos="720"/>
        </w:tabs>
        <w:ind w:firstLine="720"/>
      </w:pPr>
      <w:r>
        <w:t xml:space="preserve">For further information, please contact </w:t>
      </w:r>
      <w:r w:rsidR="00D8629D">
        <w:t>Zen</w:t>
      </w:r>
      <w:r w:rsidR="00E22F2D">
        <w:t>ji Nakazawa</w:t>
      </w:r>
      <w:r>
        <w:t xml:space="preserve">, </w:t>
      </w:r>
      <w:r w:rsidR="00E22F2D">
        <w:t xml:space="preserve">Associate </w:t>
      </w:r>
      <w:r>
        <w:t xml:space="preserve">Bureau Chief, Public Safety and Homeland Security Bureau </w:t>
      </w:r>
      <w:r w:rsidR="00E22F2D">
        <w:t>at</w:t>
      </w:r>
      <w:r>
        <w:t xml:space="preserve"> or </w:t>
      </w:r>
      <w:hyperlink r:id="rId6" w:history="1">
        <w:r w:rsidRPr="00B653EA" w:rsidR="00E22F2D">
          <w:rPr>
            <w:rStyle w:val="Hyperlink"/>
          </w:rPr>
          <w:t>Zenji.Nakazawa@fcc.gov</w:t>
        </w:r>
      </w:hyperlink>
      <w:r w:rsidR="00B11608">
        <w:rPr>
          <w:rStyle w:val="Hyperlink"/>
        </w:rPr>
        <w:t>.</w:t>
      </w:r>
      <w:r w:rsidR="00E22F2D">
        <w:t xml:space="preserve"> </w:t>
      </w:r>
    </w:p>
    <w:p w:rsidR="00F93FC0" w:rsidP="009E4E52" w14:paraId="233624DD" w14:textId="77777777">
      <w:pPr>
        <w:jc w:val="center"/>
        <w:rPr>
          <w:b/>
          <w:szCs w:val="22"/>
        </w:rPr>
      </w:pPr>
      <w:r w:rsidRPr="00E3186C">
        <w:rPr>
          <w:b/>
          <w:szCs w:val="22"/>
        </w:rPr>
        <w:t>–</w:t>
      </w:r>
      <w:r w:rsidRPr="00E3186C" w:rsidR="00C87D99">
        <w:rPr>
          <w:b/>
          <w:szCs w:val="22"/>
        </w:rPr>
        <w:t xml:space="preserve"> FCC –</w:t>
      </w:r>
    </w:p>
    <w:p w:rsidR="009E4E52" w:rsidP="009E4E52" w14:paraId="6F3104A1" w14:textId="77777777">
      <w:pPr>
        <w:jc w:val="center"/>
        <w:rPr>
          <w:b/>
          <w:szCs w:val="22"/>
        </w:rPr>
      </w:pPr>
    </w:p>
    <w:p w:rsidR="00C87D99" w:rsidRPr="00E3186C" w:rsidP="00FA7FC0" w14:paraId="6F17EC21" w14:textId="33884AE2">
      <w:pPr>
        <w:jc w:val="center"/>
        <w:rPr>
          <w:b/>
          <w:bCs/>
          <w:szCs w:val="22"/>
        </w:rPr>
      </w:pPr>
      <w:r>
        <w:rPr>
          <w:b/>
          <w:szCs w:val="22"/>
        </w:rPr>
        <w:br w:type="page"/>
      </w:r>
      <w:r w:rsidRPr="00E3186C">
        <w:rPr>
          <w:b/>
          <w:bCs/>
          <w:szCs w:val="22"/>
        </w:rPr>
        <w:t>APPENDIX</w:t>
      </w:r>
    </w:p>
    <w:p w:rsidR="00C87D99" w:rsidRPr="00E3186C" w:rsidP="00C87D99" w14:paraId="03CAAA99" w14:textId="77777777">
      <w:pPr>
        <w:rPr>
          <w:szCs w:val="22"/>
        </w:rPr>
      </w:pPr>
    </w:p>
    <w:p w:rsidR="006D1C17" w:rsidRPr="00333640" w:rsidP="00333640" w14:paraId="10FF65C2" w14:textId="143288E9">
      <w:pPr>
        <w:spacing w:after="120"/>
        <w:jc w:val="center"/>
        <w:rPr>
          <w:rFonts w:eastAsia="Gungsuh"/>
          <w:szCs w:val="22"/>
        </w:rPr>
      </w:pPr>
      <w:r>
        <w:rPr>
          <w:rFonts w:eastAsia="Gungsuh"/>
          <w:szCs w:val="22"/>
        </w:rPr>
        <w:t>COVERED LIST (Updated March</w:t>
      </w:r>
      <w:r w:rsidR="002C6E0B">
        <w:rPr>
          <w:rFonts w:eastAsia="Gungsuh"/>
          <w:szCs w:val="22"/>
        </w:rPr>
        <w:t xml:space="preserve"> 25</w:t>
      </w:r>
      <w:r>
        <w:rPr>
          <w:rFonts w:eastAsia="Gungsuh"/>
          <w:szCs w:val="22"/>
        </w:rPr>
        <w:t>, 202</w:t>
      </w:r>
      <w:r w:rsidR="00781DE3">
        <w:rPr>
          <w:rFonts w:eastAsia="Gungsuh"/>
          <w:szCs w:val="22"/>
        </w:rPr>
        <w:t>2</w:t>
      </w:r>
      <w:r>
        <w:rPr>
          <w:rFonts w:eastAsia="Gungsuh"/>
          <w:szCs w:val="22"/>
        </w:rPr>
        <w:t>)</w:t>
      </w:r>
      <w:r w:rsidR="0017088F">
        <w:rPr>
          <w:rFonts w:eastAsia="Gungsuh"/>
          <w:szCs w:val="22"/>
        </w:rPr>
        <w:t>*</w:t>
      </w:r>
      <w:r w:rsidR="005A310D">
        <w:rPr>
          <w:rFonts w:eastAsia="Gungsuh"/>
          <w:szCs w:val="22"/>
        </w:rPr>
        <w:t>†</w:t>
      </w:r>
    </w:p>
    <w:p w:rsidR="006D1C17" w:rsidRPr="00562AC1" w:rsidP="00562AC1" w14:paraId="30EF8377" w14:textId="77777777">
      <w:pPr>
        <w:jc w:val="center"/>
        <w:rPr>
          <w:b/>
          <w:bCs/>
          <w:szCs w:val="22"/>
        </w:rPr>
      </w:pPr>
    </w:p>
    <w:tbl>
      <w:tblPr>
        <w:tblStyle w:val="TableGrid"/>
        <w:tblW w:w="10350" w:type="dxa"/>
        <w:tblInd w:w="-365" w:type="dxa"/>
        <w:tblLook w:val="04A0"/>
      </w:tblPr>
      <w:tblGrid>
        <w:gridCol w:w="7740"/>
        <w:gridCol w:w="2610"/>
      </w:tblGrid>
      <w:tr w14:paraId="01AD803B" w14:textId="77777777" w:rsidTr="00333640">
        <w:tblPrEx>
          <w:tblW w:w="10350" w:type="dxa"/>
          <w:tblInd w:w="-365" w:type="dxa"/>
          <w:tblLook w:val="04A0"/>
        </w:tblPrEx>
        <w:tc>
          <w:tcPr>
            <w:tcW w:w="7740" w:type="dxa"/>
          </w:tcPr>
          <w:p w:rsidR="00562AC1" w:rsidRPr="00562AC1" w:rsidP="00562AC1" w14:paraId="6F934AB6" w14:textId="4640D6D9">
            <w:pPr>
              <w:jc w:val="center"/>
              <w:rPr>
                <w:b/>
                <w:bCs/>
                <w:szCs w:val="22"/>
              </w:rPr>
            </w:pPr>
            <w:r w:rsidRPr="00562AC1">
              <w:rPr>
                <w:b/>
                <w:bCs/>
                <w:szCs w:val="22"/>
              </w:rPr>
              <w:t>Covered Equipment or Services</w:t>
            </w:r>
            <w:r w:rsidR="003666D7">
              <w:rPr>
                <w:b/>
                <w:bCs/>
                <w:szCs w:val="22"/>
              </w:rPr>
              <w:t>*</w:t>
            </w:r>
          </w:p>
        </w:tc>
        <w:tc>
          <w:tcPr>
            <w:tcW w:w="2610" w:type="dxa"/>
          </w:tcPr>
          <w:p w:rsidR="00562AC1" w:rsidRPr="00562AC1" w:rsidP="00562AC1" w14:paraId="00A62A32" w14:textId="77777777">
            <w:pPr>
              <w:jc w:val="center"/>
              <w:rPr>
                <w:b/>
                <w:bCs/>
                <w:szCs w:val="22"/>
              </w:rPr>
            </w:pPr>
            <w:r w:rsidRPr="00562AC1">
              <w:rPr>
                <w:b/>
                <w:bCs/>
                <w:szCs w:val="22"/>
              </w:rPr>
              <w:t>Date of Inclusion on Covered List</w:t>
            </w:r>
          </w:p>
        </w:tc>
      </w:tr>
      <w:tr w14:paraId="3F64ABC0" w14:textId="77777777" w:rsidTr="00333640">
        <w:tblPrEx>
          <w:tblW w:w="10350" w:type="dxa"/>
          <w:tblInd w:w="-365" w:type="dxa"/>
          <w:tblLook w:val="04A0"/>
        </w:tblPrEx>
        <w:tc>
          <w:tcPr>
            <w:tcW w:w="7740" w:type="dxa"/>
          </w:tcPr>
          <w:p w:rsidR="0082165D" w:rsidP="006D1C17" w14:paraId="781D1685" w14:textId="5378BD3D">
            <w:r>
              <w:rPr>
                <w:szCs w:val="22"/>
              </w:rPr>
              <w:t>Telecommunications equipment produce</w:t>
            </w:r>
            <w:r w:rsidR="009D1FC1">
              <w:rPr>
                <w:szCs w:val="22"/>
              </w:rPr>
              <w:t>d</w:t>
            </w:r>
            <w:r>
              <w:rPr>
                <w:szCs w:val="22"/>
              </w:rPr>
              <w:t xml:space="preserve"> </w:t>
            </w:r>
            <w:r w:rsidR="00DF336C">
              <w:rPr>
                <w:szCs w:val="22"/>
              </w:rPr>
              <w:t xml:space="preserve">or provided </w:t>
            </w:r>
            <w:r>
              <w:rPr>
                <w:szCs w:val="22"/>
              </w:rPr>
              <w:t xml:space="preserve">by </w:t>
            </w:r>
            <w:r w:rsidRPr="00333640">
              <w:rPr>
                <w:b/>
                <w:bCs/>
                <w:szCs w:val="22"/>
              </w:rPr>
              <w:t>Huawei Technologies Company</w:t>
            </w:r>
            <w:r>
              <w:t xml:space="preserve">, including telecommunications or video surveillance services </w:t>
            </w:r>
            <w:r w:rsidR="00DF336C">
              <w:t xml:space="preserve">produced or </w:t>
            </w:r>
            <w:r>
              <w:t>provided by such entit</w:t>
            </w:r>
            <w:r w:rsidR="00294497">
              <w:t>y</w:t>
            </w:r>
            <w:r>
              <w:t xml:space="preserve"> or using such equipment.</w:t>
            </w:r>
          </w:p>
          <w:p w:rsidR="00850C1A" w:rsidP="006D1C17" w14:paraId="0EF5F5C6" w14:textId="77777777">
            <w:pPr>
              <w:rPr>
                <w:szCs w:val="22"/>
              </w:rPr>
            </w:pPr>
          </w:p>
        </w:tc>
        <w:tc>
          <w:tcPr>
            <w:tcW w:w="2610" w:type="dxa"/>
          </w:tcPr>
          <w:p w:rsidR="00333640" w:rsidP="00F72D61" w14:paraId="0CE2650E" w14:textId="77777777">
            <w:pPr>
              <w:jc w:val="center"/>
              <w:rPr>
                <w:szCs w:val="22"/>
              </w:rPr>
            </w:pPr>
          </w:p>
          <w:p w:rsidR="00562AC1" w:rsidP="00F72D61" w14:paraId="644B7F6F" w14:textId="0582BB38">
            <w:pPr>
              <w:jc w:val="center"/>
              <w:rPr>
                <w:szCs w:val="22"/>
              </w:rPr>
            </w:pPr>
            <w:r>
              <w:rPr>
                <w:szCs w:val="22"/>
              </w:rPr>
              <w:t>March 12, 2021</w:t>
            </w:r>
          </w:p>
        </w:tc>
      </w:tr>
      <w:tr w14:paraId="4E0E0F2C" w14:textId="77777777" w:rsidTr="00333640">
        <w:tblPrEx>
          <w:tblW w:w="10350" w:type="dxa"/>
          <w:tblInd w:w="-365" w:type="dxa"/>
          <w:tblLook w:val="04A0"/>
        </w:tblPrEx>
        <w:tc>
          <w:tcPr>
            <w:tcW w:w="7740" w:type="dxa"/>
          </w:tcPr>
          <w:p w:rsidR="0082165D" w:rsidP="0082165D" w14:paraId="141DCA35" w14:textId="04B90BC4">
            <w:pPr>
              <w:rPr>
                <w:szCs w:val="22"/>
              </w:rPr>
            </w:pPr>
            <w:r>
              <w:rPr>
                <w:szCs w:val="22"/>
              </w:rPr>
              <w:t xml:space="preserve">Telecommunications equipment produced </w:t>
            </w:r>
            <w:r w:rsidR="00DF336C">
              <w:rPr>
                <w:szCs w:val="22"/>
              </w:rPr>
              <w:t xml:space="preserve">or provided </w:t>
            </w:r>
            <w:r>
              <w:rPr>
                <w:szCs w:val="22"/>
              </w:rPr>
              <w:t xml:space="preserve">by </w:t>
            </w:r>
            <w:r w:rsidRPr="00333640">
              <w:rPr>
                <w:b/>
                <w:bCs/>
                <w:szCs w:val="22"/>
              </w:rPr>
              <w:t>ZTE Corporation</w:t>
            </w:r>
            <w:r>
              <w:t>, including telecommunications or video</w:t>
            </w:r>
            <w:r w:rsidR="00333640">
              <w:t xml:space="preserve"> surveillance</w:t>
            </w:r>
            <w:r>
              <w:t xml:space="preserve"> services provided </w:t>
            </w:r>
            <w:r w:rsidR="00DF336C">
              <w:t xml:space="preserve">or provided </w:t>
            </w:r>
            <w:r>
              <w:t>by such entit</w:t>
            </w:r>
            <w:r w:rsidR="00294497">
              <w:t>y</w:t>
            </w:r>
            <w:r>
              <w:t xml:space="preserve"> or using such equipment.</w:t>
            </w:r>
          </w:p>
          <w:p w:rsidR="0082165D" w:rsidP="006D1C17" w14:paraId="55E3047B" w14:textId="77777777">
            <w:pPr>
              <w:rPr>
                <w:szCs w:val="22"/>
              </w:rPr>
            </w:pPr>
          </w:p>
        </w:tc>
        <w:tc>
          <w:tcPr>
            <w:tcW w:w="2610" w:type="dxa"/>
          </w:tcPr>
          <w:p w:rsidR="00850C1A" w:rsidP="00F72D61" w14:paraId="012FC97D" w14:textId="77777777">
            <w:pPr>
              <w:jc w:val="center"/>
              <w:rPr>
                <w:szCs w:val="22"/>
              </w:rPr>
            </w:pPr>
          </w:p>
          <w:p w:rsidR="00562AC1" w:rsidP="00F72D61" w14:paraId="21517BFB" w14:textId="03550793">
            <w:pPr>
              <w:jc w:val="center"/>
              <w:rPr>
                <w:szCs w:val="22"/>
              </w:rPr>
            </w:pPr>
            <w:r>
              <w:rPr>
                <w:szCs w:val="22"/>
              </w:rPr>
              <w:t>March 12, 2021</w:t>
            </w:r>
          </w:p>
        </w:tc>
      </w:tr>
      <w:tr w14:paraId="1C20398C" w14:textId="77777777" w:rsidTr="00333640">
        <w:tblPrEx>
          <w:tblW w:w="10350" w:type="dxa"/>
          <w:tblInd w:w="-365" w:type="dxa"/>
          <w:tblLook w:val="04A0"/>
        </w:tblPrEx>
        <w:tc>
          <w:tcPr>
            <w:tcW w:w="7740" w:type="dxa"/>
          </w:tcPr>
          <w:p w:rsidR="00562AC1" w:rsidRPr="00333640" w:rsidP="006D1C17" w14:paraId="0C68D8CD" w14:textId="1C3160FE">
            <w:r>
              <w:t>V</w:t>
            </w:r>
            <w:r w:rsidRPr="00A1783E">
              <w:t xml:space="preserve">ideo surveillance and telecommunications equipment produced </w:t>
            </w:r>
            <w:r w:rsidR="00DF336C">
              <w:t xml:space="preserve">or provided </w:t>
            </w:r>
            <w:r w:rsidRPr="00A1783E">
              <w:t xml:space="preserve">by </w:t>
            </w:r>
            <w:r w:rsidRPr="00333640">
              <w:rPr>
                <w:b/>
                <w:bCs/>
              </w:rPr>
              <w:t>Hytera Communications Corporation</w:t>
            </w:r>
            <w:r>
              <w:t>, to the extent it is used for the purpose of public safety, security of government facilities, physical security surveillance of critical infrastructure, and other national security purposes</w:t>
            </w:r>
            <w:r w:rsidR="00AD085A">
              <w:t xml:space="preserve">, </w:t>
            </w:r>
            <w:r>
              <w:t>including telecommunications or video surveillance services pro</w:t>
            </w:r>
            <w:r w:rsidR="00DF336C">
              <w:t>duced</w:t>
            </w:r>
            <w:r>
              <w:t xml:space="preserve"> </w:t>
            </w:r>
            <w:r w:rsidR="00DF336C">
              <w:t xml:space="preserve">or provided </w:t>
            </w:r>
            <w:r>
              <w:t>by such entit</w:t>
            </w:r>
            <w:r w:rsidR="00294497">
              <w:t>y</w:t>
            </w:r>
            <w:r>
              <w:t xml:space="preserve"> or using such equipment.</w:t>
            </w:r>
          </w:p>
          <w:p w:rsidR="0082165D" w:rsidP="006D1C17" w14:paraId="2D51E91F" w14:textId="77777777">
            <w:pPr>
              <w:rPr>
                <w:szCs w:val="22"/>
              </w:rPr>
            </w:pPr>
          </w:p>
        </w:tc>
        <w:tc>
          <w:tcPr>
            <w:tcW w:w="2610" w:type="dxa"/>
          </w:tcPr>
          <w:p w:rsidR="00333640" w:rsidP="00F72D61" w14:paraId="3A690A07" w14:textId="77777777">
            <w:pPr>
              <w:jc w:val="center"/>
              <w:rPr>
                <w:szCs w:val="22"/>
              </w:rPr>
            </w:pPr>
          </w:p>
          <w:p w:rsidR="00333640" w:rsidP="00F72D61" w14:paraId="6AB2781F" w14:textId="77777777">
            <w:pPr>
              <w:jc w:val="center"/>
              <w:rPr>
                <w:szCs w:val="22"/>
              </w:rPr>
            </w:pPr>
          </w:p>
          <w:p w:rsidR="00562AC1" w:rsidP="00F72D61" w14:paraId="5BB72556" w14:textId="701036AA">
            <w:pPr>
              <w:jc w:val="center"/>
              <w:rPr>
                <w:szCs w:val="22"/>
              </w:rPr>
            </w:pPr>
            <w:r>
              <w:rPr>
                <w:szCs w:val="22"/>
              </w:rPr>
              <w:t>March 12, 2021</w:t>
            </w:r>
          </w:p>
        </w:tc>
      </w:tr>
      <w:tr w14:paraId="5AAAC983" w14:textId="77777777" w:rsidTr="00333640">
        <w:tblPrEx>
          <w:tblW w:w="10350" w:type="dxa"/>
          <w:tblInd w:w="-365" w:type="dxa"/>
          <w:tblLook w:val="04A0"/>
        </w:tblPrEx>
        <w:tc>
          <w:tcPr>
            <w:tcW w:w="7740" w:type="dxa"/>
          </w:tcPr>
          <w:p w:rsidR="0082165D" w:rsidP="006D1C17" w14:paraId="1B4C7984" w14:textId="5199D14C">
            <w:r>
              <w:t>V</w:t>
            </w:r>
            <w:r w:rsidRPr="00A1783E">
              <w:t xml:space="preserve">ideo surveillance and telecommunications equipment produced </w:t>
            </w:r>
            <w:r w:rsidR="00DF336C">
              <w:t xml:space="preserve">or provided </w:t>
            </w:r>
            <w:r w:rsidRPr="00A1783E">
              <w:t xml:space="preserve">by </w:t>
            </w:r>
            <w:r w:rsidRPr="00333640">
              <w:rPr>
                <w:b/>
                <w:bCs/>
              </w:rPr>
              <w:t>Hangzhou Hikvision Digital Technology Company</w:t>
            </w:r>
            <w:r>
              <w:t xml:space="preserve">, to the extent it is used for the purpose of public safety, security of government facilities, physical security surveillance of critical infrastructure, and other national security purposes, including telecommunications or video surveillance services </w:t>
            </w:r>
            <w:r w:rsidR="00DF336C">
              <w:t xml:space="preserve">produced or </w:t>
            </w:r>
            <w:r>
              <w:t>provided by such entit</w:t>
            </w:r>
            <w:r w:rsidR="00294497">
              <w:t>y</w:t>
            </w:r>
            <w:r>
              <w:t xml:space="preserve"> or using such equipment.</w:t>
            </w:r>
          </w:p>
          <w:p w:rsidR="00333640" w:rsidRPr="00333640" w:rsidP="006D1C17" w14:paraId="5FDE85A2" w14:textId="77777777"/>
        </w:tc>
        <w:tc>
          <w:tcPr>
            <w:tcW w:w="2610" w:type="dxa"/>
          </w:tcPr>
          <w:p w:rsidR="00333640" w:rsidP="00F72D61" w14:paraId="76B97908" w14:textId="77777777">
            <w:pPr>
              <w:jc w:val="center"/>
              <w:rPr>
                <w:szCs w:val="22"/>
              </w:rPr>
            </w:pPr>
          </w:p>
          <w:p w:rsidR="00333640" w:rsidP="00F72D61" w14:paraId="4465184C" w14:textId="77777777">
            <w:pPr>
              <w:jc w:val="center"/>
              <w:rPr>
                <w:szCs w:val="22"/>
              </w:rPr>
            </w:pPr>
          </w:p>
          <w:p w:rsidR="00333640" w:rsidP="00F72D61" w14:paraId="75620721" w14:textId="77777777">
            <w:pPr>
              <w:jc w:val="center"/>
              <w:rPr>
                <w:szCs w:val="22"/>
              </w:rPr>
            </w:pPr>
          </w:p>
          <w:p w:rsidR="00562AC1" w:rsidP="00F72D61" w14:paraId="4CB86FEE" w14:textId="390E14AB">
            <w:pPr>
              <w:jc w:val="center"/>
              <w:rPr>
                <w:szCs w:val="22"/>
              </w:rPr>
            </w:pPr>
            <w:r>
              <w:rPr>
                <w:szCs w:val="22"/>
              </w:rPr>
              <w:t>March 12, 2021</w:t>
            </w:r>
          </w:p>
        </w:tc>
      </w:tr>
      <w:tr w14:paraId="1D77BC82" w14:textId="77777777" w:rsidTr="00333640">
        <w:tblPrEx>
          <w:tblW w:w="10350" w:type="dxa"/>
          <w:tblInd w:w="-365" w:type="dxa"/>
          <w:tblLook w:val="04A0"/>
        </w:tblPrEx>
        <w:tc>
          <w:tcPr>
            <w:tcW w:w="7740" w:type="dxa"/>
          </w:tcPr>
          <w:p w:rsidR="0082165D" w:rsidRPr="00333640" w:rsidP="006D1C17" w14:paraId="65018E70" w14:textId="6DD3E3C6">
            <w:r>
              <w:t>V</w:t>
            </w:r>
            <w:r w:rsidRPr="00A1783E">
              <w:t xml:space="preserve">ideo surveillance and telecommunications equipment produced </w:t>
            </w:r>
            <w:r w:rsidR="00DF336C">
              <w:t xml:space="preserve">or provided </w:t>
            </w:r>
            <w:r w:rsidRPr="00A1783E">
              <w:t xml:space="preserve">by </w:t>
            </w:r>
            <w:r w:rsidRPr="00333640">
              <w:rPr>
                <w:b/>
                <w:bCs/>
              </w:rPr>
              <w:t>Dahua Technology Company</w:t>
            </w:r>
            <w:r>
              <w:t xml:space="preserve">, to the extent it is used for the purpose of public safety, security of government facilities, physical security surveillance of critical infrastructure, and other national security purposes, including telecommunications or video surveillance services </w:t>
            </w:r>
            <w:r w:rsidR="00DF336C">
              <w:t xml:space="preserve">produced or </w:t>
            </w:r>
            <w:r>
              <w:t>provided by such entit</w:t>
            </w:r>
            <w:r w:rsidR="00294497">
              <w:t>y</w:t>
            </w:r>
            <w:r>
              <w:t xml:space="preserve"> or using such equipment.</w:t>
            </w:r>
          </w:p>
        </w:tc>
        <w:tc>
          <w:tcPr>
            <w:tcW w:w="2610" w:type="dxa"/>
          </w:tcPr>
          <w:p w:rsidR="00333640" w:rsidP="006D1C17" w14:paraId="07C25574" w14:textId="77777777">
            <w:pPr>
              <w:rPr>
                <w:szCs w:val="22"/>
              </w:rPr>
            </w:pPr>
          </w:p>
          <w:p w:rsidR="00333640" w:rsidP="006D1C17" w14:paraId="4554F2CC" w14:textId="77777777">
            <w:pPr>
              <w:rPr>
                <w:szCs w:val="22"/>
              </w:rPr>
            </w:pPr>
          </w:p>
          <w:p w:rsidR="00562AC1" w:rsidP="00F72D61" w14:paraId="66F343AA" w14:textId="7A477436">
            <w:pPr>
              <w:jc w:val="center"/>
              <w:rPr>
                <w:szCs w:val="22"/>
              </w:rPr>
            </w:pPr>
            <w:r>
              <w:rPr>
                <w:szCs w:val="22"/>
              </w:rPr>
              <w:t>March 12, 2021</w:t>
            </w:r>
          </w:p>
        </w:tc>
      </w:tr>
      <w:tr w14:paraId="1BC584E6" w14:textId="77777777" w:rsidTr="00333640">
        <w:tblPrEx>
          <w:tblW w:w="10350" w:type="dxa"/>
          <w:tblInd w:w="-365" w:type="dxa"/>
          <w:tblLook w:val="04A0"/>
        </w:tblPrEx>
        <w:tc>
          <w:tcPr>
            <w:tcW w:w="7740" w:type="dxa"/>
          </w:tcPr>
          <w:p w:rsidR="00781DE3" w:rsidP="006D1C17" w14:paraId="6AD37784" w14:textId="433B0BE2">
            <w:r>
              <w:t xml:space="preserve">Information security products, solutions, and services supplied, directly or indirectly, by </w:t>
            </w:r>
            <w:r w:rsidRPr="00F72D61">
              <w:rPr>
                <w:b/>
                <w:bCs/>
              </w:rPr>
              <w:t>AO Kaspersky Lab</w:t>
            </w:r>
            <w:r>
              <w:t xml:space="preserve"> or any of its predecessors, successors, parents, subsidiaries, or affiliates.</w:t>
            </w:r>
          </w:p>
        </w:tc>
        <w:tc>
          <w:tcPr>
            <w:tcW w:w="2610" w:type="dxa"/>
          </w:tcPr>
          <w:p w:rsidR="00781DE3" w:rsidP="00F72D61" w14:paraId="4D9D0494" w14:textId="74D39B6D">
            <w:pPr>
              <w:jc w:val="center"/>
              <w:rPr>
                <w:szCs w:val="22"/>
              </w:rPr>
            </w:pPr>
            <w:r>
              <w:rPr>
                <w:szCs w:val="22"/>
              </w:rPr>
              <w:t xml:space="preserve">March </w:t>
            </w:r>
            <w:r w:rsidR="002C6E0B">
              <w:rPr>
                <w:szCs w:val="22"/>
              </w:rPr>
              <w:t>25</w:t>
            </w:r>
            <w:r>
              <w:rPr>
                <w:szCs w:val="22"/>
              </w:rPr>
              <w:t>, 2022</w:t>
            </w:r>
          </w:p>
        </w:tc>
      </w:tr>
      <w:tr w14:paraId="0BB1A8F5" w14:textId="77777777" w:rsidTr="00333640">
        <w:tblPrEx>
          <w:tblW w:w="10350" w:type="dxa"/>
          <w:tblInd w:w="-365" w:type="dxa"/>
          <w:tblLook w:val="04A0"/>
        </w:tblPrEx>
        <w:tc>
          <w:tcPr>
            <w:tcW w:w="7740" w:type="dxa"/>
          </w:tcPr>
          <w:p w:rsidR="00781DE3" w:rsidP="006D1C17" w14:paraId="62DE3B2C" w14:textId="2188C90B">
            <w:r>
              <w:t xml:space="preserve">International </w:t>
            </w:r>
            <w:r w:rsidR="00737488">
              <w:t xml:space="preserve">telecommunications services provided by </w:t>
            </w:r>
            <w:r w:rsidRPr="00F72D61" w:rsidR="00737488">
              <w:rPr>
                <w:b/>
                <w:bCs/>
              </w:rPr>
              <w:t>China Mobile</w:t>
            </w:r>
            <w:r w:rsidRPr="00B11608" w:rsidR="00B2551B">
              <w:rPr>
                <w:b/>
                <w:bCs/>
                <w:szCs w:val="22"/>
              </w:rPr>
              <w:t xml:space="preserve"> International USA Inc.</w:t>
            </w:r>
            <w:r w:rsidR="00737488">
              <w:t xml:space="preserve"> </w:t>
            </w:r>
            <w:r w:rsidR="00806C6F">
              <w:t>subject</w:t>
            </w:r>
            <w:r w:rsidR="000308F5">
              <w:t xml:space="preserve"> to </w:t>
            </w:r>
            <w:r w:rsidR="00737488">
              <w:t xml:space="preserve">section 214 </w:t>
            </w:r>
            <w:r w:rsidR="000308F5">
              <w:t xml:space="preserve">of the Communications Act of 1934. </w:t>
            </w:r>
          </w:p>
        </w:tc>
        <w:tc>
          <w:tcPr>
            <w:tcW w:w="2610" w:type="dxa"/>
          </w:tcPr>
          <w:p w:rsidR="00781DE3" w:rsidP="00F72D61" w14:paraId="0290E519" w14:textId="56A1E692">
            <w:pPr>
              <w:jc w:val="center"/>
              <w:rPr>
                <w:szCs w:val="22"/>
              </w:rPr>
            </w:pPr>
            <w:r>
              <w:rPr>
                <w:szCs w:val="22"/>
              </w:rPr>
              <w:t xml:space="preserve">March </w:t>
            </w:r>
            <w:r w:rsidR="002C6E0B">
              <w:rPr>
                <w:szCs w:val="22"/>
              </w:rPr>
              <w:t>25</w:t>
            </w:r>
            <w:r>
              <w:rPr>
                <w:szCs w:val="22"/>
              </w:rPr>
              <w:t>, 2022</w:t>
            </w:r>
          </w:p>
        </w:tc>
      </w:tr>
      <w:tr w14:paraId="04EB566A" w14:textId="77777777" w:rsidTr="00333640">
        <w:tblPrEx>
          <w:tblW w:w="10350" w:type="dxa"/>
          <w:tblInd w:w="-365" w:type="dxa"/>
          <w:tblLook w:val="04A0"/>
        </w:tblPrEx>
        <w:tc>
          <w:tcPr>
            <w:tcW w:w="7740" w:type="dxa"/>
          </w:tcPr>
          <w:p w:rsidR="00AB2C66" w:rsidP="006D1C17" w14:paraId="1E0703FE" w14:textId="5CE2215C">
            <w:r>
              <w:t>T</w:t>
            </w:r>
            <w:r w:rsidR="00737488">
              <w:t xml:space="preserve">elecommunications services provided by </w:t>
            </w:r>
            <w:r w:rsidRPr="00F72D61">
              <w:rPr>
                <w:b/>
                <w:bCs/>
              </w:rPr>
              <w:t>China Telecom</w:t>
            </w:r>
            <w:r w:rsidR="00007120">
              <w:rPr>
                <w:b/>
                <w:bCs/>
              </w:rPr>
              <w:t xml:space="preserve"> (Americas) Corp.</w:t>
            </w:r>
            <w:r w:rsidR="00737488">
              <w:t xml:space="preserve"> </w:t>
            </w:r>
            <w:r w:rsidR="000A3A7B">
              <w:t xml:space="preserve">subject </w:t>
            </w:r>
            <w:r w:rsidR="00737488">
              <w:t xml:space="preserve">to section 214 </w:t>
            </w:r>
            <w:r w:rsidR="000A3A7B">
              <w:t>of the Communications Act of 1934.</w:t>
            </w:r>
          </w:p>
        </w:tc>
        <w:tc>
          <w:tcPr>
            <w:tcW w:w="2610" w:type="dxa"/>
          </w:tcPr>
          <w:p w:rsidR="00AB2C66" w:rsidP="00F72D61" w14:paraId="0E30E5C4" w14:textId="33105062">
            <w:pPr>
              <w:jc w:val="center"/>
              <w:rPr>
                <w:szCs w:val="22"/>
              </w:rPr>
            </w:pPr>
            <w:r>
              <w:rPr>
                <w:szCs w:val="22"/>
              </w:rPr>
              <w:t>March</w:t>
            </w:r>
            <w:r w:rsidR="002C6E0B">
              <w:rPr>
                <w:szCs w:val="22"/>
              </w:rPr>
              <w:t xml:space="preserve"> 25</w:t>
            </w:r>
            <w:r>
              <w:rPr>
                <w:szCs w:val="22"/>
              </w:rPr>
              <w:t>, 2022</w:t>
            </w:r>
          </w:p>
        </w:tc>
      </w:tr>
    </w:tbl>
    <w:p w:rsidR="00850C1A" w:rsidP="008D79C9" w14:paraId="15878259" w14:textId="77777777">
      <w:pPr>
        <w:spacing w:after="120"/>
        <w:rPr>
          <w:szCs w:val="22"/>
        </w:rPr>
      </w:pPr>
    </w:p>
    <w:p w:rsidR="0082165D" w:rsidP="008D79C9" w14:paraId="0AA04FE0" w14:textId="7FD9E578">
      <w:pPr>
        <w:spacing w:after="120"/>
        <w:rPr>
          <w:szCs w:val="22"/>
        </w:rPr>
      </w:pPr>
      <w:r>
        <w:rPr>
          <w:szCs w:val="22"/>
        </w:rPr>
        <w:t>*</w:t>
      </w:r>
      <w:r w:rsidR="00FB3EAB">
        <w:rPr>
          <w:szCs w:val="22"/>
        </w:rPr>
        <w:t>T</w:t>
      </w:r>
      <w:r w:rsidR="00AD085A">
        <w:rPr>
          <w:szCs w:val="22"/>
        </w:rPr>
        <w:t xml:space="preserve">he inclusion of </w:t>
      </w:r>
      <w:r w:rsidR="00DF336C">
        <w:rPr>
          <w:szCs w:val="22"/>
        </w:rPr>
        <w:t xml:space="preserve">producers or </w:t>
      </w:r>
      <w:r w:rsidR="00970ED7">
        <w:rPr>
          <w:szCs w:val="22"/>
        </w:rPr>
        <w:t xml:space="preserve">providers of equipment or services identified on this list should be read to include the subsidiaries and affiliates of such entities. </w:t>
      </w:r>
    </w:p>
    <w:p w:rsidR="003666D7" w:rsidRPr="000A626E" w:rsidP="00F96F63" w14:paraId="4324F90D" w14:textId="5C0BE3DA">
      <w:pPr>
        <w:rPr>
          <w:rFonts w:eastAsia="Gungsuh"/>
          <w:szCs w:val="22"/>
        </w:rPr>
      </w:pPr>
      <w:r>
        <w:rPr>
          <w:rFonts w:eastAsia="Gungsuh"/>
          <w:szCs w:val="22"/>
        </w:rPr>
        <w:t>†</w:t>
      </w:r>
      <w:r w:rsidR="00FB3EAB">
        <w:rPr>
          <w:rFonts w:eastAsia="Gungsuh"/>
          <w:szCs w:val="22"/>
        </w:rPr>
        <w:t>W</w:t>
      </w:r>
      <w:r w:rsidR="00291933">
        <w:rPr>
          <w:rFonts w:eastAsia="Gungsuh"/>
          <w:szCs w:val="22"/>
        </w:rPr>
        <w:t xml:space="preserve">here equipment </w:t>
      </w:r>
      <w:r w:rsidR="000A626E">
        <w:rPr>
          <w:rFonts w:eastAsia="Gungsuh"/>
          <w:szCs w:val="22"/>
        </w:rPr>
        <w:t xml:space="preserve">or services on the list are identified by category, such category should be </w:t>
      </w:r>
      <w:r w:rsidR="008D79C9">
        <w:rPr>
          <w:rFonts w:eastAsia="Gungsuh"/>
          <w:szCs w:val="22"/>
        </w:rPr>
        <w:t xml:space="preserve">construed to include only equipment or services </w:t>
      </w:r>
      <w:r w:rsidRPr="00A1783E" w:rsidR="008D79C9">
        <w:t xml:space="preserve">capable of the functions outlined in sections 2(b)(2)(A), (B), or (C) of the </w:t>
      </w:r>
      <w:r w:rsidR="008D79C9">
        <w:t xml:space="preserve">Secure and Trusted Communications Networks Act of 2019, </w:t>
      </w:r>
      <w:r w:rsidR="00E96230">
        <w:t>47 U.S.C. § 1601(b)(2)(</w:t>
      </w:r>
      <w:r w:rsidR="00067DB1">
        <w:t>A)-(C)</w:t>
      </w:r>
      <w:r w:rsidR="0068376B">
        <w:t>.</w:t>
      </w: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E04CBE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90E1A5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6D79C3C" w14:textId="77777777">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36F18A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627C5" w14:paraId="6198BEED" w14:textId="77777777">
      <w:r>
        <w:separator/>
      </w:r>
    </w:p>
  </w:footnote>
  <w:footnote w:type="continuationSeparator" w:id="1">
    <w:p w:rsidR="007627C5" w14:paraId="55024EF9" w14:textId="77777777">
      <w:pPr>
        <w:rPr>
          <w:sz w:val="20"/>
        </w:rPr>
      </w:pPr>
      <w:r>
        <w:rPr>
          <w:sz w:val="20"/>
        </w:rPr>
        <w:t xml:space="preserve">(Continued from previous page)  </w:t>
      </w:r>
      <w:r>
        <w:rPr>
          <w:sz w:val="20"/>
        </w:rPr>
        <w:separator/>
      </w:r>
    </w:p>
  </w:footnote>
  <w:footnote w:type="continuationNotice" w:id="2">
    <w:p w:rsidR="007627C5" w:rsidP="00910F12" w14:paraId="15261BF0" w14:textId="77777777">
      <w:pPr>
        <w:jc w:val="right"/>
        <w:rPr>
          <w:sz w:val="20"/>
        </w:rPr>
      </w:pPr>
      <w:r>
        <w:rPr>
          <w:sz w:val="20"/>
        </w:rPr>
        <w:t>(continued….)</w:t>
      </w:r>
    </w:p>
  </w:footnote>
  <w:footnote w:id="3">
    <w:p w:rsidR="00D93DF1" w:rsidP="3679D128" w14:paraId="59D5C260" w14:textId="77777777">
      <w:pPr>
        <w:pStyle w:val="FootnoteText"/>
      </w:pPr>
      <w:r w:rsidRPr="3679D128">
        <w:rPr>
          <w:rStyle w:val="FootnoteReference"/>
        </w:rPr>
        <w:footnoteRef/>
      </w:r>
      <w:r>
        <w:t xml:space="preserve"> Secure and Trusted Communications Networks Act of 2019, Pub. L. No. 116-124, 133 Stat. 158 (2020) (codified as amended at 47 U.S.C. §§ 1601–1609) (Secure Networks Act).</w:t>
      </w:r>
    </w:p>
  </w:footnote>
  <w:footnote w:id="4">
    <w:p w:rsidR="00D93DF1" w14:paraId="788ED1D6" w14:textId="429062EF">
      <w:pPr>
        <w:pStyle w:val="FootnoteText"/>
      </w:pPr>
      <w:r>
        <w:rPr>
          <w:rStyle w:val="FootnoteReference"/>
        </w:rPr>
        <w:footnoteRef/>
      </w:r>
      <w:r>
        <w:t xml:space="preserve"> </w:t>
      </w:r>
      <w:r w:rsidRPr="00557F08" w:rsidR="002B4B71">
        <w:rPr>
          <w:i/>
          <w:iCs/>
        </w:rPr>
        <w:t>Protecting Against National Security Threats to the Communications Supply Chain Through FCC Programs</w:t>
      </w:r>
      <w:r w:rsidR="002B4B71">
        <w:t xml:space="preserve">, WC Docket No. 18-89, Second Report and Order, </w:t>
      </w:r>
      <w:r w:rsidRPr="004871D9" w:rsidR="002B4B71">
        <w:t xml:space="preserve">35 FCC </w:t>
      </w:r>
      <w:r w:rsidRPr="004871D9" w:rsidR="002B4B71">
        <w:t>Rcd</w:t>
      </w:r>
      <w:r w:rsidRPr="004871D9" w:rsidR="002B4B71">
        <w:t xml:space="preserve"> 14284 </w:t>
      </w:r>
      <w:r w:rsidR="002B4B71">
        <w:t>(2020) (</w:t>
      </w:r>
      <w:r w:rsidR="002B4B71">
        <w:rPr>
          <w:i/>
          <w:iCs/>
        </w:rPr>
        <w:t>Supply Chain Second Report and Order</w:t>
      </w:r>
      <w:r w:rsidR="002B4B71">
        <w:t xml:space="preserve">) (adopting 47 CFR </w:t>
      </w:r>
      <w:r w:rsidRPr="002E23A9" w:rsidR="002B4B71">
        <w:t>§</w:t>
      </w:r>
      <w:r w:rsidR="00781DE3">
        <w:t>§</w:t>
      </w:r>
      <w:r w:rsidR="002B4B71">
        <w:t xml:space="preserve"> 1.50002</w:t>
      </w:r>
      <w:r w:rsidR="00781DE3">
        <w:t>, 1.50003</w:t>
      </w:r>
      <w:r w:rsidR="002B4B71">
        <w:t>).</w:t>
      </w:r>
    </w:p>
  </w:footnote>
  <w:footnote w:id="5">
    <w:p w:rsidR="00093E51" w14:paraId="187979FE" w14:textId="2627AC99">
      <w:pPr>
        <w:pStyle w:val="FootnoteText"/>
      </w:pPr>
      <w:r>
        <w:rPr>
          <w:rStyle w:val="FootnoteReference"/>
        </w:rPr>
        <w:footnoteRef/>
      </w:r>
      <w:r>
        <w:t xml:space="preserve"> </w:t>
      </w:r>
      <w:r w:rsidR="00382BE9">
        <w:t xml:space="preserve">47 U.S.C. § 1601(d)(1); </w:t>
      </w:r>
      <w:r w:rsidR="00781DE3">
        <w:t>47 CFR § 1.50003(a).</w:t>
      </w:r>
    </w:p>
  </w:footnote>
  <w:footnote w:id="6">
    <w:p w:rsidR="00D93DF1" w:rsidP="002700B1" w14:paraId="4FA61C8E" w14:textId="77777777">
      <w:pPr>
        <w:pStyle w:val="FootnoteText"/>
      </w:pPr>
      <w:r>
        <w:rPr>
          <w:rStyle w:val="FootnoteReference"/>
        </w:rPr>
        <w:footnoteRef/>
      </w:r>
      <w:r>
        <w:t xml:space="preserve"> </w:t>
      </w:r>
      <w:r>
        <w:rPr>
          <w:i/>
          <w:iCs/>
        </w:rPr>
        <w:t xml:space="preserve">See </w:t>
      </w:r>
      <w:r w:rsidR="00251915">
        <w:rPr>
          <w:i/>
          <w:iCs/>
        </w:rPr>
        <w:t>Supply Chain Second Report and Order</w:t>
      </w:r>
      <w:r w:rsidR="00586729">
        <w:t>,</w:t>
      </w:r>
      <w:r w:rsidR="00251915">
        <w:t xml:space="preserve"> 35 FCC </w:t>
      </w:r>
      <w:r w:rsidR="00251915">
        <w:t>Rcd</w:t>
      </w:r>
      <w:r w:rsidR="00023EEF">
        <w:t xml:space="preserve"> at</w:t>
      </w:r>
      <w:r w:rsidR="00251915">
        <w:t xml:space="preserve"> </w:t>
      </w:r>
      <w:r w:rsidR="0064558E">
        <w:t>14311-</w:t>
      </w:r>
      <w:r w:rsidR="002C6A5F">
        <w:t>2</w:t>
      </w:r>
      <w:r w:rsidR="00F743E0">
        <w:t>5</w:t>
      </w:r>
      <w:r w:rsidR="00023EEF">
        <w:t>,</w:t>
      </w:r>
      <w:r>
        <w:t xml:space="preserve"> paras. 57-92. </w:t>
      </w:r>
    </w:p>
  </w:footnote>
  <w:footnote w:id="7">
    <w:p w:rsidR="00A9497B" w:rsidP="00A9497B" w14:paraId="4D4DBE94" w14:textId="409DD624">
      <w:pPr>
        <w:pStyle w:val="FootnoteText"/>
      </w:pPr>
      <w:r>
        <w:rPr>
          <w:rStyle w:val="FootnoteReference"/>
        </w:rPr>
        <w:footnoteRef/>
      </w:r>
      <w:r w:rsidR="00615D78">
        <w:t xml:space="preserve"> The Commission found that if </w:t>
      </w:r>
      <w:r w:rsidR="00C850D4">
        <w:t xml:space="preserve">a determination by </w:t>
      </w:r>
      <w:r w:rsidR="00615D78">
        <w:t>a</w:t>
      </w:r>
      <w:r w:rsidR="000344D4">
        <w:t>n</w:t>
      </w:r>
      <w:r w:rsidR="00615D78">
        <w:t xml:space="preserve"> enumerated national security agency, or intergovernmental agency with national security expertise, “indicates that a specific piece of equipment or service poses an unacceptable risk to the national security of the United States and the security and safety of United States persons, the Commission will automatically include this determination on the Covered Lis</w:t>
      </w:r>
      <w:r w:rsidR="00700461">
        <w:t>t.</w:t>
      </w:r>
      <w:r w:rsidR="000344D4">
        <w:t>”</w:t>
      </w:r>
      <w:r w:rsidR="00700461">
        <w:t xml:space="preserve">  </w:t>
      </w:r>
      <w:r w:rsidR="00700461">
        <w:rPr>
          <w:i/>
          <w:iCs/>
        </w:rPr>
        <w:t>Supply Chain Second Report and Order</w:t>
      </w:r>
      <w:r w:rsidR="00700461">
        <w:t xml:space="preserve">, 35 FCC </w:t>
      </w:r>
      <w:r w:rsidR="00700461">
        <w:t>Rcd</w:t>
      </w:r>
      <w:r w:rsidR="00700461">
        <w:t xml:space="preserve"> at 14382, para. 80.  The Commission took th</w:t>
      </w:r>
      <w:r w:rsidR="00613B76">
        <w:t>is</w:t>
      </w:r>
      <w:r w:rsidR="00700461">
        <w:t xml:space="preserve"> approach “because of the plain language in section 2(b)(2)(C) which lists, among other equipment or service capabilities mandating inclusion on the Covered List, whether the equipment or service poses an unacceptable risk to the national security of the United States or the security and safety of United States persons. </w:t>
      </w:r>
      <w:r w:rsidR="00F94211">
        <w:t xml:space="preserve"> </w:t>
      </w:r>
      <w:r w:rsidR="00700461">
        <w:t xml:space="preserve">If an enumerated source has already performed this analysis as part of its determination, the only action we need take is to incorporate this determination onto the Covered List.” </w:t>
      </w:r>
      <w:r w:rsidR="00700461">
        <w:rPr>
          <w:i/>
          <w:iCs/>
        </w:rPr>
        <w:t>Id.</w:t>
      </w:r>
      <w:r w:rsidR="00700461">
        <w:t xml:space="preserve">  </w:t>
      </w:r>
      <w:r>
        <w:t xml:space="preserve"> The Commission, in adopting the rules, interpreted Congress’s use of the words “shall place” to mean we have no discretion to disregard determinations from these enumerated sources.</w:t>
      </w:r>
      <w:r w:rsidR="000C52B1">
        <w:t xml:space="preserve"> </w:t>
      </w:r>
      <w:r>
        <w:t xml:space="preserve"> </w:t>
      </w:r>
      <w:r>
        <w:rPr>
          <w:i/>
          <w:iCs/>
        </w:rPr>
        <w:t>Supply Chain Second Report and Order</w:t>
      </w:r>
      <w:r>
        <w:t xml:space="preserve">, 35 FCC </w:t>
      </w:r>
      <w:r>
        <w:t>Rcd</w:t>
      </w:r>
      <w:r>
        <w:t xml:space="preserve"> at 1431</w:t>
      </w:r>
      <w:r w:rsidR="004E64B4">
        <w:t>2</w:t>
      </w:r>
      <w:r>
        <w:t>, para. 59.</w:t>
      </w:r>
    </w:p>
  </w:footnote>
  <w:footnote w:id="8">
    <w:p w:rsidR="002F1A34" w14:paraId="0F261071" w14:textId="478C01A1">
      <w:pPr>
        <w:pStyle w:val="FootnoteText"/>
      </w:pPr>
      <w:r>
        <w:rPr>
          <w:rStyle w:val="FootnoteReference"/>
        </w:rPr>
        <w:footnoteRef/>
      </w:r>
      <w:r>
        <w:t xml:space="preserve"> </w:t>
      </w:r>
      <w:r w:rsidR="00CA34DF">
        <w:t xml:space="preserve">47 CFR § 1.50002; </w:t>
      </w:r>
      <w:r w:rsidR="00CA34DF">
        <w:rPr>
          <w:i/>
          <w:iCs/>
        </w:rPr>
        <w:t xml:space="preserve">see also </w:t>
      </w:r>
      <w:r w:rsidR="001128B4">
        <w:t>47 U.S.C. § 1601</w:t>
      </w:r>
      <w:r w:rsidR="00CA34DF">
        <w:t>(b)-</w:t>
      </w:r>
      <w:r w:rsidRPr="002141D4" w:rsidR="00CA34DF">
        <w:t>(c)</w:t>
      </w:r>
      <w:r>
        <w:t>.</w:t>
      </w:r>
    </w:p>
  </w:footnote>
  <w:footnote w:id="9">
    <w:p w:rsidR="00762AB5" w14:paraId="656B42A2" w14:textId="6ECF4AD8">
      <w:pPr>
        <w:pStyle w:val="FootnoteText"/>
      </w:pPr>
      <w:r>
        <w:rPr>
          <w:rStyle w:val="FootnoteReference"/>
        </w:rPr>
        <w:footnoteRef/>
      </w:r>
      <w:r>
        <w:t xml:space="preserve"> </w:t>
      </w:r>
      <w:r w:rsidR="00695F73">
        <w:t xml:space="preserve">47 CFR § 1.50002; </w:t>
      </w:r>
      <w:r w:rsidR="00695F73">
        <w:rPr>
          <w:i/>
          <w:iCs/>
        </w:rPr>
        <w:t xml:space="preserve">see also </w:t>
      </w:r>
      <w:r w:rsidR="000B03CD">
        <w:t>47 U.S.C. § 1601</w:t>
      </w:r>
      <w:r w:rsidR="00695F73">
        <w:t>(c)(1), (4)</w:t>
      </w:r>
      <w:r w:rsidR="00615D78">
        <w:t xml:space="preserve">. </w:t>
      </w:r>
      <w:r w:rsidR="0096034A">
        <w:t xml:space="preserve"> </w:t>
      </w:r>
      <w:r w:rsidR="00615D78">
        <w:t xml:space="preserve">The Secure Networks </w:t>
      </w:r>
      <w:r w:rsidR="0096034A">
        <w:t xml:space="preserve">Act </w:t>
      </w:r>
      <w:r w:rsidR="00615D78">
        <w:t>defines “</w:t>
      </w:r>
      <w:r w:rsidR="0096034A">
        <w:t xml:space="preserve">appropriate </w:t>
      </w:r>
      <w:r w:rsidR="00615D78">
        <w:t xml:space="preserve">national security agency” as used in section 2(c)(4) to include the Department of Homeland Security. </w:t>
      </w:r>
      <w:r w:rsidR="008B03BB">
        <w:t xml:space="preserve"> 47 U.S.C. § 1608(2)(A). </w:t>
      </w:r>
    </w:p>
  </w:footnote>
  <w:footnote w:id="10">
    <w:p w:rsidR="00762AB5" w14:paraId="553B16FE" w14:textId="29DE9DCB">
      <w:pPr>
        <w:pStyle w:val="FootnoteText"/>
      </w:pPr>
      <w:r>
        <w:rPr>
          <w:rStyle w:val="FootnoteReference"/>
        </w:rPr>
        <w:footnoteRef/>
      </w:r>
      <w:r>
        <w:t xml:space="preserve"> </w:t>
      </w:r>
      <w:r>
        <w:rPr>
          <w:i/>
          <w:iCs/>
        </w:rPr>
        <w:t>Supply Chain Second Report and Order</w:t>
      </w:r>
      <w:r>
        <w:t xml:space="preserve">, 35 FCC </w:t>
      </w:r>
      <w:r>
        <w:t>Rcd</w:t>
      </w:r>
      <w:r>
        <w:t xml:space="preserve"> at 14312, para. 61.</w:t>
      </w:r>
      <w:r w:rsidR="00700461">
        <w:t xml:space="preserve">  The Executive Branch agencies that jointly made </w:t>
      </w:r>
      <w:r w:rsidR="00907407">
        <w:t xml:space="preserve">the </w:t>
      </w:r>
      <w:r w:rsidR="0076465D">
        <w:t xml:space="preserve">specific </w:t>
      </w:r>
      <w:r w:rsidR="000C554B">
        <w:t xml:space="preserve">determinations </w:t>
      </w:r>
      <w:r w:rsidR="0076465D">
        <w:t xml:space="preserve">that </w:t>
      </w:r>
      <w:r w:rsidR="00907407">
        <w:t xml:space="preserve">we </w:t>
      </w:r>
      <w:r w:rsidR="00752502">
        <w:t>recognize</w:t>
      </w:r>
      <w:r w:rsidR="00907407">
        <w:t xml:space="preserve"> here</w:t>
      </w:r>
      <w:r w:rsidR="00700461">
        <w:t xml:space="preserve"> are DOJ, DHS, DOD, the Departments of State and Commerce, and USTR. These agencies are collectively referred to as the Executive Branch agencies. Th</w:t>
      </w:r>
      <w:r w:rsidR="000C554B">
        <w:t>es</w:t>
      </w:r>
      <w:r w:rsidR="00700461">
        <w:t xml:space="preserve">e Executive Branch agencies are either Members of or Advisors to the Committee </w:t>
      </w:r>
      <w:r w:rsidRPr="004F79A5" w:rsidR="009B26C8">
        <w:t>for the Assessment of Foreign Participation in the United States Telecommunications Services Sector</w:t>
      </w:r>
      <w:r w:rsidR="009B26C8">
        <w:t xml:space="preserve">, which was </w:t>
      </w:r>
      <w:r w:rsidR="00700461">
        <w:t>created pursuant to Executive Order 13913, 85 Fed. Reg. 19643</w:t>
      </w:r>
      <w:r w:rsidR="00463287">
        <w:t xml:space="preserve"> (Apr. 4, 2020).</w:t>
      </w:r>
      <w:r w:rsidR="000A3E55">
        <w:t xml:space="preserve"> </w:t>
      </w:r>
      <w:r w:rsidR="00463287">
        <w:t xml:space="preserve"> </w:t>
      </w:r>
      <w:r w:rsidRPr="00B11608" w:rsidR="00463287">
        <w:rPr>
          <w:i/>
          <w:iCs/>
        </w:rPr>
        <w:t>S</w:t>
      </w:r>
      <w:r w:rsidR="000A3E55">
        <w:rPr>
          <w:i/>
          <w:iCs/>
        </w:rPr>
        <w:t>ee</w:t>
      </w:r>
      <w:r w:rsidR="000A3E55">
        <w:t xml:space="preserve"> </w:t>
      </w:r>
      <w:r w:rsidRPr="004F79A5" w:rsidR="004F79A5">
        <w:t>The Committee for the Assessment of Foreign Participation in the United States Telecommunications Services Sector - Frequently Asked Questions</w:t>
      </w:r>
      <w:r w:rsidR="00752502">
        <w:t xml:space="preserve">, </w:t>
      </w:r>
      <w:hyperlink r:id="rId1" w:history="1">
        <w:r w:rsidRPr="00E832AA" w:rsidR="000A3E55">
          <w:rPr>
            <w:rStyle w:val="Hyperlink"/>
          </w:rPr>
          <w:t>https://www.justice.gov/nsd/committee-assessment-foreign-participation-united-states-telecommunications-services-sector</w:t>
        </w:r>
      </w:hyperlink>
      <w:r w:rsidR="00700461">
        <w:t xml:space="preserve">. </w:t>
      </w:r>
      <w:r w:rsidR="004F79A5">
        <w:t xml:space="preserve"> </w:t>
      </w:r>
    </w:p>
  </w:footnote>
  <w:footnote w:id="11">
    <w:p w:rsidR="00B648EA" w14:paraId="150DFB62" w14:textId="613447E3">
      <w:pPr>
        <w:pStyle w:val="FootnoteText"/>
      </w:pPr>
      <w:r>
        <w:rPr>
          <w:rStyle w:val="FootnoteReference"/>
        </w:rPr>
        <w:footnoteRef/>
      </w:r>
      <w:r w:rsidR="00762AB5">
        <w:t xml:space="preserve"> National Protection and Programs Directorate, DHS, </w:t>
      </w:r>
      <w:r w:rsidRPr="00B11608" w:rsidR="00762AB5">
        <w:rPr>
          <w:i/>
          <w:iCs/>
        </w:rPr>
        <w:t>Notification of Issuance of Binding Operational Directive 17-01 and Establishment of Procedures for Responses</w:t>
      </w:r>
      <w:r w:rsidR="00762AB5">
        <w:t>, 82 Fed. Reg. 43782, 43783 (Sept. 19, 2017) (BOD)</w:t>
      </w:r>
      <w:r w:rsidR="005D6E83">
        <w:t>,</w:t>
      </w:r>
      <w:r>
        <w:t xml:space="preserve"> </w:t>
      </w:r>
      <w:hyperlink r:id="rId2" w:history="1">
        <w:r w:rsidRPr="00B653EA" w:rsidR="00762AB5">
          <w:rPr>
            <w:rStyle w:val="Hyperlink"/>
          </w:rPr>
          <w:t>https://www.federalregister.gov/documents/2017/09/19/2017-19838/national-protection-and-programs-directorate-notification-of-issuance-of-binding-operational</w:t>
        </w:r>
      </w:hyperlink>
      <w:r>
        <w:t>.</w:t>
      </w:r>
      <w:r w:rsidR="00762AB5">
        <w:t xml:space="preserve"> </w:t>
      </w:r>
    </w:p>
  </w:footnote>
  <w:footnote w:id="12">
    <w:p w:rsidR="007A3B5E" w14:paraId="6589CA52" w14:textId="4D653E26">
      <w:pPr>
        <w:pStyle w:val="FootnoteText"/>
      </w:pPr>
      <w:r>
        <w:rPr>
          <w:rStyle w:val="FootnoteReference"/>
        </w:rPr>
        <w:footnoteRef/>
      </w:r>
      <w:r>
        <w:t xml:space="preserve"> 44 U.S.C. §</w:t>
      </w:r>
      <w:r w:rsidR="003679DD">
        <w:t>§</w:t>
      </w:r>
      <w:r>
        <w:t xml:space="preserve"> 3552(b)(1)</w:t>
      </w:r>
      <w:r w:rsidR="003679DD">
        <w:t>,</w:t>
      </w:r>
      <w:r w:rsidR="00243F1A">
        <w:t xml:space="preserve"> 3553(b)(2)</w:t>
      </w:r>
      <w:r w:rsidR="003679DD">
        <w:t>, 3554(</w:t>
      </w:r>
      <w:r w:rsidR="00CC7A39">
        <w:t>a)(1)(B)</w:t>
      </w:r>
      <w:r w:rsidR="000549CF">
        <w:t>(ii).</w:t>
      </w:r>
    </w:p>
  </w:footnote>
  <w:footnote w:id="13">
    <w:p w:rsidR="002B029B" w14:paraId="7D07ED53" w14:textId="29A99B57">
      <w:pPr>
        <w:pStyle w:val="FootnoteText"/>
      </w:pPr>
      <w:r>
        <w:rPr>
          <w:rStyle w:val="FootnoteReference"/>
        </w:rPr>
        <w:footnoteRef/>
      </w:r>
      <w:r w:rsidR="00762AB5">
        <w:t xml:space="preserve"> BOD</w:t>
      </w:r>
      <w:r w:rsidR="00AC6BA5">
        <w:t>, 82 Fed. Reg.</w:t>
      </w:r>
      <w:r w:rsidR="00A9497B">
        <w:t xml:space="preserve"> at</w:t>
      </w:r>
      <w:r w:rsidR="00AC6BA5">
        <w:t xml:space="preserve"> 4378</w:t>
      </w:r>
      <w:r w:rsidR="00A9497B">
        <w:t>3.</w:t>
      </w:r>
    </w:p>
  </w:footnote>
  <w:footnote w:id="14">
    <w:p w:rsidR="00DB3030" w14:paraId="15990BAB" w14:textId="76E0C4AC">
      <w:pPr>
        <w:pStyle w:val="FootnoteText"/>
      </w:pPr>
      <w:r>
        <w:rPr>
          <w:rStyle w:val="FootnoteReference"/>
        </w:rPr>
        <w:footnoteRef/>
      </w:r>
      <w:r>
        <w:t xml:space="preserve"> The </w:t>
      </w:r>
      <w:r w:rsidR="00156200">
        <w:t>Department of Homeland Security issued the</w:t>
      </w:r>
      <w:r>
        <w:t xml:space="preserve"> BOD </w:t>
      </w:r>
      <w:r w:rsidR="00B31340">
        <w:t xml:space="preserve">pursuant to its authority </w:t>
      </w:r>
      <w:r>
        <w:t>under the Federal Information Security Modernization Act of 2014 (FISMA)</w:t>
      </w:r>
      <w:r w:rsidR="0096352A">
        <w:t>, Pub. L. No. 113-283, 128 Stat. 3073</w:t>
      </w:r>
      <w:r>
        <w:t>.  FISMA</w:t>
      </w:r>
      <w:r w:rsidR="005011A3">
        <w:t>, among other things,</w:t>
      </w:r>
      <w:r>
        <w:t xml:space="preserve"> </w:t>
      </w:r>
      <w:r w:rsidR="009F0FCB">
        <w:t xml:space="preserve">vests the Department of Homeland </w:t>
      </w:r>
      <w:r w:rsidR="00587C6A">
        <w:t>Security</w:t>
      </w:r>
      <w:r w:rsidR="00931BC8">
        <w:t>,</w:t>
      </w:r>
      <w:r w:rsidR="00587C6A">
        <w:t xml:space="preserve"> in consultation with the Office of Management and Budget</w:t>
      </w:r>
      <w:r w:rsidR="00781473">
        <w:t>,</w:t>
      </w:r>
      <w:r w:rsidR="00587C6A">
        <w:t xml:space="preserve"> to administer the implementation of agency information security policies and practices for </w:t>
      </w:r>
      <w:r w:rsidR="0032150B">
        <w:t>information systems, which includes assisting agencies and providing certain government-wide protections, such as BODs.</w:t>
      </w:r>
      <w:r w:rsidR="00B31340">
        <w:t xml:space="preserve">  44 U.S.C. § 3553.  </w:t>
      </w:r>
      <w:r w:rsidR="00F435D2">
        <w:t>The BOD identifies some specific Kaspersky-branded products that were known at the time it was published.</w:t>
      </w:r>
      <w:r w:rsidR="00272214">
        <w:t xml:space="preserve"> </w:t>
      </w:r>
      <w:r w:rsidR="00F435D2">
        <w:t xml:space="preserve"> </w:t>
      </w:r>
      <w:r w:rsidR="00F435D2">
        <w:rPr>
          <w:i/>
          <w:iCs/>
        </w:rPr>
        <w:t xml:space="preserve">See </w:t>
      </w:r>
      <w:r w:rsidR="00F435D2">
        <w:t>BOD, 82 Fed. Reg. at 43783</w:t>
      </w:r>
      <w:r w:rsidR="000344D4">
        <w:t>.</w:t>
      </w:r>
      <w:r w:rsidR="00315F78">
        <w:t xml:space="preserve"> </w:t>
      </w:r>
    </w:p>
  </w:footnote>
  <w:footnote w:id="15">
    <w:p w:rsidR="007F294A" w14:paraId="39E40795" w14:textId="04846CCF">
      <w:pPr>
        <w:pStyle w:val="FootnoteText"/>
      </w:pPr>
      <w:r>
        <w:rPr>
          <w:rStyle w:val="FootnoteReference"/>
        </w:rPr>
        <w:footnoteRef/>
      </w:r>
      <w:r>
        <w:t xml:space="preserve"> </w:t>
      </w:r>
      <w:r w:rsidR="00934040">
        <w:rPr>
          <w:i/>
          <w:iCs/>
        </w:rPr>
        <w:t xml:space="preserve">See generally </w:t>
      </w:r>
      <w:r>
        <w:t>Executive Branch Recommendation to the Federal Communications Commission to Revoke and Terminate [CTA’s] International Section 214 Common Carrier Authorizations, File Nos. ITC-214-20010613-00346, ITC-214- 20020716-00371, ITC-T/C-20070725-00285</w:t>
      </w:r>
      <w:r w:rsidR="00B11608">
        <w:t>, at 1</w:t>
      </w:r>
      <w:r>
        <w:t xml:space="preserve"> (filed Apr. 9, 2020) (China Telecom Executive Branch Recommendation).</w:t>
      </w:r>
      <w:r w:rsidR="003A3267">
        <w:t xml:space="preserve"> </w:t>
      </w:r>
      <w:bookmarkStart w:id="0" w:name="_Hlk98254517"/>
      <w:r w:rsidR="003A3267">
        <w:t>(finding the Executive Branch’s recommendation “reflects the substantial and unacceptable national security and law enforcement risks associated with China Telecom’s continued access to U.S. telecommunications infrastructure pursuant to its international Section 214 authorizations”)</w:t>
      </w:r>
      <w:r w:rsidR="00B11608">
        <w:t>.</w:t>
      </w:r>
    </w:p>
    <w:bookmarkEnd w:id="0"/>
  </w:footnote>
  <w:footnote w:id="16">
    <w:p w:rsidR="00D8629D" w14:paraId="58F8AA72" w14:textId="27E5F9DD">
      <w:pPr>
        <w:pStyle w:val="FootnoteText"/>
      </w:pPr>
      <w:r>
        <w:rPr>
          <w:rStyle w:val="FootnoteReference"/>
        </w:rPr>
        <w:footnoteRef/>
      </w:r>
      <w:r>
        <w:t xml:space="preserve"> </w:t>
      </w:r>
      <w:r w:rsidR="00934040">
        <w:rPr>
          <w:i/>
          <w:iCs/>
        </w:rPr>
        <w:t xml:space="preserve">See generally </w:t>
      </w:r>
      <w:r w:rsidR="00CC2ECF">
        <w:t>Executive Branch Recommendation to the Federal Communications Commission to Deny China Mobile International (USA) Inc.’s Application for an International Section 214 Authorization, File No. ITC-214-20110901- 00289 at 1 (filed July 2, 2018)</w:t>
      </w:r>
      <w:r w:rsidR="003A3267">
        <w:t xml:space="preserve"> </w:t>
      </w:r>
      <w:bookmarkStart w:id="1" w:name="_Hlk98254544"/>
      <w:r w:rsidR="003A3267">
        <w:t>(finding the application “raises substantial and unacceptable national security and law enforcement risks in the current national security environment”)</w:t>
      </w:r>
      <w:r w:rsidR="00B11608">
        <w:t>.</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95C85D5" w14:textId="3669E365">
    <w:pPr>
      <w:tabs>
        <w:tab w:val="center" w:pos="4680"/>
        <w:tab w:val="right" w:pos="9360"/>
      </w:tabs>
    </w:pPr>
    <w:r w:rsidRPr="009838BC">
      <w:rPr>
        <w:b/>
      </w:rPr>
      <w:tab/>
      <w:t>Federal Communications Commission</w:t>
    </w:r>
    <w:r w:rsidRPr="009838BC">
      <w:rPr>
        <w:b/>
      </w:rPr>
      <w:tab/>
    </w:r>
    <w:r w:rsidR="002C6E0B">
      <w:rPr>
        <w:b/>
      </w:rPr>
      <w:t>DA 22-320</w:t>
    </w:r>
  </w:p>
  <w:p w:rsidR="009838BC" w:rsidRPr="009838BC" w:rsidP="009838BC" w14:paraId="0D870AD5" w14:textId="462EC24D">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w10:wrap anchorx="margin"/>
            </v:rect>
          </w:pict>
        </mc:Fallback>
      </mc:AlternateContent>
    </w:r>
  </w:p>
  <w:p w:rsidR="009838BC" w:rsidRPr="009838BC" w:rsidP="009838BC" w14:paraId="10B747A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5116C3E" w14:textId="4106660E">
    <w:pPr>
      <w:spacing w:before="40"/>
      <w:rPr>
        <w:rFonts w:ascii="Arial" w:hAnsi="Arial" w:cs="Arial"/>
        <w:b/>
        <w:sz w:val="96"/>
      </w:rPr>
    </w:pPr>
    <w:r>
      <w:rPr>
        <w:noProof/>
      </w:rPr>
      <mc:AlternateContent>
        <mc:Choice Requires="wps">
          <w:drawing>
            <wp:anchor distT="0" distB="0" distL="114300" distR="114300" simplePos="0" relativeHeight="251659264"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w:t>
                          </w:r>
                          <w:r w:rsidR="0041731F">
                            <w:rPr>
                              <w:rFonts w:ascii="Arial" w:hAnsi="Arial"/>
                              <w:b/>
                            </w:rPr>
                            <w:t>5 L St., N.E.</w:t>
                          </w:r>
                        </w:p>
                        <w:p w:rsidR="009838BC" w:rsidP="009838BC" w14:textId="2BF57FE4">
                          <w:pPr>
                            <w:rPr>
                              <w:rFonts w:ascii="Arial" w:hAnsi="Arial"/>
                              <w:sz w:val="24"/>
                            </w:rPr>
                          </w:pPr>
                          <w:r>
                            <w:rPr>
                              <w:rFonts w:ascii="Arial" w:hAnsi="Arial"/>
                              <w:b/>
                            </w:rPr>
                            <w:t xml:space="preserve">Washington, D.C. </w:t>
                          </w:r>
                          <w:r w:rsidR="00A86ECB">
                            <w:rPr>
                              <w:rFonts w:ascii="Arial" w:hAnsi="Arial"/>
                              <w:b/>
                            </w:rPr>
                            <w:t>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0288" o:allowincell="f" stroked="f">
              <v:textbox>
                <w:txbxContent>
                  <w:p w:rsidR="009838BC" w:rsidP="009838BC" w14:paraId="7EA844E6" w14:textId="77777777">
                    <w:pPr>
                      <w:rPr>
                        <w:rFonts w:ascii="Arial" w:hAnsi="Arial"/>
                        <w:b/>
                      </w:rPr>
                    </w:pPr>
                    <w:r>
                      <w:rPr>
                        <w:rFonts w:ascii="Arial" w:hAnsi="Arial"/>
                        <w:b/>
                      </w:rPr>
                      <w:t>Federal Communications Commission</w:t>
                    </w:r>
                  </w:p>
                  <w:p w:rsidR="009838BC" w:rsidP="009838BC" w14:paraId="186834FA" w14:textId="77777777">
                    <w:pPr>
                      <w:rPr>
                        <w:rFonts w:ascii="Arial" w:hAnsi="Arial"/>
                        <w:b/>
                      </w:rPr>
                    </w:pPr>
                    <w:r>
                      <w:rPr>
                        <w:rFonts w:ascii="Arial" w:hAnsi="Arial"/>
                        <w:b/>
                      </w:rPr>
                      <w:t>4</w:t>
                    </w:r>
                    <w:r w:rsidR="0041731F">
                      <w:rPr>
                        <w:rFonts w:ascii="Arial" w:hAnsi="Arial"/>
                        <w:b/>
                      </w:rPr>
                      <w:t>5 L St., N.E.</w:t>
                    </w:r>
                  </w:p>
                  <w:p w:rsidR="009838BC" w:rsidP="009838BC" w14:paraId="70C51363" w14:textId="2BF57FE4">
                    <w:pPr>
                      <w:rPr>
                        <w:rFonts w:ascii="Arial" w:hAnsi="Arial"/>
                        <w:sz w:val="24"/>
                      </w:rPr>
                    </w:pPr>
                    <w:r>
                      <w:rPr>
                        <w:rFonts w:ascii="Arial" w:hAnsi="Arial"/>
                        <w:b/>
                      </w:rPr>
                      <w:t xml:space="preserve">Washington, D.C. </w:t>
                    </w:r>
                    <w:r w:rsidR="00A86ECB">
                      <w:rPr>
                        <w:rFonts w:ascii="Arial" w:hAnsi="Arial"/>
                        <w:b/>
                      </w:rPr>
                      <w:t>20554</w:t>
                    </w:r>
                  </w:p>
                </w:txbxContent>
              </v:textbox>
              <w10:wrap anchorx="margin"/>
            </v:shape>
          </w:pict>
        </mc:Fallback>
      </mc:AlternateContent>
    </w:r>
    <w:r w:rsidR="00504C43">
      <w:rPr>
        <w:noProof/>
      </w:rPr>
      <w:drawing>
        <wp:anchor distT="0" distB="0" distL="114300" distR="114300" simplePos="0" relativeHeight="251661312"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41E9C31D" w:rsidR="41E9C31D">
      <w:rPr>
        <w:rFonts w:ascii="Arial" w:hAnsi="Arial" w:cs="Arial"/>
        <w:b/>
        <w:bCs/>
        <w:sz w:val="96"/>
        <w:szCs w:val="96"/>
      </w:rPr>
      <w:t>PUBLIC NOTICE</w:t>
    </w:r>
  </w:p>
  <w:p w:rsidR="009838BC" w:rsidRPr="00357D50" w:rsidP="009838BC" w14:paraId="38726FA6" w14:textId="6817BE49">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6432"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4D830343" w14:textId="77777777">
                    <w:pPr>
                      <w:spacing w:before="40"/>
                      <w:jc w:val="right"/>
                      <w:rPr>
                        <w:rFonts w:ascii="Arial" w:hAnsi="Arial"/>
                        <w:b/>
                        <w:sz w:val="16"/>
                      </w:rPr>
                    </w:pPr>
                    <w:r>
                      <w:rPr>
                        <w:rFonts w:ascii="Arial" w:hAnsi="Arial"/>
                        <w:b/>
                        <w:sz w:val="16"/>
                      </w:rPr>
                      <w:t>News Media Information 202 / 418-0500</w:t>
                    </w:r>
                  </w:p>
                  <w:p w:rsidR="009838BC" w:rsidP="009838BC" w14:paraId="3620F09D"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28BB979F" w14:textId="77777777">
                    <w:pPr>
                      <w:jc w:val="right"/>
                    </w:pPr>
                    <w:r>
                      <w:rPr>
                        <w:rFonts w:ascii="Arial" w:hAnsi="Arial"/>
                        <w:b/>
                        <w:sz w:val="16"/>
                      </w:rPr>
                      <w:t>TTY: 1-888-835-5322</w:t>
                    </w:r>
                  </w:p>
                </w:txbxContent>
              </v:textbox>
            </v:shape>
          </w:pict>
        </mc:Fallback>
      </mc:AlternateContent>
    </w:r>
  </w:p>
  <w:p w:rsidR="006F7393" w:rsidRPr="009838BC" w:rsidP="009838BC" w14:paraId="1932072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firstLine="720"/>
      </w:pPr>
      <w:rPr>
        <w:rFonts w:cs="Times New Roman"/>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firstLine="720"/>
      </w:pPr>
      <w:rPr>
        <w:rFonts w:cs="Times New Roman"/>
      </w:r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4">
    <w:nsid w:val="4DF61CE4"/>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
    <w:nsid w:val="5FE52D17"/>
    <w:multiLevelType w:val="hybridMultilevel"/>
    <w:tmpl w:val="32F8E0F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6">
    <w:nsid w:val="61182925"/>
    <w:multiLevelType w:val="singleLevel"/>
    <w:tmpl w:val="A4D2861E"/>
    <w:lvl w:ilvl="0">
      <w:start w:val="1"/>
      <w:numFmt w:val="decimal"/>
      <w:pStyle w:val="ParaNum"/>
      <w:lvlText w:val="%1."/>
      <w:lvlJc w:val="left"/>
      <w:pPr>
        <w:tabs>
          <w:tab w:val="num" w:pos="1080"/>
        </w:tabs>
        <w:ind w:firstLine="720"/>
      </w:pPr>
      <w:rPr>
        <w:rFonts w:cs="Times New Roman"/>
        <w:b w:val="0"/>
        <w:bCs w:val="0"/>
      </w:rPr>
    </w:lvl>
  </w:abstractNum>
  <w:abstractNum w:abstractNumId="7">
    <w:nsid w:val="7B083CD9"/>
    <w:multiLevelType w:val="hybridMultilevel"/>
    <w:tmpl w:val="C8DE9F58"/>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6"/>
    <w:lvlOverride w:ilvl="0">
      <w:startOverride w:val="1"/>
    </w:lvlOverride>
  </w:num>
  <w:num w:numId="8">
    <w:abstractNumId w:val="5"/>
  </w:num>
  <w:num w:numId="9">
    <w:abstractNumId w:val="6"/>
    <w:lvlOverride w:ilvl="0">
      <w:startOverride w:val="1"/>
    </w:lvlOverride>
  </w:num>
  <w:num w:numId="10">
    <w:abstractNumId w:val="6"/>
    <w:lvlOverride w:ilvl="0">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C17"/>
    <w:rsid w:val="000036A0"/>
    <w:rsid w:val="00006FFA"/>
    <w:rsid w:val="00007120"/>
    <w:rsid w:val="000072CE"/>
    <w:rsid w:val="00013A8B"/>
    <w:rsid w:val="00016DD9"/>
    <w:rsid w:val="00021445"/>
    <w:rsid w:val="00023C85"/>
    <w:rsid w:val="00023EEF"/>
    <w:rsid w:val="00025557"/>
    <w:rsid w:val="000308F5"/>
    <w:rsid w:val="00033CAC"/>
    <w:rsid w:val="000344D4"/>
    <w:rsid w:val="00035A85"/>
    <w:rsid w:val="00036039"/>
    <w:rsid w:val="00037F90"/>
    <w:rsid w:val="00040912"/>
    <w:rsid w:val="00040F37"/>
    <w:rsid w:val="00044E12"/>
    <w:rsid w:val="0004655D"/>
    <w:rsid w:val="000475FE"/>
    <w:rsid w:val="0004782E"/>
    <w:rsid w:val="00047F09"/>
    <w:rsid w:val="00052512"/>
    <w:rsid w:val="00053094"/>
    <w:rsid w:val="000549CF"/>
    <w:rsid w:val="000564C3"/>
    <w:rsid w:val="000602BE"/>
    <w:rsid w:val="0006118C"/>
    <w:rsid w:val="000644CE"/>
    <w:rsid w:val="00067DB1"/>
    <w:rsid w:val="00070824"/>
    <w:rsid w:val="000713BD"/>
    <w:rsid w:val="0007452C"/>
    <w:rsid w:val="000750A7"/>
    <w:rsid w:val="00076C48"/>
    <w:rsid w:val="00081796"/>
    <w:rsid w:val="0008541F"/>
    <w:rsid w:val="000871B8"/>
    <w:rsid w:val="000872D7"/>
    <w:rsid w:val="000875BF"/>
    <w:rsid w:val="00091FB5"/>
    <w:rsid w:val="00092756"/>
    <w:rsid w:val="00093527"/>
    <w:rsid w:val="00093E51"/>
    <w:rsid w:val="00095665"/>
    <w:rsid w:val="000959B6"/>
    <w:rsid w:val="00096D8C"/>
    <w:rsid w:val="000972E6"/>
    <w:rsid w:val="0009743B"/>
    <w:rsid w:val="00097708"/>
    <w:rsid w:val="000A10C0"/>
    <w:rsid w:val="000A18B4"/>
    <w:rsid w:val="000A2A00"/>
    <w:rsid w:val="000A2A17"/>
    <w:rsid w:val="000A3A7B"/>
    <w:rsid w:val="000A3E55"/>
    <w:rsid w:val="000A595D"/>
    <w:rsid w:val="000A626E"/>
    <w:rsid w:val="000A74A6"/>
    <w:rsid w:val="000A79C3"/>
    <w:rsid w:val="000B03CD"/>
    <w:rsid w:val="000B1C03"/>
    <w:rsid w:val="000B3A6A"/>
    <w:rsid w:val="000B60F0"/>
    <w:rsid w:val="000B695A"/>
    <w:rsid w:val="000C0B65"/>
    <w:rsid w:val="000C0F79"/>
    <w:rsid w:val="000C52B1"/>
    <w:rsid w:val="000C554B"/>
    <w:rsid w:val="000C66C7"/>
    <w:rsid w:val="000C6E73"/>
    <w:rsid w:val="000D2025"/>
    <w:rsid w:val="000D43AE"/>
    <w:rsid w:val="000D56C7"/>
    <w:rsid w:val="000D6E8A"/>
    <w:rsid w:val="000D767D"/>
    <w:rsid w:val="000D7979"/>
    <w:rsid w:val="000E055E"/>
    <w:rsid w:val="000E3D42"/>
    <w:rsid w:val="000E41FB"/>
    <w:rsid w:val="000E5884"/>
    <w:rsid w:val="000F1542"/>
    <w:rsid w:val="000F4646"/>
    <w:rsid w:val="000F4A62"/>
    <w:rsid w:val="000F5127"/>
    <w:rsid w:val="000F53A4"/>
    <w:rsid w:val="000F6A2C"/>
    <w:rsid w:val="000F7869"/>
    <w:rsid w:val="000F7CD8"/>
    <w:rsid w:val="00101E4C"/>
    <w:rsid w:val="001044DD"/>
    <w:rsid w:val="001128B4"/>
    <w:rsid w:val="001154B0"/>
    <w:rsid w:val="0012028E"/>
    <w:rsid w:val="00120C77"/>
    <w:rsid w:val="00121751"/>
    <w:rsid w:val="00122BD5"/>
    <w:rsid w:val="00124D4F"/>
    <w:rsid w:val="00135978"/>
    <w:rsid w:val="00136FBD"/>
    <w:rsid w:val="001378E8"/>
    <w:rsid w:val="00141647"/>
    <w:rsid w:val="00143FDA"/>
    <w:rsid w:val="00145AD5"/>
    <w:rsid w:val="0014759E"/>
    <w:rsid w:val="001528C7"/>
    <w:rsid w:val="001534B0"/>
    <w:rsid w:val="00156200"/>
    <w:rsid w:val="00160DB7"/>
    <w:rsid w:val="0016146B"/>
    <w:rsid w:val="0016213D"/>
    <w:rsid w:val="00162E7E"/>
    <w:rsid w:val="001653C7"/>
    <w:rsid w:val="0017088F"/>
    <w:rsid w:val="00171FF7"/>
    <w:rsid w:val="00180756"/>
    <w:rsid w:val="00181E76"/>
    <w:rsid w:val="00186F48"/>
    <w:rsid w:val="001873D8"/>
    <w:rsid w:val="00193E11"/>
    <w:rsid w:val="00193E3A"/>
    <w:rsid w:val="00194D56"/>
    <w:rsid w:val="001979D9"/>
    <w:rsid w:val="001A2128"/>
    <w:rsid w:val="001A7AAE"/>
    <w:rsid w:val="001A7D7E"/>
    <w:rsid w:val="001B1624"/>
    <w:rsid w:val="001B3EB2"/>
    <w:rsid w:val="001D012F"/>
    <w:rsid w:val="001D6BCF"/>
    <w:rsid w:val="001E01CA"/>
    <w:rsid w:val="001E0B63"/>
    <w:rsid w:val="001E0DDA"/>
    <w:rsid w:val="001E22D5"/>
    <w:rsid w:val="001E5CF8"/>
    <w:rsid w:val="001E6BA7"/>
    <w:rsid w:val="001F07C1"/>
    <w:rsid w:val="001F1525"/>
    <w:rsid w:val="001F1542"/>
    <w:rsid w:val="00200524"/>
    <w:rsid w:val="00203B23"/>
    <w:rsid w:val="0020456A"/>
    <w:rsid w:val="00204A17"/>
    <w:rsid w:val="00204B5C"/>
    <w:rsid w:val="002060D9"/>
    <w:rsid w:val="00207D3D"/>
    <w:rsid w:val="002108F8"/>
    <w:rsid w:val="00211434"/>
    <w:rsid w:val="002141D4"/>
    <w:rsid w:val="00217381"/>
    <w:rsid w:val="00217FD7"/>
    <w:rsid w:val="0022124D"/>
    <w:rsid w:val="002212DF"/>
    <w:rsid w:val="00222177"/>
    <w:rsid w:val="002222C0"/>
    <w:rsid w:val="00226822"/>
    <w:rsid w:val="00240FBE"/>
    <w:rsid w:val="00243F1A"/>
    <w:rsid w:val="00245546"/>
    <w:rsid w:val="00250142"/>
    <w:rsid w:val="0025085C"/>
    <w:rsid w:val="00251915"/>
    <w:rsid w:val="00252D7F"/>
    <w:rsid w:val="00253E26"/>
    <w:rsid w:val="00254126"/>
    <w:rsid w:val="00254E39"/>
    <w:rsid w:val="002553B6"/>
    <w:rsid w:val="00255612"/>
    <w:rsid w:val="00255729"/>
    <w:rsid w:val="0025580E"/>
    <w:rsid w:val="00260594"/>
    <w:rsid w:val="0026147D"/>
    <w:rsid w:val="0026152D"/>
    <w:rsid w:val="00261579"/>
    <w:rsid w:val="0026161A"/>
    <w:rsid w:val="00264FD3"/>
    <w:rsid w:val="002664F9"/>
    <w:rsid w:val="002700B1"/>
    <w:rsid w:val="00270383"/>
    <w:rsid w:val="002703C9"/>
    <w:rsid w:val="00270C8A"/>
    <w:rsid w:val="00272214"/>
    <w:rsid w:val="002733F5"/>
    <w:rsid w:val="002746E1"/>
    <w:rsid w:val="00274DB9"/>
    <w:rsid w:val="00275CBD"/>
    <w:rsid w:val="002762A1"/>
    <w:rsid w:val="00280133"/>
    <w:rsid w:val="002809EB"/>
    <w:rsid w:val="00281336"/>
    <w:rsid w:val="0028147A"/>
    <w:rsid w:val="00281B71"/>
    <w:rsid w:val="00285017"/>
    <w:rsid w:val="00285792"/>
    <w:rsid w:val="00285868"/>
    <w:rsid w:val="00286AF2"/>
    <w:rsid w:val="00291933"/>
    <w:rsid w:val="00292798"/>
    <w:rsid w:val="00294497"/>
    <w:rsid w:val="002949E2"/>
    <w:rsid w:val="00294DEA"/>
    <w:rsid w:val="002A0F52"/>
    <w:rsid w:val="002A15AD"/>
    <w:rsid w:val="002A2D2E"/>
    <w:rsid w:val="002A2EDB"/>
    <w:rsid w:val="002A4A33"/>
    <w:rsid w:val="002A4A94"/>
    <w:rsid w:val="002A4EF8"/>
    <w:rsid w:val="002A785A"/>
    <w:rsid w:val="002B029B"/>
    <w:rsid w:val="002B301A"/>
    <w:rsid w:val="002B4B71"/>
    <w:rsid w:val="002B5D13"/>
    <w:rsid w:val="002B5EA3"/>
    <w:rsid w:val="002C064E"/>
    <w:rsid w:val="002C0BAE"/>
    <w:rsid w:val="002C1041"/>
    <w:rsid w:val="002C1E1A"/>
    <w:rsid w:val="002C21CD"/>
    <w:rsid w:val="002C3665"/>
    <w:rsid w:val="002C386A"/>
    <w:rsid w:val="002C5A25"/>
    <w:rsid w:val="002C6A5F"/>
    <w:rsid w:val="002C6E0B"/>
    <w:rsid w:val="002D6875"/>
    <w:rsid w:val="002D70A1"/>
    <w:rsid w:val="002D7FE7"/>
    <w:rsid w:val="002E14C8"/>
    <w:rsid w:val="002E19F3"/>
    <w:rsid w:val="002E23A9"/>
    <w:rsid w:val="002E7DB0"/>
    <w:rsid w:val="002E7FD2"/>
    <w:rsid w:val="002F0542"/>
    <w:rsid w:val="002F0C76"/>
    <w:rsid w:val="002F1A34"/>
    <w:rsid w:val="002F2C96"/>
    <w:rsid w:val="002F4ADD"/>
    <w:rsid w:val="002F5468"/>
    <w:rsid w:val="002F6AFC"/>
    <w:rsid w:val="002F7461"/>
    <w:rsid w:val="00300584"/>
    <w:rsid w:val="00302004"/>
    <w:rsid w:val="003035E3"/>
    <w:rsid w:val="0030591E"/>
    <w:rsid w:val="003157B1"/>
    <w:rsid w:val="00315F78"/>
    <w:rsid w:val="0032150B"/>
    <w:rsid w:val="00322932"/>
    <w:rsid w:val="003241F5"/>
    <w:rsid w:val="00326C84"/>
    <w:rsid w:val="00326CC7"/>
    <w:rsid w:val="00331948"/>
    <w:rsid w:val="00333640"/>
    <w:rsid w:val="00333B4F"/>
    <w:rsid w:val="003350F6"/>
    <w:rsid w:val="003405DB"/>
    <w:rsid w:val="003413AF"/>
    <w:rsid w:val="003418D1"/>
    <w:rsid w:val="0034299F"/>
    <w:rsid w:val="00342F26"/>
    <w:rsid w:val="00343749"/>
    <w:rsid w:val="003437FC"/>
    <w:rsid w:val="00347A6D"/>
    <w:rsid w:val="0035239D"/>
    <w:rsid w:val="00354EEB"/>
    <w:rsid w:val="00357D50"/>
    <w:rsid w:val="00360EF7"/>
    <w:rsid w:val="00361C1D"/>
    <w:rsid w:val="00362521"/>
    <w:rsid w:val="00363C0B"/>
    <w:rsid w:val="00364588"/>
    <w:rsid w:val="003666D7"/>
    <w:rsid w:val="003679DD"/>
    <w:rsid w:val="00370F2E"/>
    <w:rsid w:val="00373177"/>
    <w:rsid w:val="0037392D"/>
    <w:rsid w:val="00380189"/>
    <w:rsid w:val="00380825"/>
    <w:rsid w:val="00380C26"/>
    <w:rsid w:val="00380E05"/>
    <w:rsid w:val="00382BE9"/>
    <w:rsid w:val="003925DC"/>
    <w:rsid w:val="0039597A"/>
    <w:rsid w:val="00395BCC"/>
    <w:rsid w:val="00396952"/>
    <w:rsid w:val="003A0B0E"/>
    <w:rsid w:val="003A15C8"/>
    <w:rsid w:val="003A3267"/>
    <w:rsid w:val="003A5191"/>
    <w:rsid w:val="003A6213"/>
    <w:rsid w:val="003A7B5A"/>
    <w:rsid w:val="003B0550"/>
    <w:rsid w:val="003B2EC4"/>
    <w:rsid w:val="003B694F"/>
    <w:rsid w:val="003B6DD4"/>
    <w:rsid w:val="003B6EE4"/>
    <w:rsid w:val="003C0B13"/>
    <w:rsid w:val="003C6537"/>
    <w:rsid w:val="003C6FA1"/>
    <w:rsid w:val="003D1EA9"/>
    <w:rsid w:val="003D5DD6"/>
    <w:rsid w:val="003D7B34"/>
    <w:rsid w:val="003E355D"/>
    <w:rsid w:val="003F06F0"/>
    <w:rsid w:val="003F171C"/>
    <w:rsid w:val="003F6670"/>
    <w:rsid w:val="00400E92"/>
    <w:rsid w:val="00403679"/>
    <w:rsid w:val="004037DD"/>
    <w:rsid w:val="00403C3B"/>
    <w:rsid w:val="004040FC"/>
    <w:rsid w:val="0040599A"/>
    <w:rsid w:val="004112B9"/>
    <w:rsid w:val="00412FC5"/>
    <w:rsid w:val="0041336D"/>
    <w:rsid w:val="00413AF1"/>
    <w:rsid w:val="00413FD5"/>
    <w:rsid w:val="00416FEB"/>
    <w:rsid w:val="0041725A"/>
    <w:rsid w:val="0041731F"/>
    <w:rsid w:val="00422276"/>
    <w:rsid w:val="004242F1"/>
    <w:rsid w:val="00431D1E"/>
    <w:rsid w:val="00432A42"/>
    <w:rsid w:val="00435471"/>
    <w:rsid w:val="00440C3F"/>
    <w:rsid w:val="00445A00"/>
    <w:rsid w:val="0045103C"/>
    <w:rsid w:val="00451B0F"/>
    <w:rsid w:val="0045370F"/>
    <w:rsid w:val="00460463"/>
    <w:rsid w:val="0046125F"/>
    <w:rsid w:val="00461E03"/>
    <w:rsid w:val="00462A17"/>
    <w:rsid w:val="00463107"/>
    <w:rsid w:val="00463287"/>
    <w:rsid w:val="004638E7"/>
    <w:rsid w:val="00465124"/>
    <w:rsid w:val="00465CF9"/>
    <w:rsid w:val="00470C8F"/>
    <w:rsid w:val="004747B0"/>
    <w:rsid w:val="00477263"/>
    <w:rsid w:val="00482561"/>
    <w:rsid w:val="00482EA5"/>
    <w:rsid w:val="004852EA"/>
    <w:rsid w:val="004871D9"/>
    <w:rsid w:val="00487524"/>
    <w:rsid w:val="004926D7"/>
    <w:rsid w:val="004958F3"/>
    <w:rsid w:val="00496106"/>
    <w:rsid w:val="00497EFA"/>
    <w:rsid w:val="004A1280"/>
    <w:rsid w:val="004A1DD9"/>
    <w:rsid w:val="004A20F5"/>
    <w:rsid w:val="004A33A9"/>
    <w:rsid w:val="004A3D9B"/>
    <w:rsid w:val="004A4205"/>
    <w:rsid w:val="004B340A"/>
    <w:rsid w:val="004B6975"/>
    <w:rsid w:val="004C0625"/>
    <w:rsid w:val="004C12D0"/>
    <w:rsid w:val="004C2EE3"/>
    <w:rsid w:val="004C3A9D"/>
    <w:rsid w:val="004C3C56"/>
    <w:rsid w:val="004C4ECE"/>
    <w:rsid w:val="004C69F7"/>
    <w:rsid w:val="004D038E"/>
    <w:rsid w:val="004D03EA"/>
    <w:rsid w:val="004D4266"/>
    <w:rsid w:val="004D4690"/>
    <w:rsid w:val="004D5AF4"/>
    <w:rsid w:val="004D65E8"/>
    <w:rsid w:val="004D6DF3"/>
    <w:rsid w:val="004D7FE4"/>
    <w:rsid w:val="004E1065"/>
    <w:rsid w:val="004E13AB"/>
    <w:rsid w:val="004E476C"/>
    <w:rsid w:val="004E4A22"/>
    <w:rsid w:val="004E4F61"/>
    <w:rsid w:val="004E6315"/>
    <w:rsid w:val="004E64B4"/>
    <w:rsid w:val="004E64FE"/>
    <w:rsid w:val="004F0016"/>
    <w:rsid w:val="004F48D7"/>
    <w:rsid w:val="004F4AAE"/>
    <w:rsid w:val="004F79A5"/>
    <w:rsid w:val="005011A3"/>
    <w:rsid w:val="0050175F"/>
    <w:rsid w:val="00503597"/>
    <w:rsid w:val="00503BA8"/>
    <w:rsid w:val="00504C43"/>
    <w:rsid w:val="005101FD"/>
    <w:rsid w:val="00511968"/>
    <w:rsid w:val="0051304D"/>
    <w:rsid w:val="00515482"/>
    <w:rsid w:val="00516298"/>
    <w:rsid w:val="00517B3A"/>
    <w:rsid w:val="00521A67"/>
    <w:rsid w:val="0052260C"/>
    <w:rsid w:val="00524206"/>
    <w:rsid w:val="00525B54"/>
    <w:rsid w:val="00525F87"/>
    <w:rsid w:val="00526890"/>
    <w:rsid w:val="005313B1"/>
    <w:rsid w:val="0053235D"/>
    <w:rsid w:val="00533791"/>
    <w:rsid w:val="005364C7"/>
    <w:rsid w:val="0053701F"/>
    <w:rsid w:val="005405B2"/>
    <w:rsid w:val="005413F0"/>
    <w:rsid w:val="0054218D"/>
    <w:rsid w:val="005421E9"/>
    <w:rsid w:val="00546732"/>
    <w:rsid w:val="005479D8"/>
    <w:rsid w:val="0055338D"/>
    <w:rsid w:val="00554DE6"/>
    <w:rsid w:val="0055614C"/>
    <w:rsid w:val="00557BB8"/>
    <w:rsid w:val="00557F08"/>
    <w:rsid w:val="005611DA"/>
    <w:rsid w:val="00562AC1"/>
    <w:rsid w:val="00564611"/>
    <w:rsid w:val="00567387"/>
    <w:rsid w:val="005721A4"/>
    <w:rsid w:val="00574DE9"/>
    <w:rsid w:val="00586729"/>
    <w:rsid w:val="00587C6A"/>
    <w:rsid w:val="005912E0"/>
    <w:rsid w:val="005917DD"/>
    <w:rsid w:val="005925FE"/>
    <w:rsid w:val="005942B6"/>
    <w:rsid w:val="00594DB3"/>
    <w:rsid w:val="00596429"/>
    <w:rsid w:val="005A2173"/>
    <w:rsid w:val="005A2373"/>
    <w:rsid w:val="005A310D"/>
    <w:rsid w:val="005A5E4C"/>
    <w:rsid w:val="005B003C"/>
    <w:rsid w:val="005B109C"/>
    <w:rsid w:val="005B32B9"/>
    <w:rsid w:val="005C1B22"/>
    <w:rsid w:val="005C2BEA"/>
    <w:rsid w:val="005D1081"/>
    <w:rsid w:val="005D2AFA"/>
    <w:rsid w:val="005D2C09"/>
    <w:rsid w:val="005D40ED"/>
    <w:rsid w:val="005D6E83"/>
    <w:rsid w:val="005D7000"/>
    <w:rsid w:val="005E09C1"/>
    <w:rsid w:val="005F2D69"/>
    <w:rsid w:val="005F513D"/>
    <w:rsid w:val="005F65C8"/>
    <w:rsid w:val="005F69FE"/>
    <w:rsid w:val="00600184"/>
    <w:rsid w:val="00603250"/>
    <w:rsid w:val="00607BA5"/>
    <w:rsid w:val="00610C34"/>
    <w:rsid w:val="00612875"/>
    <w:rsid w:val="006130AA"/>
    <w:rsid w:val="00613B76"/>
    <w:rsid w:val="006153C7"/>
    <w:rsid w:val="0061584D"/>
    <w:rsid w:val="00615D78"/>
    <w:rsid w:val="00620D38"/>
    <w:rsid w:val="00621985"/>
    <w:rsid w:val="00623ADD"/>
    <w:rsid w:val="00626EB6"/>
    <w:rsid w:val="00630468"/>
    <w:rsid w:val="00634416"/>
    <w:rsid w:val="006353A3"/>
    <w:rsid w:val="0064558E"/>
    <w:rsid w:val="00645D44"/>
    <w:rsid w:val="006521D2"/>
    <w:rsid w:val="00653BBF"/>
    <w:rsid w:val="00655D03"/>
    <w:rsid w:val="00667150"/>
    <w:rsid w:val="0067038B"/>
    <w:rsid w:val="00673C4B"/>
    <w:rsid w:val="0068376B"/>
    <w:rsid w:val="00683F84"/>
    <w:rsid w:val="00684F66"/>
    <w:rsid w:val="00686EF1"/>
    <w:rsid w:val="00695F73"/>
    <w:rsid w:val="0069763A"/>
    <w:rsid w:val="00697AAD"/>
    <w:rsid w:val="00697E0F"/>
    <w:rsid w:val="006A1CFF"/>
    <w:rsid w:val="006A3BF4"/>
    <w:rsid w:val="006A6A81"/>
    <w:rsid w:val="006B0DA5"/>
    <w:rsid w:val="006B18F1"/>
    <w:rsid w:val="006B1D73"/>
    <w:rsid w:val="006B3637"/>
    <w:rsid w:val="006B60B2"/>
    <w:rsid w:val="006B77BF"/>
    <w:rsid w:val="006C18AC"/>
    <w:rsid w:val="006C48E5"/>
    <w:rsid w:val="006C4C2A"/>
    <w:rsid w:val="006C4D6E"/>
    <w:rsid w:val="006C5101"/>
    <w:rsid w:val="006C6E26"/>
    <w:rsid w:val="006C718E"/>
    <w:rsid w:val="006D0A0B"/>
    <w:rsid w:val="006D0E62"/>
    <w:rsid w:val="006D16D6"/>
    <w:rsid w:val="006D1C17"/>
    <w:rsid w:val="006D4DD3"/>
    <w:rsid w:val="006D5C84"/>
    <w:rsid w:val="006D6A16"/>
    <w:rsid w:val="006E04A1"/>
    <w:rsid w:val="006E26AF"/>
    <w:rsid w:val="006E2D53"/>
    <w:rsid w:val="006E35F9"/>
    <w:rsid w:val="006E7CB6"/>
    <w:rsid w:val="006F05B1"/>
    <w:rsid w:val="006F30AE"/>
    <w:rsid w:val="006F32CA"/>
    <w:rsid w:val="006F508F"/>
    <w:rsid w:val="006F6210"/>
    <w:rsid w:val="006F7393"/>
    <w:rsid w:val="006F7DA5"/>
    <w:rsid w:val="00700461"/>
    <w:rsid w:val="00701F94"/>
    <w:rsid w:val="0070224F"/>
    <w:rsid w:val="0070278C"/>
    <w:rsid w:val="00705A25"/>
    <w:rsid w:val="00705B41"/>
    <w:rsid w:val="00710D64"/>
    <w:rsid w:val="007115F7"/>
    <w:rsid w:val="007126EC"/>
    <w:rsid w:val="0071662E"/>
    <w:rsid w:val="007214B5"/>
    <w:rsid w:val="00721A0D"/>
    <w:rsid w:val="0072291B"/>
    <w:rsid w:val="007279D1"/>
    <w:rsid w:val="0073298E"/>
    <w:rsid w:val="00732CC1"/>
    <w:rsid w:val="00737488"/>
    <w:rsid w:val="00742F9F"/>
    <w:rsid w:val="00751DA8"/>
    <w:rsid w:val="00752502"/>
    <w:rsid w:val="00756B94"/>
    <w:rsid w:val="00757DB2"/>
    <w:rsid w:val="0076162A"/>
    <w:rsid w:val="007627C5"/>
    <w:rsid w:val="00762AB5"/>
    <w:rsid w:val="0076465D"/>
    <w:rsid w:val="0076786B"/>
    <w:rsid w:val="00774B4C"/>
    <w:rsid w:val="00776C00"/>
    <w:rsid w:val="0078103C"/>
    <w:rsid w:val="00781473"/>
    <w:rsid w:val="00781DE3"/>
    <w:rsid w:val="00785689"/>
    <w:rsid w:val="00786060"/>
    <w:rsid w:val="00786C73"/>
    <w:rsid w:val="00787C52"/>
    <w:rsid w:val="00792756"/>
    <w:rsid w:val="007939CE"/>
    <w:rsid w:val="007944F4"/>
    <w:rsid w:val="0079749C"/>
    <w:rsid w:val="0079754B"/>
    <w:rsid w:val="007A02A9"/>
    <w:rsid w:val="007A1E6D"/>
    <w:rsid w:val="007A3B5E"/>
    <w:rsid w:val="007A7C00"/>
    <w:rsid w:val="007B0944"/>
    <w:rsid w:val="007B39F9"/>
    <w:rsid w:val="007B4B67"/>
    <w:rsid w:val="007B5513"/>
    <w:rsid w:val="007C0EE4"/>
    <w:rsid w:val="007C47BF"/>
    <w:rsid w:val="007C514E"/>
    <w:rsid w:val="007C583B"/>
    <w:rsid w:val="007D0E2C"/>
    <w:rsid w:val="007D459D"/>
    <w:rsid w:val="007D47EF"/>
    <w:rsid w:val="007D4C40"/>
    <w:rsid w:val="007D5C05"/>
    <w:rsid w:val="007E21B9"/>
    <w:rsid w:val="007E4C54"/>
    <w:rsid w:val="007F0056"/>
    <w:rsid w:val="007F0A7C"/>
    <w:rsid w:val="007F294A"/>
    <w:rsid w:val="007F39F2"/>
    <w:rsid w:val="007F4B3D"/>
    <w:rsid w:val="007F61CA"/>
    <w:rsid w:val="008001E9"/>
    <w:rsid w:val="008006C6"/>
    <w:rsid w:val="00801BF4"/>
    <w:rsid w:val="008035C2"/>
    <w:rsid w:val="0080493B"/>
    <w:rsid w:val="00806C6F"/>
    <w:rsid w:val="00807466"/>
    <w:rsid w:val="00807CB5"/>
    <w:rsid w:val="008112E9"/>
    <w:rsid w:val="008117F1"/>
    <w:rsid w:val="0081317D"/>
    <w:rsid w:val="0082165D"/>
    <w:rsid w:val="00822CE0"/>
    <w:rsid w:val="008232AF"/>
    <w:rsid w:val="008260E9"/>
    <w:rsid w:val="00826498"/>
    <w:rsid w:val="00826725"/>
    <w:rsid w:val="008303AD"/>
    <w:rsid w:val="00830EC3"/>
    <w:rsid w:val="00835EDC"/>
    <w:rsid w:val="00837C62"/>
    <w:rsid w:val="00841AB1"/>
    <w:rsid w:val="00843429"/>
    <w:rsid w:val="00845209"/>
    <w:rsid w:val="00850C1A"/>
    <w:rsid w:val="00851CAF"/>
    <w:rsid w:val="00852F7B"/>
    <w:rsid w:val="00856652"/>
    <w:rsid w:val="008646BC"/>
    <w:rsid w:val="00872D5E"/>
    <w:rsid w:val="00873A84"/>
    <w:rsid w:val="00875C49"/>
    <w:rsid w:val="00881E98"/>
    <w:rsid w:val="00882D12"/>
    <w:rsid w:val="0088549E"/>
    <w:rsid w:val="00885669"/>
    <w:rsid w:val="0089293C"/>
    <w:rsid w:val="00893493"/>
    <w:rsid w:val="008949DB"/>
    <w:rsid w:val="00894A00"/>
    <w:rsid w:val="00894AAD"/>
    <w:rsid w:val="008959F5"/>
    <w:rsid w:val="00895BE7"/>
    <w:rsid w:val="00896BFD"/>
    <w:rsid w:val="008A0060"/>
    <w:rsid w:val="008A1D37"/>
    <w:rsid w:val="008A3F75"/>
    <w:rsid w:val="008A44DD"/>
    <w:rsid w:val="008A6E37"/>
    <w:rsid w:val="008B00C6"/>
    <w:rsid w:val="008B03BB"/>
    <w:rsid w:val="008B1B6B"/>
    <w:rsid w:val="008B1F46"/>
    <w:rsid w:val="008B252B"/>
    <w:rsid w:val="008B4E2D"/>
    <w:rsid w:val="008B5510"/>
    <w:rsid w:val="008B6A0E"/>
    <w:rsid w:val="008C0350"/>
    <w:rsid w:val="008C1862"/>
    <w:rsid w:val="008C22FD"/>
    <w:rsid w:val="008C4971"/>
    <w:rsid w:val="008C515B"/>
    <w:rsid w:val="008C6376"/>
    <w:rsid w:val="008D79C9"/>
    <w:rsid w:val="008E2631"/>
    <w:rsid w:val="008E6AD1"/>
    <w:rsid w:val="008E6CFD"/>
    <w:rsid w:val="008F014C"/>
    <w:rsid w:val="008F102C"/>
    <w:rsid w:val="008F20D5"/>
    <w:rsid w:val="008F3069"/>
    <w:rsid w:val="008F5AF2"/>
    <w:rsid w:val="008F7E56"/>
    <w:rsid w:val="00900E12"/>
    <w:rsid w:val="009011ED"/>
    <w:rsid w:val="0090320C"/>
    <w:rsid w:val="00903550"/>
    <w:rsid w:val="0090697E"/>
    <w:rsid w:val="00907407"/>
    <w:rsid w:val="00910376"/>
    <w:rsid w:val="00910605"/>
    <w:rsid w:val="00910F12"/>
    <w:rsid w:val="009121D2"/>
    <w:rsid w:val="00923397"/>
    <w:rsid w:val="009256AC"/>
    <w:rsid w:val="00926503"/>
    <w:rsid w:val="00930ECF"/>
    <w:rsid w:val="00931BC8"/>
    <w:rsid w:val="00934040"/>
    <w:rsid w:val="00935DE2"/>
    <w:rsid w:val="00941C31"/>
    <w:rsid w:val="00943811"/>
    <w:rsid w:val="009447DE"/>
    <w:rsid w:val="00946F61"/>
    <w:rsid w:val="009504EC"/>
    <w:rsid w:val="0095067B"/>
    <w:rsid w:val="00950F41"/>
    <w:rsid w:val="00954ACD"/>
    <w:rsid w:val="009601F9"/>
    <w:rsid w:val="0096034A"/>
    <w:rsid w:val="00961B70"/>
    <w:rsid w:val="00962C65"/>
    <w:rsid w:val="0096352A"/>
    <w:rsid w:val="00963F3D"/>
    <w:rsid w:val="00965FBE"/>
    <w:rsid w:val="00970ED7"/>
    <w:rsid w:val="009714C5"/>
    <w:rsid w:val="009737D7"/>
    <w:rsid w:val="00974E24"/>
    <w:rsid w:val="00976D24"/>
    <w:rsid w:val="0098118C"/>
    <w:rsid w:val="009826E9"/>
    <w:rsid w:val="00982856"/>
    <w:rsid w:val="009838BC"/>
    <w:rsid w:val="00985D6E"/>
    <w:rsid w:val="00987626"/>
    <w:rsid w:val="00987840"/>
    <w:rsid w:val="009949AB"/>
    <w:rsid w:val="00996877"/>
    <w:rsid w:val="009A0016"/>
    <w:rsid w:val="009A08CE"/>
    <w:rsid w:val="009A6538"/>
    <w:rsid w:val="009A7E96"/>
    <w:rsid w:val="009B26C8"/>
    <w:rsid w:val="009B2C58"/>
    <w:rsid w:val="009B3A04"/>
    <w:rsid w:val="009B46E4"/>
    <w:rsid w:val="009B4D1A"/>
    <w:rsid w:val="009B6F1C"/>
    <w:rsid w:val="009C125B"/>
    <w:rsid w:val="009C4601"/>
    <w:rsid w:val="009C5EC5"/>
    <w:rsid w:val="009C6ECF"/>
    <w:rsid w:val="009C76DC"/>
    <w:rsid w:val="009D0AA2"/>
    <w:rsid w:val="009D1FC1"/>
    <w:rsid w:val="009D4574"/>
    <w:rsid w:val="009D7E22"/>
    <w:rsid w:val="009E077C"/>
    <w:rsid w:val="009E0D0D"/>
    <w:rsid w:val="009E0F5D"/>
    <w:rsid w:val="009E255A"/>
    <w:rsid w:val="009E2ECC"/>
    <w:rsid w:val="009E4B5C"/>
    <w:rsid w:val="009E4E52"/>
    <w:rsid w:val="009E57A2"/>
    <w:rsid w:val="009F0FCB"/>
    <w:rsid w:val="009F3D3F"/>
    <w:rsid w:val="00A03CEC"/>
    <w:rsid w:val="00A05A30"/>
    <w:rsid w:val="00A14916"/>
    <w:rsid w:val="00A1506C"/>
    <w:rsid w:val="00A150CB"/>
    <w:rsid w:val="00A165E1"/>
    <w:rsid w:val="00A17103"/>
    <w:rsid w:val="00A1783E"/>
    <w:rsid w:val="00A226EC"/>
    <w:rsid w:val="00A2493E"/>
    <w:rsid w:val="00A33092"/>
    <w:rsid w:val="00A34121"/>
    <w:rsid w:val="00A41DEF"/>
    <w:rsid w:val="00A4241B"/>
    <w:rsid w:val="00A430B0"/>
    <w:rsid w:val="00A44990"/>
    <w:rsid w:val="00A45F4F"/>
    <w:rsid w:val="00A476FB"/>
    <w:rsid w:val="00A517D8"/>
    <w:rsid w:val="00A5568F"/>
    <w:rsid w:val="00A55B2A"/>
    <w:rsid w:val="00A600A9"/>
    <w:rsid w:val="00A70359"/>
    <w:rsid w:val="00A72074"/>
    <w:rsid w:val="00A81BE3"/>
    <w:rsid w:val="00A82AAC"/>
    <w:rsid w:val="00A84C5D"/>
    <w:rsid w:val="00A85694"/>
    <w:rsid w:val="00A866AC"/>
    <w:rsid w:val="00A86ECB"/>
    <w:rsid w:val="00A914FA"/>
    <w:rsid w:val="00A9497B"/>
    <w:rsid w:val="00A94D77"/>
    <w:rsid w:val="00A96491"/>
    <w:rsid w:val="00A966B9"/>
    <w:rsid w:val="00AA28C1"/>
    <w:rsid w:val="00AA3674"/>
    <w:rsid w:val="00AA55B7"/>
    <w:rsid w:val="00AA5B9E"/>
    <w:rsid w:val="00AB22BD"/>
    <w:rsid w:val="00AB2407"/>
    <w:rsid w:val="00AB2C66"/>
    <w:rsid w:val="00AB53DF"/>
    <w:rsid w:val="00AB5DB8"/>
    <w:rsid w:val="00AB6326"/>
    <w:rsid w:val="00AB7410"/>
    <w:rsid w:val="00AC11F4"/>
    <w:rsid w:val="00AC3406"/>
    <w:rsid w:val="00AC6BA5"/>
    <w:rsid w:val="00AC7CED"/>
    <w:rsid w:val="00AD085A"/>
    <w:rsid w:val="00AD0DAE"/>
    <w:rsid w:val="00AD3089"/>
    <w:rsid w:val="00AD4362"/>
    <w:rsid w:val="00AD4B6C"/>
    <w:rsid w:val="00AD61D0"/>
    <w:rsid w:val="00AD62BF"/>
    <w:rsid w:val="00AE2942"/>
    <w:rsid w:val="00AE2EB4"/>
    <w:rsid w:val="00AF1B55"/>
    <w:rsid w:val="00AF3080"/>
    <w:rsid w:val="00AF3EC0"/>
    <w:rsid w:val="00AF73B7"/>
    <w:rsid w:val="00AF7BA1"/>
    <w:rsid w:val="00B00198"/>
    <w:rsid w:val="00B03D86"/>
    <w:rsid w:val="00B045FA"/>
    <w:rsid w:val="00B07D6D"/>
    <w:rsid w:val="00B07E5C"/>
    <w:rsid w:val="00B11608"/>
    <w:rsid w:val="00B11A2D"/>
    <w:rsid w:val="00B1567F"/>
    <w:rsid w:val="00B15B8A"/>
    <w:rsid w:val="00B16F6F"/>
    <w:rsid w:val="00B206D2"/>
    <w:rsid w:val="00B214C3"/>
    <w:rsid w:val="00B23251"/>
    <w:rsid w:val="00B24F8F"/>
    <w:rsid w:val="00B2551B"/>
    <w:rsid w:val="00B25DBA"/>
    <w:rsid w:val="00B30FA7"/>
    <w:rsid w:val="00B31340"/>
    <w:rsid w:val="00B326E3"/>
    <w:rsid w:val="00B36382"/>
    <w:rsid w:val="00B476CF"/>
    <w:rsid w:val="00B47A09"/>
    <w:rsid w:val="00B5148C"/>
    <w:rsid w:val="00B51502"/>
    <w:rsid w:val="00B56DAD"/>
    <w:rsid w:val="00B63320"/>
    <w:rsid w:val="00B648EA"/>
    <w:rsid w:val="00B653EA"/>
    <w:rsid w:val="00B7232B"/>
    <w:rsid w:val="00B739FC"/>
    <w:rsid w:val="00B77AE1"/>
    <w:rsid w:val="00B77B43"/>
    <w:rsid w:val="00B811F7"/>
    <w:rsid w:val="00B85BC9"/>
    <w:rsid w:val="00B94471"/>
    <w:rsid w:val="00B955F7"/>
    <w:rsid w:val="00B97381"/>
    <w:rsid w:val="00BA5DC6"/>
    <w:rsid w:val="00BA6196"/>
    <w:rsid w:val="00BA6B6D"/>
    <w:rsid w:val="00BA7910"/>
    <w:rsid w:val="00BA7BD5"/>
    <w:rsid w:val="00BA7D63"/>
    <w:rsid w:val="00BB17C7"/>
    <w:rsid w:val="00BB3DD1"/>
    <w:rsid w:val="00BB45EB"/>
    <w:rsid w:val="00BB5D53"/>
    <w:rsid w:val="00BC2454"/>
    <w:rsid w:val="00BC501B"/>
    <w:rsid w:val="00BC5751"/>
    <w:rsid w:val="00BC5D19"/>
    <w:rsid w:val="00BC6D8C"/>
    <w:rsid w:val="00BD1D06"/>
    <w:rsid w:val="00BD27AB"/>
    <w:rsid w:val="00BD4717"/>
    <w:rsid w:val="00BD55D7"/>
    <w:rsid w:val="00BD6D8B"/>
    <w:rsid w:val="00BE44C4"/>
    <w:rsid w:val="00BF19C6"/>
    <w:rsid w:val="00C00311"/>
    <w:rsid w:val="00C1132A"/>
    <w:rsid w:val="00C11DD0"/>
    <w:rsid w:val="00C122F4"/>
    <w:rsid w:val="00C12D44"/>
    <w:rsid w:val="00C13D6F"/>
    <w:rsid w:val="00C16AF2"/>
    <w:rsid w:val="00C21442"/>
    <w:rsid w:val="00C218E1"/>
    <w:rsid w:val="00C245C9"/>
    <w:rsid w:val="00C30EAC"/>
    <w:rsid w:val="00C3269A"/>
    <w:rsid w:val="00C327D1"/>
    <w:rsid w:val="00C34006"/>
    <w:rsid w:val="00C34251"/>
    <w:rsid w:val="00C36271"/>
    <w:rsid w:val="00C36A42"/>
    <w:rsid w:val="00C426B1"/>
    <w:rsid w:val="00C42827"/>
    <w:rsid w:val="00C449E0"/>
    <w:rsid w:val="00C45E81"/>
    <w:rsid w:val="00C469D2"/>
    <w:rsid w:val="00C507B8"/>
    <w:rsid w:val="00C51FAB"/>
    <w:rsid w:val="00C5720B"/>
    <w:rsid w:val="00C609B8"/>
    <w:rsid w:val="00C6231F"/>
    <w:rsid w:val="00C6349B"/>
    <w:rsid w:val="00C63683"/>
    <w:rsid w:val="00C64AB7"/>
    <w:rsid w:val="00C676FC"/>
    <w:rsid w:val="00C67B01"/>
    <w:rsid w:val="00C67FAA"/>
    <w:rsid w:val="00C752CE"/>
    <w:rsid w:val="00C76D09"/>
    <w:rsid w:val="00C8247F"/>
    <w:rsid w:val="00C82B6B"/>
    <w:rsid w:val="00C850D4"/>
    <w:rsid w:val="00C87D99"/>
    <w:rsid w:val="00C90C37"/>
    <w:rsid w:val="00C90D6A"/>
    <w:rsid w:val="00C9125B"/>
    <w:rsid w:val="00C912C9"/>
    <w:rsid w:val="00C91BF5"/>
    <w:rsid w:val="00C930FD"/>
    <w:rsid w:val="00C94174"/>
    <w:rsid w:val="00C95521"/>
    <w:rsid w:val="00C976E8"/>
    <w:rsid w:val="00CA060D"/>
    <w:rsid w:val="00CA34DF"/>
    <w:rsid w:val="00CB3F38"/>
    <w:rsid w:val="00CB7AA1"/>
    <w:rsid w:val="00CB7E66"/>
    <w:rsid w:val="00CC0CD7"/>
    <w:rsid w:val="00CC240D"/>
    <w:rsid w:val="00CC2E45"/>
    <w:rsid w:val="00CC2ECF"/>
    <w:rsid w:val="00CC5984"/>
    <w:rsid w:val="00CC72B6"/>
    <w:rsid w:val="00CC7A39"/>
    <w:rsid w:val="00CD1C5D"/>
    <w:rsid w:val="00CD3AB7"/>
    <w:rsid w:val="00CD4B47"/>
    <w:rsid w:val="00CD4EA4"/>
    <w:rsid w:val="00CE014F"/>
    <w:rsid w:val="00CE03F6"/>
    <w:rsid w:val="00CE1570"/>
    <w:rsid w:val="00CE2A89"/>
    <w:rsid w:val="00CE5163"/>
    <w:rsid w:val="00CE76D6"/>
    <w:rsid w:val="00CF1967"/>
    <w:rsid w:val="00CF2B46"/>
    <w:rsid w:val="00CF49A3"/>
    <w:rsid w:val="00D0218D"/>
    <w:rsid w:val="00D04C2E"/>
    <w:rsid w:val="00D1141E"/>
    <w:rsid w:val="00D11438"/>
    <w:rsid w:val="00D133D4"/>
    <w:rsid w:val="00D14B34"/>
    <w:rsid w:val="00D16881"/>
    <w:rsid w:val="00D17C64"/>
    <w:rsid w:val="00D20B7D"/>
    <w:rsid w:val="00D216CD"/>
    <w:rsid w:val="00D223B1"/>
    <w:rsid w:val="00D223E4"/>
    <w:rsid w:val="00D224F2"/>
    <w:rsid w:val="00D26227"/>
    <w:rsid w:val="00D329AC"/>
    <w:rsid w:val="00D35934"/>
    <w:rsid w:val="00D40C4A"/>
    <w:rsid w:val="00D4329B"/>
    <w:rsid w:val="00D4414E"/>
    <w:rsid w:val="00D467F7"/>
    <w:rsid w:val="00D47D43"/>
    <w:rsid w:val="00D5048B"/>
    <w:rsid w:val="00D53FFC"/>
    <w:rsid w:val="00D5560E"/>
    <w:rsid w:val="00D5659D"/>
    <w:rsid w:val="00D567B0"/>
    <w:rsid w:val="00D607D7"/>
    <w:rsid w:val="00D63B21"/>
    <w:rsid w:val="00D65B20"/>
    <w:rsid w:val="00D66774"/>
    <w:rsid w:val="00D701C1"/>
    <w:rsid w:val="00D70289"/>
    <w:rsid w:val="00D70FA8"/>
    <w:rsid w:val="00D737D3"/>
    <w:rsid w:val="00D73EF7"/>
    <w:rsid w:val="00D7546A"/>
    <w:rsid w:val="00D8285B"/>
    <w:rsid w:val="00D84F94"/>
    <w:rsid w:val="00D8629D"/>
    <w:rsid w:val="00D87464"/>
    <w:rsid w:val="00D9125F"/>
    <w:rsid w:val="00D91360"/>
    <w:rsid w:val="00D918EB"/>
    <w:rsid w:val="00D92AA4"/>
    <w:rsid w:val="00D9318C"/>
    <w:rsid w:val="00D93DF1"/>
    <w:rsid w:val="00D95015"/>
    <w:rsid w:val="00DA2529"/>
    <w:rsid w:val="00DA343C"/>
    <w:rsid w:val="00DB130A"/>
    <w:rsid w:val="00DB3030"/>
    <w:rsid w:val="00DB37AF"/>
    <w:rsid w:val="00DB4249"/>
    <w:rsid w:val="00DB5FA3"/>
    <w:rsid w:val="00DB640C"/>
    <w:rsid w:val="00DB64E6"/>
    <w:rsid w:val="00DB6574"/>
    <w:rsid w:val="00DC072E"/>
    <w:rsid w:val="00DC10A1"/>
    <w:rsid w:val="00DC5965"/>
    <w:rsid w:val="00DC655F"/>
    <w:rsid w:val="00DC6DE5"/>
    <w:rsid w:val="00DC7B26"/>
    <w:rsid w:val="00DD05B5"/>
    <w:rsid w:val="00DD05D9"/>
    <w:rsid w:val="00DD7175"/>
    <w:rsid w:val="00DD7EBD"/>
    <w:rsid w:val="00DF336C"/>
    <w:rsid w:val="00DF62B6"/>
    <w:rsid w:val="00E00DDA"/>
    <w:rsid w:val="00E028D4"/>
    <w:rsid w:val="00E0647A"/>
    <w:rsid w:val="00E07225"/>
    <w:rsid w:val="00E105B1"/>
    <w:rsid w:val="00E10F2B"/>
    <w:rsid w:val="00E1137D"/>
    <w:rsid w:val="00E13E60"/>
    <w:rsid w:val="00E155B7"/>
    <w:rsid w:val="00E170B7"/>
    <w:rsid w:val="00E17F02"/>
    <w:rsid w:val="00E208D0"/>
    <w:rsid w:val="00E20A43"/>
    <w:rsid w:val="00E2154F"/>
    <w:rsid w:val="00E21EBF"/>
    <w:rsid w:val="00E22F2D"/>
    <w:rsid w:val="00E23CAE"/>
    <w:rsid w:val="00E26076"/>
    <w:rsid w:val="00E27F1C"/>
    <w:rsid w:val="00E3144C"/>
    <w:rsid w:val="00E3186C"/>
    <w:rsid w:val="00E32705"/>
    <w:rsid w:val="00E3300C"/>
    <w:rsid w:val="00E4254E"/>
    <w:rsid w:val="00E50E12"/>
    <w:rsid w:val="00E51823"/>
    <w:rsid w:val="00E5409F"/>
    <w:rsid w:val="00E54395"/>
    <w:rsid w:val="00E550CB"/>
    <w:rsid w:val="00E5751D"/>
    <w:rsid w:val="00E57F5A"/>
    <w:rsid w:val="00E612C1"/>
    <w:rsid w:val="00E62590"/>
    <w:rsid w:val="00E646A3"/>
    <w:rsid w:val="00E65DAD"/>
    <w:rsid w:val="00E72CAE"/>
    <w:rsid w:val="00E765B8"/>
    <w:rsid w:val="00E832AA"/>
    <w:rsid w:val="00E85D70"/>
    <w:rsid w:val="00E8720E"/>
    <w:rsid w:val="00E8784E"/>
    <w:rsid w:val="00E90079"/>
    <w:rsid w:val="00E908C3"/>
    <w:rsid w:val="00E92EDC"/>
    <w:rsid w:val="00E96230"/>
    <w:rsid w:val="00EA2BE8"/>
    <w:rsid w:val="00EA6B3A"/>
    <w:rsid w:val="00EA7615"/>
    <w:rsid w:val="00EB34F4"/>
    <w:rsid w:val="00EB428A"/>
    <w:rsid w:val="00EB55E7"/>
    <w:rsid w:val="00EB64E5"/>
    <w:rsid w:val="00EC0185"/>
    <w:rsid w:val="00EC048A"/>
    <w:rsid w:val="00EC10AA"/>
    <w:rsid w:val="00EC2E06"/>
    <w:rsid w:val="00EC4905"/>
    <w:rsid w:val="00EC594A"/>
    <w:rsid w:val="00EC62F2"/>
    <w:rsid w:val="00ED3C91"/>
    <w:rsid w:val="00EE144F"/>
    <w:rsid w:val="00EE31AA"/>
    <w:rsid w:val="00EE6393"/>
    <w:rsid w:val="00EE67FE"/>
    <w:rsid w:val="00EF36DD"/>
    <w:rsid w:val="00F021FA"/>
    <w:rsid w:val="00F02F0B"/>
    <w:rsid w:val="00F0457F"/>
    <w:rsid w:val="00F0616D"/>
    <w:rsid w:val="00F06ADE"/>
    <w:rsid w:val="00F07910"/>
    <w:rsid w:val="00F112EF"/>
    <w:rsid w:val="00F11D41"/>
    <w:rsid w:val="00F11F99"/>
    <w:rsid w:val="00F128F6"/>
    <w:rsid w:val="00F15B84"/>
    <w:rsid w:val="00F17BB2"/>
    <w:rsid w:val="00F305BE"/>
    <w:rsid w:val="00F328AA"/>
    <w:rsid w:val="00F33E73"/>
    <w:rsid w:val="00F36BCD"/>
    <w:rsid w:val="00F377CB"/>
    <w:rsid w:val="00F3790D"/>
    <w:rsid w:val="00F41E82"/>
    <w:rsid w:val="00F435D2"/>
    <w:rsid w:val="00F45CCF"/>
    <w:rsid w:val="00F479A7"/>
    <w:rsid w:val="00F51091"/>
    <w:rsid w:val="00F52966"/>
    <w:rsid w:val="00F553AC"/>
    <w:rsid w:val="00F574B8"/>
    <w:rsid w:val="00F57ACA"/>
    <w:rsid w:val="00F57B58"/>
    <w:rsid w:val="00F616C3"/>
    <w:rsid w:val="00F6181D"/>
    <w:rsid w:val="00F62E97"/>
    <w:rsid w:val="00F64209"/>
    <w:rsid w:val="00F71B57"/>
    <w:rsid w:val="00F72D61"/>
    <w:rsid w:val="00F733C6"/>
    <w:rsid w:val="00F73829"/>
    <w:rsid w:val="00F743E0"/>
    <w:rsid w:val="00F80931"/>
    <w:rsid w:val="00F80D22"/>
    <w:rsid w:val="00F8483C"/>
    <w:rsid w:val="00F87E61"/>
    <w:rsid w:val="00F93BF5"/>
    <w:rsid w:val="00F93FC0"/>
    <w:rsid w:val="00F94211"/>
    <w:rsid w:val="00F96F63"/>
    <w:rsid w:val="00FA55C5"/>
    <w:rsid w:val="00FA59E6"/>
    <w:rsid w:val="00FA7FC0"/>
    <w:rsid w:val="00FB0A19"/>
    <w:rsid w:val="00FB18D2"/>
    <w:rsid w:val="00FB225F"/>
    <w:rsid w:val="00FB25F4"/>
    <w:rsid w:val="00FB340E"/>
    <w:rsid w:val="00FB3EAB"/>
    <w:rsid w:val="00FB508D"/>
    <w:rsid w:val="00FB5221"/>
    <w:rsid w:val="00FC2CA6"/>
    <w:rsid w:val="00FC305D"/>
    <w:rsid w:val="00FC55CC"/>
    <w:rsid w:val="00FC565F"/>
    <w:rsid w:val="00FC61C5"/>
    <w:rsid w:val="00FC71A0"/>
    <w:rsid w:val="00FC7E18"/>
    <w:rsid w:val="00FD1E07"/>
    <w:rsid w:val="00FD1EA3"/>
    <w:rsid w:val="00FD2FE6"/>
    <w:rsid w:val="00FD3C72"/>
    <w:rsid w:val="00FD5F1B"/>
    <w:rsid w:val="00FD66D5"/>
    <w:rsid w:val="00FE326A"/>
    <w:rsid w:val="00FE4C33"/>
    <w:rsid w:val="00FE752F"/>
    <w:rsid w:val="00FF0384"/>
    <w:rsid w:val="00FF44BB"/>
    <w:rsid w:val="00FF778E"/>
    <w:rsid w:val="00FF7863"/>
    <w:rsid w:val="05B1785E"/>
    <w:rsid w:val="18607F87"/>
    <w:rsid w:val="1A982C9B"/>
    <w:rsid w:val="271648C2"/>
    <w:rsid w:val="3679D128"/>
    <w:rsid w:val="38D5EBEF"/>
    <w:rsid w:val="3B9042E4"/>
    <w:rsid w:val="41E9C31D"/>
    <w:rsid w:val="4B777D06"/>
    <w:rsid w:val="771FCD0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94B6CC8"/>
  <w15:docId w15:val="{AD8D4DB5-F252-4BAC-A748-8D74872D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D1C17"/>
    <w:pPr>
      <w:widowControl w:val="0"/>
    </w:pPr>
    <w:rPr>
      <w:kern w:val="28"/>
      <w:sz w:val="22"/>
    </w:rPr>
  </w:style>
  <w:style w:type="paragraph" w:styleId="Heading1">
    <w:name w:val="heading 1"/>
    <w:aliases w:val="Heading 1 Char Char Char Char,Heading 1 Char Char Char Char Char Char,Heading 1 Char Char Char1 Char,Heading 1 Char Char1 Char Char,Heading 1 Char Char1 Char1,Heading 1 Char Char2 Char,Heading 1 Char1 Char Char,Heading 1 Char2"/>
    <w:basedOn w:val="Normal"/>
    <w:next w:val="ParaNum"/>
    <w:link w:val="Heading1Char"/>
    <w:uiPriority w:val="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UNDERRUBRIK 1-2 Char,h2 Char"/>
    <w:basedOn w:val="Normal"/>
    <w:next w:val="ParaNum"/>
    <w:link w:val="Heading2Char"/>
    <w:autoRedefine/>
    <w:uiPriority w:val="9"/>
    <w:qFormat/>
    <w:rsid w:val="007A1E6D"/>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uiPriority w:val="9"/>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
    <w:basedOn w:val="Normal"/>
    <w:next w:val="ParaNum"/>
    <w:link w:val="Heading4Char"/>
    <w:uiPriority w:val="9"/>
    <w:qFormat/>
    <w:rsid w:val="00C426B1"/>
    <w:pPr>
      <w:keepNext/>
      <w:numPr>
        <w:ilvl w:val="3"/>
        <w:numId w:val="3"/>
      </w:numPr>
      <w:tabs>
        <w:tab w:val="left" w:pos="2880"/>
      </w:tabs>
      <w:spacing w:after="120"/>
      <w:outlineLvl w:val="3"/>
    </w:pPr>
    <w:rPr>
      <w:b/>
    </w:rPr>
  </w:style>
  <w:style w:type="paragraph" w:styleId="Heading5">
    <w:name w:val="heading 5"/>
    <w:aliases w:val="Heading 5 Char,Heading 5 Char Char Char Char Char,Heading 5 Char Char Char1,Heading 5 Char Char1 Char,Heading 5 Char Char2,Heading 5 Char1 Char Char Char,Heading 5 Char1 Char Char1,Heading 5 Char1 Char1,Heading 5 Char2"/>
    <w:basedOn w:val="Normal"/>
    <w:next w:val="ParaNum"/>
    <w:link w:val="Heading5Char1"/>
    <w:uiPriority w:val="9"/>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uiPriority w:val="9"/>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link w:val="Heading7Char1"/>
    <w:uiPriority w:val="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
    <w:qFormat/>
    <w:rsid w:val="001E01CA"/>
    <w:pPr>
      <w:numPr>
        <w:ilvl w:val="7"/>
        <w:numId w:val="3"/>
      </w:numPr>
      <w:tabs>
        <w:tab w:val="left" w:pos="5760"/>
      </w:tabs>
      <w:spacing w:after="120"/>
      <w:ind w:left="5760" w:hanging="720"/>
      <w:outlineLvl w:val="7"/>
    </w:pPr>
    <w:rPr>
      <w:b/>
    </w:rPr>
  </w:style>
  <w:style w:type="paragraph" w:styleId="Heading9">
    <w:name w:val="heading 9"/>
    <w:aliases w:val="9,Heading 9 Char,Heading 9.table,Titre 9,Topic,t,table"/>
    <w:basedOn w:val="Normal"/>
    <w:next w:val="ParaNum"/>
    <w:link w:val="Heading9Char1"/>
    <w:uiPriority w:val="9"/>
    <w:qFormat/>
    <w:rsid w:val="001E01CA"/>
    <w:pPr>
      <w:numPr>
        <w:ilvl w:val="8"/>
        <w:numId w:val="3"/>
      </w:num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Char,Heading 1 Char Char Char Char Char Char Char,Heading 1 Char Char Char1 Char Char,Heading 1 Char Char1 Char Char Char,Heading 1 Char Char1 Char1 Char,Heading 1 Char Char2 Char Char,Heading 1 Char2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aliases w:val="Char Char,Heading 2 Char Char Char Char Char,Heading 2 Char Char1 Char,Heading 2 Char Char3 Char Char Char Char Char,Heading 2 Char1 Char,Heading 2 Char1 Char Char Char Char1 Char Char Char,Heading 2 Char1 Char Char1 Char Char Char"/>
    <w:basedOn w:val="DefaultParagraphFont"/>
    <w:link w:val="Heading2"/>
    <w:uiPriority w:val="9"/>
    <w:locked/>
    <w:rsid w:val="00C449E0"/>
    <w:rPr>
      <w:b/>
      <w:kern w:val="28"/>
      <w:sz w:val="22"/>
    </w:rPr>
  </w:style>
  <w:style w:type="character" w:customStyle="1" w:styleId="Heading3Char">
    <w:name w:val="Heading 3 Char"/>
    <w:aliases w:val="1 Char Char,1 Char1,3 Char Char,3 Char1,31 Char Char,31 Char1,?? 3 Char Char,?? 3 Char1,Heading 3 Char Char Char,Heading 3 Char Char Char Char Char,Heading 3 Char Char1 Ch Char,Heading 3 Char1 Char,Heading 3 Char1 Char Char Char"/>
    <w:basedOn w:val="DefaultParagraphFont"/>
    <w:link w:val="Heading3"/>
    <w:uiPriority w:val="9"/>
    <w:locked/>
    <w:rsid w:val="00C449E0"/>
    <w:rPr>
      <w:b/>
      <w:kern w:val="28"/>
      <w:sz w:val="22"/>
    </w:rPr>
  </w:style>
  <w:style w:type="character" w:customStyle="1" w:styleId="Heading4Char">
    <w:name w:val="Heading 4 Char"/>
    <w:aliases w:val="Heading 4 Char Char Char Char,Heading 4 Char Char Char1,Heading 4 Char Char Char1 Char Char Char,Heading 4 Char Char1 Char,Heading 4 Char Char1 Char Char Char,Heading 4 Char1 Char Char,Heading 4 Char1 Char1,Heading 4 Char2 Char"/>
    <w:basedOn w:val="DefaultParagraphFont"/>
    <w:link w:val="Heading4"/>
    <w:uiPriority w:val="9"/>
    <w:semiHidden/>
    <w:rPr>
      <w:rFonts w:asciiTheme="minorHAnsi" w:eastAsiaTheme="minorEastAsia" w:hAnsiTheme="minorHAnsi" w:cstheme="minorBidi"/>
      <w:b/>
      <w:bCs/>
      <w:kern w:val="28"/>
      <w:sz w:val="28"/>
      <w:szCs w:val="28"/>
    </w:rPr>
  </w:style>
  <w:style w:type="character" w:customStyle="1" w:styleId="Heading5Char1">
    <w:name w:val="Heading 5 Char1"/>
    <w:aliases w:val="Heading 5 Char Char Char Char Char Char,Heading 5 Char Char Char1 Char,Heading 5 Char Char1 Char Char,Heading 5 Char Char2 Char,Heading 5 Char1 Char Char Char Char,Heading 5 Char1 Char Char1 Char,Heading 5 Char1 Char1 Char"/>
    <w:basedOn w:val="DefaultParagraphFont"/>
    <w:link w:val="Heading5"/>
    <w:uiPriority w:val="9"/>
    <w:semiHidden/>
    <w:rPr>
      <w:rFonts w:asciiTheme="minorHAnsi" w:eastAsiaTheme="minorEastAsia" w:hAnsiTheme="minorHAnsi" w:cstheme="minorBidi"/>
      <w:b/>
      <w:bCs/>
      <w:i/>
      <w:iCs/>
      <w:kern w:val="28"/>
      <w:sz w:val="26"/>
      <w:szCs w:val="26"/>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uiPriority w:val="9"/>
    <w:semiHidden/>
    <w:rPr>
      <w:rFonts w:asciiTheme="minorHAnsi" w:eastAsiaTheme="minorEastAsia" w:hAnsiTheme="minorHAnsi" w:cstheme="minorBidi"/>
      <w:b/>
      <w:bCs/>
      <w:kern w:val="28"/>
      <w:sz w:val="22"/>
      <w:szCs w:val="22"/>
    </w:rPr>
  </w:style>
  <w:style w:type="character" w:customStyle="1" w:styleId="Heading7Char1">
    <w:name w:val="Heading 7 Char1"/>
    <w:aliases w:val="Heading 7 Char Char"/>
    <w:basedOn w:val="DefaultParagraphFont"/>
    <w:link w:val="Heading7"/>
    <w:uiPriority w:val="9"/>
    <w:semiHidden/>
    <w:rPr>
      <w:rFonts w:asciiTheme="minorHAnsi" w:eastAsiaTheme="minorEastAsia" w:hAnsiTheme="minorHAnsi" w:cstheme="minorBidi"/>
      <w:kern w:val="28"/>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kern w:val="28"/>
      <w:sz w:val="24"/>
      <w:szCs w:val="24"/>
    </w:rPr>
  </w:style>
  <w:style w:type="character" w:customStyle="1" w:styleId="Heading9Char1">
    <w:name w:val="Heading 9 Char1"/>
    <w:aliases w:val="9 Char,Heading 9 Char Char,Heading 9.table Char,Titre 9 Char,Topic Char,t Char,table Char"/>
    <w:basedOn w:val="DefaultParagraphFont"/>
    <w:link w:val="Heading9"/>
    <w:uiPriority w:val="9"/>
    <w:semiHidden/>
    <w:rPr>
      <w:rFonts w:asciiTheme="majorHAnsi" w:eastAsiaTheme="majorEastAsia" w:hAnsiTheme="majorHAnsi" w:cstheme="majorBidi"/>
      <w:kern w:val="28"/>
      <w:sz w:val="22"/>
      <w:szCs w:val="22"/>
    </w:rPr>
  </w:style>
  <w:style w:type="paragraph" w:customStyle="1" w:styleId="ParaNum">
    <w:name w:val="ParaNum"/>
    <w:basedOn w:val="Normal"/>
    <w:link w:val="ParaNumChar"/>
    <w:rsid w:val="00E07225"/>
    <w:pPr>
      <w:numPr>
        <w:numId w:val="2"/>
      </w:numPr>
      <w:tabs>
        <w:tab w:val="num" w:pos="1440"/>
      </w:tabs>
      <w:spacing w:after="120"/>
    </w:p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rPr>
      <w:kern w:val="28"/>
    </w:rPr>
  </w:style>
  <w:style w:type="character" w:styleId="EndnoteReference">
    <w:name w:val="endnote reference"/>
    <w:basedOn w:val="DefaultParagraphFont"/>
    <w:uiPriority w:val="99"/>
    <w:semiHidden/>
    <w:rPr>
      <w:vertAlign w:val="superscript"/>
    </w:rPr>
  </w:style>
  <w:style w:type="paragraph" w:styleId="FootnoteText">
    <w:name w:val="footnote text"/>
    <w:aliases w:val="ALTS FOOTNOTE,ALTS FOOTNOTE Char1,Footnote Text Char Char,Footnote Text Char1,Footnote Text Char2,Footnote Text Char2 Char Char,Footnote Text Char2 Char1 Char1 Char Char,Footnote Text Char3 Char1 Char Char,Footnote Text... + Italic,f,fn"/>
    <w:basedOn w:val="Normal"/>
    <w:link w:val="FootnoteTextChar"/>
    <w:uiPriority w:val="99"/>
    <w:rsid w:val="000E3D42"/>
    <w:pPr>
      <w:widowControl/>
      <w:spacing w:after="120"/>
    </w:pPr>
    <w:rPr>
      <w:kern w:val="0"/>
      <w:sz w:val="20"/>
    </w:rPr>
  </w:style>
  <w:style w:type="character" w:customStyle="1" w:styleId="FootnoteTextChar">
    <w:name w:val="Footnote Text Char"/>
    <w:aliases w:val="ALTS FOOTNOTE Char,ALTS FOOTNOTE Char1 Char,Footnote Text Char Char Char,Footnote Text Char2 Char,Footnote Text Char2 Char Char Char,Footnote Text Char2 Char1 Char1 Char Char Char,Footnote Text... + Italic Char,f Char,fn Char"/>
    <w:basedOn w:val="DefaultParagraphFont"/>
    <w:link w:val="FootnoteText"/>
    <w:uiPriority w:val="99"/>
    <w:locked/>
    <w:rsid w:val="006D1C17"/>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uiPriority w:val="99"/>
    <w:rPr>
      <w:rFonts w:ascii="Times New Roman" w:hAnsi="Times New Roman"/>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semiHidden/>
    <w:pPr>
      <w:tabs>
        <w:tab w:val="left" w:pos="720"/>
        <w:tab w:val="right" w:leader="dot" w:pos="9360"/>
      </w:tabs>
      <w:suppressAutoHyphens/>
      <w:ind w:left="720" w:right="720" w:hanging="360"/>
    </w:pPr>
    <w:rPr>
      <w:noProof/>
    </w:rPr>
  </w:style>
  <w:style w:type="paragraph" w:styleId="TOC3">
    <w:name w:val="toc 3"/>
    <w:basedOn w:val="Normal"/>
    <w:next w:val="Normal"/>
    <w:uiPriority w:val="39"/>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39"/>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39"/>
    <w:semiHidden/>
    <w:pPr>
      <w:tabs>
        <w:tab w:val="left" w:pos="2160"/>
        <w:tab w:val="right" w:leader="dot" w:pos="9360"/>
      </w:tabs>
      <w:suppressAutoHyphens/>
      <w:ind w:left="2160" w:hanging="360"/>
    </w:pPr>
    <w:rPr>
      <w:noProof/>
    </w:rPr>
  </w:style>
  <w:style w:type="paragraph" w:styleId="TOC7">
    <w:name w:val="toc 7"/>
    <w:basedOn w:val="Normal"/>
    <w:next w:val="Normal"/>
    <w:autoRedefine/>
    <w:uiPriority w:val="39"/>
    <w:semiHidden/>
    <w:pPr>
      <w:tabs>
        <w:tab w:val="left" w:pos="2520"/>
        <w:tab w:val="right" w:leader="dot" w:pos="9360"/>
      </w:tabs>
      <w:suppressAutoHyphens/>
      <w:ind w:left="2520" w:hanging="360"/>
    </w:pPr>
    <w:rPr>
      <w:noProof/>
    </w:rPr>
  </w:style>
  <w:style w:type="paragraph" w:styleId="TOC8">
    <w:name w:val="toc 8"/>
    <w:basedOn w:val="Normal"/>
    <w:next w:val="Normal"/>
    <w:autoRedefine/>
    <w:uiPriority w:val="39"/>
    <w:semiHidden/>
    <w:pPr>
      <w:tabs>
        <w:tab w:val="left" w:pos="2880"/>
        <w:tab w:val="right" w:leader="dot" w:pos="9360"/>
      </w:tabs>
      <w:suppressAutoHyphens/>
      <w:ind w:left="2880" w:hanging="360"/>
    </w:pPr>
    <w:rPr>
      <w:noProof/>
    </w:rPr>
  </w:style>
  <w:style w:type="paragraph" w:styleId="TOC9">
    <w:name w:val="toc 9"/>
    <w:basedOn w:val="Normal"/>
    <w:next w:val="Normal"/>
    <w:autoRedefine/>
    <w:uiPriority w:val="39"/>
    <w:semiHidden/>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837C62"/>
    <w:pPr>
      <w:tabs>
        <w:tab w:val="center" w:pos="4680"/>
        <w:tab w:val="right" w:pos="9360"/>
      </w:tabs>
      <w:ind w:firstLine="1080"/>
    </w:pPr>
    <w:rPr>
      <w:rFonts w:ascii="Arial" w:hAnsi="Arial" w:cs="Arial"/>
      <w:b/>
      <w:sz w:val="96"/>
      <w:szCs w:val="96"/>
    </w:rPr>
  </w:style>
  <w:style w:type="character" w:customStyle="1" w:styleId="HeaderChar">
    <w:name w:val="Header Char"/>
    <w:basedOn w:val="DefaultParagraphFont"/>
    <w:link w:val="Header"/>
    <w:uiPriority w:val="99"/>
    <w:semiHidden/>
    <w:rPr>
      <w:kern w:val="28"/>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910F12"/>
    <w:rPr>
      <w:kern w:val="28"/>
      <w:sz w:val="22"/>
    </w:rPr>
  </w:style>
  <w:style w:type="character" w:styleId="PageNumber">
    <w:name w:val="page number"/>
    <w:basedOn w:val="DefaultParagraphFont"/>
    <w:uiPriority w:val="99"/>
    <w:rPr>
      <w:rFonts w:cs="Times New Roman"/>
    </w:rPr>
  </w:style>
  <w:style w:type="paragraph" w:styleId="BlockText">
    <w:name w:val="Block Text"/>
    <w:basedOn w:val="Normal"/>
    <w:uiPriority w:val="99"/>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uiPriority w:val="99"/>
    <w:rsid w:val="002A2D2E"/>
    <w:rPr>
      <w:color w:val="0000FF"/>
      <w:u w:val="single"/>
    </w:rPr>
  </w:style>
  <w:style w:type="character" w:customStyle="1" w:styleId="ParaNumChar">
    <w:name w:val="ParaNum Char"/>
    <w:link w:val="ParaNum"/>
    <w:locked/>
    <w:rsid w:val="006D1C17"/>
    <w:rPr>
      <w:kern w:val="28"/>
      <w:sz w:val="22"/>
    </w:rPr>
  </w:style>
  <w:style w:type="paragraph" w:customStyle="1" w:styleId="xmsonormal">
    <w:name w:val="x_msonormal"/>
    <w:basedOn w:val="Normal"/>
    <w:rsid w:val="006D1C17"/>
    <w:pPr>
      <w:widowControl/>
    </w:pPr>
    <w:rPr>
      <w:rFonts w:ascii="Calibri" w:hAnsi="Calibri" w:cs="Calibri"/>
      <w:kern w:val="0"/>
      <w:szCs w:val="22"/>
    </w:rPr>
  </w:style>
  <w:style w:type="paragraph" w:styleId="BalloonText">
    <w:name w:val="Balloon Text"/>
    <w:basedOn w:val="Normal"/>
    <w:link w:val="BalloonTextChar"/>
    <w:uiPriority w:val="99"/>
    <w:semiHidden/>
    <w:unhideWhenUsed/>
    <w:rsid w:val="00FF038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F0384"/>
    <w:rPr>
      <w:rFonts w:ascii="Segoe UI" w:hAnsi="Segoe UI" w:cs="Segoe UI"/>
      <w:kern w:val="28"/>
      <w:sz w:val="18"/>
      <w:szCs w:val="18"/>
    </w:rPr>
  </w:style>
  <w:style w:type="paragraph" w:styleId="ListParagraph">
    <w:name w:val="List Paragraph"/>
    <w:basedOn w:val="Normal"/>
    <w:uiPriority w:val="34"/>
    <w:qFormat/>
    <w:rsid w:val="00C449E0"/>
    <w:pPr>
      <w:spacing w:after="160" w:line="259" w:lineRule="auto"/>
      <w:ind w:left="720"/>
      <w:contextualSpacing/>
    </w:pPr>
    <w:rPr>
      <w:rFonts w:ascii="Calibri" w:hAnsi="Calibri" w:cs="Arial"/>
    </w:rPr>
  </w:style>
  <w:style w:type="character" w:styleId="CommentReference">
    <w:name w:val="annotation reference"/>
    <w:basedOn w:val="DefaultParagraphFont"/>
    <w:uiPriority w:val="99"/>
    <w:semiHidden/>
    <w:unhideWhenUsed/>
    <w:rsid w:val="006C6E26"/>
    <w:rPr>
      <w:rFonts w:cs="Times New Roman"/>
      <w:sz w:val="16"/>
      <w:szCs w:val="16"/>
    </w:rPr>
  </w:style>
  <w:style w:type="paragraph" w:styleId="CommentText">
    <w:name w:val="annotation text"/>
    <w:basedOn w:val="Normal"/>
    <w:link w:val="CommentTextChar"/>
    <w:uiPriority w:val="99"/>
    <w:unhideWhenUsed/>
    <w:rsid w:val="006C6E26"/>
    <w:rPr>
      <w:sz w:val="20"/>
    </w:rPr>
  </w:style>
  <w:style w:type="character" w:customStyle="1" w:styleId="CommentTextChar">
    <w:name w:val="Comment Text Char"/>
    <w:basedOn w:val="DefaultParagraphFont"/>
    <w:link w:val="CommentText"/>
    <w:uiPriority w:val="99"/>
    <w:locked/>
    <w:rsid w:val="006C6E26"/>
    <w:rPr>
      <w:rFonts w:cs="Times New Roman"/>
      <w:kern w:val="28"/>
    </w:rPr>
  </w:style>
  <w:style w:type="paragraph" w:styleId="CommentSubject">
    <w:name w:val="annotation subject"/>
    <w:basedOn w:val="CommentText"/>
    <w:next w:val="CommentText"/>
    <w:link w:val="CommentSubjectChar"/>
    <w:uiPriority w:val="99"/>
    <w:semiHidden/>
    <w:unhideWhenUsed/>
    <w:rsid w:val="006C6E26"/>
    <w:rPr>
      <w:b/>
      <w:bCs/>
    </w:rPr>
  </w:style>
  <w:style w:type="character" w:customStyle="1" w:styleId="CommentSubjectChar">
    <w:name w:val="Comment Subject Char"/>
    <w:basedOn w:val="CommentTextChar"/>
    <w:link w:val="CommentSubject"/>
    <w:uiPriority w:val="99"/>
    <w:semiHidden/>
    <w:locked/>
    <w:rsid w:val="006C6E26"/>
    <w:rPr>
      <w:rFonts w:cs="Times New Roman"/>
      <w:b/>
      <w:bCs/>
      <w:kern w:val="28"/>
    </w:rPr>
  </w:style>
  <w:style w:type="table" w:styleId="TableGrid">
    <w:name w:val="Table Grid"/>
    <w:basedOn w:val="TableNormal"/>
    <w:uiPriority w:val="59"/>
    <w:rsid w:val="0056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unhideWhenUsed/>
    <w:rsid w:val="009E4E52"/>
    <w:rPr>
      <w:rFonts w:cs="Times New Roman"/>
      <w:color w:val="605E5C"/>
      <w:shd w:val="clear" w:color="auto" w:fill="E1DFDD"/>
    </w:rPr>
  </w:style>
  <w:style w:type="paragraph" w:styleId="Revision">
    <w:name w:val="Revision"/>
    <w:hidden/>
    <w:uiPriority w:val="99"/>
    <w:semiHidden/>
    <w:rsid w:val="004958F3"/>
    <w:rPr>
      <w:kern w:val="28"/>
      <w:sz w:val="22"/>
    </w:rPr>
  </w:style>
  <w:style w:type="character" w:styleId="FollowedHyperlink">
    <w:name w:val="FollowedHyperlink"/>
    <w:basedOn w:val="DefaultParagraphFont"/>
    <w:uiPriority w:val="99"/>
    <w:semiHidden/>
    <w:unhideWhenUsed/>
    <w:rsid w:val="00D5048B"/>
    <w:rPr>
      <w:color w:val="954F72" w:themeColor="followedHyperlink"/>
      <w:u w:val="single"/>
    </w:rPr>
  </w:style>
  <w:style w:type="character" w:customStyle="1" w:styleId="Mention">
    <w:name w:val="Mention"/>
    <w:basedOn w:val="DefaultParagraphFont"/>
    <w:uiPriority w:val="99"/>
    <w:unhideWhenUsed/>
    <w:rsid w:val="001F152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supplychain/coveredlist" TargetMode="External" /><Relationship Id="rId6" Type="http://schemas.openxmlformats.org/officeDocument/2006/relationships/hyperlink" Target="mailto:Zenji.Nakazawa@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justice.gov/nsd/committee-assessment-foreign-participation-united-states-telecommunications-services-sector" TargetMode="External" /><Relationship Id="rId2" Type="http://schemas.openxmlformats.org/officeDocument/2006/relationships/hyperlink" Target="https://www.federalregister.gov/documents/2017/09/19/2017-19838/national-protection-and-programs-directorate-notification-of-issuance-of-binding-operational"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