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8016F85" w14:textId="47C30AE2">
      <w:pPr>
        <w:jc w:val="right"/>
        <w:rPr>
          <w:b/>
          <w:sz w:val="24"/>
        </w:rPr>
      </w:pPr>
      <w:r>
        <w:rPr>
          <w:b/>
          <w:sz w:val="24"/>
        </w:rPr>
        <w:t>DA 22-308</w:t>
      </w:r>
    </w:p>
    <w:p w:rsidR="00013A8B" w:rsidRPr="00B20363" w:rsidP="00013A8B" w14:paraId="5A200427" w14:textId="3FAA5754">
      <w:pPr>
        <w:spacing w:before="60"/>
        <w:jc w:val="right"/>
        <w:rPr>
          <w:b/>
          <w:sz w:val="24"/>
        </w:rPr>
      </w:pPr>
      <w:r>
        <w:rPr>
          <w:b/>
          <w:sz w:val="24"/>
        </w:rPr>
        <w:t xml:space="preserve">Released:  </w:t>
      </w:r>
      <w:r w:rsidR="00B74F35">
        <w:rPr>
          <w:b/>
          <w:sz w:val="24"/>
        </w:rPr>
        <w:t>March 23, 2022</w:t>
      </w:r>
    </w:p>
    <w:p w:rsidR="00013A8B" w:rsidP="00013A8B" w14:paraId="194C26E9" w14:textId="77777777">
      <w:pPr>
        <w:jc w:val="right"/>
        <w:rPr>
          <w:sz w:val="24"/>
        </w:rPr>
      </w:pPr>
    </w:p>
    <w:p w:rsidR="003B3435" w:rsidRPr="003B3435" w:rsidP="003B3435" w14:paraId="76E9FD79" w14:textId="77777777">
      <w:pPr>
        <w:spacing w:after="240"/>
        <w:jc w:val="center"/>
        <w:rPr>
          <w:rFonts w:ascii="Times New Roman Bold" w:hAnsi="Times New Roman Bold"/>
          <w:b/>
          <w:bCs/>
          <w:i/>
          <w:iCs/>
          <w:caps/>
          <w:sz w:val="24"/>
        </w:rPr>
      </w:pPr>
      <w:r w:rsidRPr="003B3435">
        <w:rPr>
          <w:rFonts w:ascii="Times New Roman Bold" w:hAnsi="Times New Roman Bold"/>
          <w:b/>
          <w:bCs/>
          <w:caps/>
          <w:sz w:val="24"/>
        </w:rPr>
        <w:t>WIRELINE COMPETITION BUREAU SEEKS COMMENT ON PETITIONS FILED BY USTELECOM – THE BROADBAND ASSOCIATION AND VERIZON</w:t>
      </w:r>
    </w:p>
    <w:p w:rsidR="00B74F35" w:rsidRPr="00B74F35" w:rsidP="00B74F35" w14:paraId="337AEE2D" w14:textId="77777777">
      <w:pPr>
        <w:jc w:val="center"/>
        <w:rPr>
          <w:b/>
          <w:bCs/>
          <w:sz w:val="24"/>
        </w:rPr>
      </w:pPr>
      <w:r w:rsidRPr="00B74F35">
        <w:rPr>
          <w:b/>
          <w:bCs/>
          <w:sz w:val="24"/>
        </w:rPr>
        <w:t>WC Docket Nos. 21-450, 20-445</w:t>
      </w:r>
    </w:p>
    <w:p w:rsidR="00013A8B" w:rsidP="00013A8B" w14:paraId="65954C12" w14:textId="54B4B46F">
      <w:pPr>
        <w:jc w:val="center"/>
        <w:rPr>
          <w:b/>
          <w:sz w:val="24"/>
        </w:rPr>
      </w:pPr>
    </w:p>
    <w:p w:rsidR="00F96F63" w:rsidP="00F96F63" w14:paraId="2B943CC3" w14:textId="446F9CF7">
      <w:pPr>
        <w:rPr>
          <w:b/>
          <w:bCs/>
          <w:sz w:val="24"/>
        </w:rPr>
      </w:pPr>
      <w:bookmarkStart w:id="0" w:name="TOChere"/>
      <w:r w:rsidRPr="003B3435">
        <w:rPr>
          <w:b/>
          <w:bCs/>
          <w:sz w:val="24"/>
        </w:rPr>
        <w:t xml:space="preserve">Comment Date: </w:t>
      </w:r>
      <w:r>
        <w:rPr>
          <w:b/>
          <w:bCs/>
          <w:sz w:val="24"/>
        </w:rPr>
        <w:t xml:space="preserve"> March 31, 2022</w:t>
      </w:r>
    </w:p>
    <w:p w:rsidR="003B3435" w:rsidP="00F96F63" w14:paraId="706EDC1D" w14:textId="4347407E">
      <w:pPr>
        <w:rPr>
          <w:b/>
          <w:bCs/>
          <w:sz w:val="24"/>
        </w:rPr>
      </w:pPr>
    </w:p>
    <w:p w:rsidR="003B3435" w:rsidRPr="00C9551A" w:rsidP="003B3435" w14:paraId="09E96C66" w14:textId="7F9B53F4">
      <w:pPr>
        <w:spacing w:after="120"/>
        <w:ind w:firstLine="720"/>
        <w:rPr>
          <w:szCs w:val="22"/>
        </w:rPr>
      </w:pPr>
      <w:r>
        <w:rPr>
          <w:szCs w:val="22"/>
        </w:rPr>
        <w:t xml:space="preserve">The Wireline Competition Bureau seeks comment on petitions filed by </w:t>
      </w:r>
      <w:r>
        <w:rPr>
          <w:szCs w:val="22"/>
        </w:rPr>
        <w:t>USTelecom</w:t>
      </w:r>
      <w:r>
        <w:rPr>
          <w:szCs w:val="22"/>
        </w:rPr>
        <w:t xml:space="preserve"> – The Broadband Association (</w:t>
      </w:r>
      <w:r>
        <w:rPr>
          <w:szCs w:val="22"/>
        </w:rPr>
        <w:t>USTelecom</w:t>
      </w:r>
      <w:r>
        <w:rPr>
          <w:szCs w:val="22"/>
        </w:rPr>
        <w:t xml:space="preserve">) and Verizon.  </w:t>
      </w:r>
      <w:r>
        <w:rPr>
          <w:szCs w:val="22"/>
        </w:rPr>
        <w:t>USTelecom</w:t>
      </w:r>
      <w:r>
        <w:rPr>
          <w:szCs w:val="22"/>
        </w:rPr>
        <w:t xml:space="preserve"> seeks a temporary waiver of sections 54.1808(c) and 54.1809(c) of the Commission’s rules that would provide an additional 60 days from April 15, 2022 for service providers to comply with the Commission’s non-usage tracking rule that was adopted in the </w:t>
      </w:r>
      <w:r w:rsidRPr="009D5CE6">
        <w:rPr>
          <w:i/>
          <w:iCs/>
          <w:szCs w:val="22"/>
        </w:rPr>
        <w:t>Affordable Connectivity Program Order</w:t>
      </w:r>
      <w:r>
        <w:rPr>
          <w:szCs w:val="22"/>
        </w:rPr>
        <w:t>.</w:t>
      </w:r>
      <w:r>
        <w:rPr>
          <w:rStyle w:val="FootnoteReference"/>
          <w:szCs w:val="22"/>
        </w:rPr>
        <w:footnoteReference w:id="3"/>
      </w:r>
      <w:r>
        <w:rPr>
          <w:szCs w:val="22"/>
        </w:rPr>
        <w:t xml:space="preserve">  Verizon seeks a temporary waiver of section 54.1802(b) of the Commission’s rules that would provide an additional 60 days from April 15, 2022 for certain prepaid mobile broadband services priced below $30 and above $30 offered by Verizon’s TracFone subsidiary.</w:t>
      </w:r>
      <w:r>
        <w:rPr>
          <w:rStyle w:val="FootnoteReference"/>
          <w:szCs w:val="22"/>
        </w:rPr>
        <w:footnoteReference w:id="4"/>
      </w:r>
      <w:r>
        <w:rPr>
          <w:szCs w:val="22"/>
        </w:rPr>
        <w:t xml:space="preserve"> </w:t>
      </w:r>
    </w:p>
    <w:p w:rsidR="003B3435" w:rsidRPr="00C9551A" w:rsidP="003B3435" w14:paraId="5AF03588" w14:textId="77777777">
      <w:pPr>
        <w:widowControl/>
        <w:autoSpaceDE w:val="0"/>
        <w:autoSpaceDN w:val="0"/>
        <w:adjustRightInd w:val="0"/>
        <w:spacing w:after="120"/>
        <w:ind w:firstLine="360"/>
        <w:rPr>
          <w:snapToGrid/>
          <w:color w:val="010101"/>
          <w:kern w:val="0"/>
          <w:szCs w:val="22"/>
        </w:rPr>
      </w:pPr>
      <w:r w:rsidRPr="00C9551A">
        <w:rPr>
          <w:i/>
          <w:szCs w:val="22"/>
        </w:rPr>
        <w:t xml:space="preserve">Filing Requirements.  </w:t>
      </w:r>
      <w:r>
        <w:rPr>
          <w:iCs/>
          <w:szCs w:val="22"/>
        </w:rPr>
        <w:t>Interested parties may file comments on or before the date indicated on the first page of this document.</w:t>
      </w:r>
      <w:r>
        <w:rPr>
          <w:rStyle w:val="FootnoteReference"/>
          <w:iCs/>
          <w:szCs w:val="22"/>
        </w:rPr>
        <w:footnoteReference w:id="5"/>
      </w:r>
      <w:r>
        <w:rPr>
          <w:iCs/>
          <w:szCs w:val="22"/>
        </w:rPr>
        <w:t xml:space="preserve">  </w:t>
      </w:r>
      <w:r w:rsidRPr="00C9551A">
        <w:rPr>
          <w:iCs/>
          <w:szCs w:val="22"/>
        </w:rPr>
        <w:t>All filings must refer to</w:t>
      </w:r>
      <w:r w:rsidRPr="00C9551A">
        <w:rPr>
          <w:szCs w:val="22"/>
        </w:rPr>
        <w:t xml:space="preserve"> </w:t>
      </w:r>
      <w:r w:rsidRPr="00C9551A">
        <w:rPr>
          <w:b/>
          <w:bCs/>
          <w:iCs/>
          <w:szCs w:val="22"/>
        </w:rPr>
        <w:t>WC Docket No</w:t>
      </w:r>
      <w:r>
        <w:rPr>
          <w:b/>
          <w:bCs/>
          <w:iCs/>
          <w:szCs w:val="22"/>
        </w:rPr>
        <w:t>s</w:t>
      </w:r>
      <w:r w:rsidRPr="00C9551A">
        <w:rPr>
          <w:b/>
          <w:bCs/>
          <w:iCs/>
          <w:szCs w:val="22"/>
        </w:rPr>
        <w:t xml:space="preserve">. </w:t>
      </w:r>
      <w:r>
        <w:rPr>
          <w:b/>
          <w:bCs/>
          <w:iCs/>
          <w:szCs w:val="22"/>
        </w:rPr>
        <w:t>21-450 and 20-445</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6"/>
      </w:r>
      <w:r w:rsidRPr="00C9551A">
        <w:rPr>
          <w:szCs w:val="22"/>
        </w:rPr>
        <w:t xml:space="preserve">  </w:t>
      </w:r>
    </w:p>
    <w:p w:rsidR="003B3435" w:rsidRPr="00C9551A" w:rsidP="003B3435" w14:paraId="4C429040" w14:textId="77777777">
      <w:pPr>
        <w:pStyle w:val="ListParagraph"/>
        <w:numPr>
          <w:ilvl w:val="0"/>
          <w:numId w:val="7"/>
        </w:numPr>
        <w:spacing w:after="120"/>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3B3435" w:rsidRPr="00C9551A" w:rsidP="003B3435" w14:paraId="3D340E25"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r w:rsidRPr="0010390B">
        <w:rPr>
          <w:szCs w:val="22"/>
        </w:rPr>
        <w:t>If more than one docket or rulemaking number appears in the caption of this proceeding, filers must submit two additional copies for each additional docket or rulemaking number.</w:t>
      </w:r>
    </w:p>
    <w:p w:rsidR="003B3435" w:rsidRPr="00C9551A" w:rsidP="003B3435" w14:paraId="110F86F9"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3B3435" w:rsidRPr="00C9551A" w:rsidP="003B3435" w14:paraId="1BB9B6A8"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3B3435" w:rsidRPr="00C9551A" w:rsidP="003B3435" w14:paraId="3EA10759" w14:textId="77777777">
      <w:pPr>
        <w:pStyle w:val="ListParagraph"/>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7"/>
      </w:r>
      <w:r w:rsidRPr="00C9551A">
        <w:rPr>
          <w:szCs w:val="22"/>
        </w:rPr>
        <w:t xml:space="preserve">  </w:t>
      </w:r>
    </w:p>
    <w:p w:rsidR="003B3435" w:rsidRPr="00C9551A" w:rsidP="003B3435" w14:paraId="42A3C3A3"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3B3435" w:rsidRPr="00C9551A" w:rsidP="003B3435" w14:paraId="1F952A0B"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8"/>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9"/>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3B3435" w:rsidRPr="00C9551A" w:rsidP="003B3435" w14:paraId="387ABC11" w14:textId="11DABE73">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Eric Wu</w:t>
      </w:r>
      <w:r w:rsidRPr="00C9551A">
        <w:rPr>
          <w:snapToGrid/>
          <w:color w:val="010101"/>
          <w:kern w:val="0"/>
          <w:szCs w:val="22"/>
        </w:rPr>
        <w:t xml:space="preserve">, Telecommunications Access Policy Division, Wireline Competition Bureau at </w:t>
      </w:r>
      <w:hyperlink r:id="rId7" w:history="1">
        <w:r w:rsidRPr="008F6997">
          <w:rPr>
            <w:rStyle w:val="Hyperlink"/>
            <w:snapToGrid/>
            <w:kern w:val="0"/>
            <w:szCs w:val="22"/>
          </w:rPr>
          <w:t>Eric.Wu@fcc.gov</w:t>
        </w:r>
      </w:hyperlink>
      <w:r w:rsidRPr="00C9551A">
        <w:rPr>
          <w:snapToGrid/>
          <w:color w:val="010101"/>
          <w:kern w:val="0"/>
          <w:szCs w:val="22"/>
        </w:rPr>
        <w:t>.</w:t>
      </w:r>
      <w:r>
        <w:rPr>
          <w:snapToGrid/>
          <w:color w:val="010101"/>
          <w:kern w:val="0"/>
          <w:szCs w:val="22"/>
        </w:rPr>
        <w:t xml:space="preserve"> </w:t>
      </w:r>
    </w:p>
    <w:p w:rsidR="003B3435" w:rsidP="003B3435" w14:paraId="578DAA5F" w14:textId="306D877B">
      <w:pPr>
        <w:widowControl/>
        <w:autoSpaceDE w:val="0"/>
        <w:autoSpaceDN w:val="0"/>
        <w:adjustRightInd w:val="0"/>
        <w:rPr>
          <w:snapToGrid/>
          <w:color w:val="010101"/>
          <w:kern w:val="0"/>
          <w:szCs w:val="22"/>
        </w:rPr>
      </w:pPr>
    </w:p>
    <w:p w:rsidR="003B3435" w:rsidP="003B3435" w14:paraId="74F34116" w14:textId="3314ED2B">
      <w:pPr>
        <w:widowControl/>
        <w:autoSpaceDE w:val="0"/>
        <w:autoSpaceDN w:val="0"/>
        <w:adjustRightInd w:val="0"/>
        <w:rPr>
          <w:snapToGrid/>
          <w:color w:val="010101"/>
          <w:kern w:val="0"/>
          <w:szCs w:val="22"/>
        </w:rPr>
      </w:pPr>
    </w:p>
    <w:p w:rsidR="003B3435" w:rsidRPr="00C9551A" w:rsidP="003B3435" w14:paraId="44DB4DFB" w14:textId="77777777">
      <w:pPr>
        <w:widowControl/>
        <w:autoSpaceDE w:val="0"/>
        <w:autoSpaceDN w:val="0"/>
        <w:adjustRightInd w:val="0"/>
        <w:rPr>
          <w:snapToGrid/>
          <w:color w:val="010101"/>
          <w:kern w:val="0"/>
          <w:szCs w:val="22"/>
        </w:rPr>
      </w:pPr>
    </w:p>
    <w:p w:rsidR="003B3435" w:rsidRPr="003B3435" w:rsidP="003B3435" w14:paraId="1F81FC10" w14:textId="70CDE250">
      <w:pPr>
        <w:jc w:val="center"/>
        <w:rPr>
          <w:sz w:val="24"/>
        </w:rPr>
      </w:pPr>
      <w:r w:rsidRPr="00C9551A">
        <w:rPr>
          <w:b/>
          <w:bCs/>
          <w:snapToGrid/>
          <w:color w:val="010101"/>
          <w:kern w:val="0"/>
          <w:szCs w:val="22"/>
        </w:rPr>
        <w:t>- FCC -</w:t>
      </w:r>
    </w:p>
    <w:bookmarkEnd w:id="0"/>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1F008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08E9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3AF18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85648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4F35" w14:paraId="44A604B9" w14:textId="77777777">
      <w:r>
        <w:separator/>
      </w:r>
    </w:p>
  </w:footnote>
  <w:footnote w:type="continuationSeparator" w:id="1">
    <w:p w:rsidR="00B74F35" w14:paraId="7108133F" w14:textId="77777777">
      <w:pPr>
        <w:rPr>
          <w:sz w:val="20"/>
        </w:rPr>
      </w:pPr>
      <w:r>
        <w:rPr>
          <w:sz w:val="20"/>
        </w:rPr>
        <w:t xml:space="preserve">(Continued from previous page)  </w:t>
      </w:r>
      <w:r>
        <w:rPr>
          <w:sz w:val="20"/>
        </w:rPr>
        <w:separator/>
      </w:r>
    </w:p>
  </w:footnote>
  <w:footnote w:type="continuationNotice" w:id="2">
    <w:p w:rsidR="00B74F35" w:rsidP="00910F12" w14:paraId="2655FEF8" w14:textId="77777777">
      <w:pPr>
        <w:jc w:val="right"/>
        <w:rPr>
          <w:sz w:val="20"/>
        </w:rPr>
      </w:pPr>
      <w:r>
        <w:rPr>
          <w:sz w:val="20"/>
        </w:rPr>
        <w:t>(continued….)</w:t>
      </w:r>
    </w:p>
  </w:footnote>
  <w:footnote w:id="3">
    <w:p w:rsidR="003B3435" w:rsidP="003B3435" w14:paraId="2570152B" w14:textId="77777777">
      <w:pPr>
        <w:pStyle w:val="FootnoteText"/>
      </w:pPr>
      <w:r>
        <w:rPr>
          <w:rStyle w:val="FootnoteReference"/>
        </w:rPr>
        <w:footnoteRef/>
      </w:r>
      <w:r>
        <w:t xml:space="preserve"> </w:t>
      </w:r>
      <w:r>
        <w:t>USTelecom</w:t>
      </w:r>
      <w:r>
        <w:t xml:space="preserve"> – The Broadband Association Request for Waiver, WC Docket Nos. 21-450, 20-445, at 1 (filed Mar. 21, 2022).</w:t>
      </w:r>
    </w:p>
  </w:footnote>
  <w:footnote w:id="4">
    <w:p w:rsidR="003B3435" w:rsidP="003B3435" w14:paraId="57E8E112" w14:textId="77777777">
      <w:pPr>
        <w:pStyle w:val="FootnoteText"/>
      </w:pPr>
      <w:r>
        <w:rPr>
          <w:rStyle w:val="FootnoteReference"/>
        </w:rPr>
        <w:footnoteRef/>
      </w:r>
      <w:r>
        <w:t xml:space="preserve"> Verizon Petition for Limited Waiver, WC Docket No 21-450, at 2-3 (filed Mar. 21, 2022).</w:t>
      </w:r>
    </w:p>
  </w:footnote>
  <w:footnote w:id="5">
    <w:p w:rsidR="003B3435" w:rsidP="003B3435" w14:paraId="1C0F5033" w14:textId="77777777">
      <w:pPr>
        <w:pStyle w:val="FootnoteText"/>
      </w:pPr>
      <w:r>
        <w:rPr>
          <w:rStyle w:val="FootnoteReference"/>
        </w:rPr>
        <w:footnoteRef/>
      </w:r>
      <w:r>
        <w:t xml:space="preserve"> </w:t>
      </w:r>
      <w:r>
        <w:rPr>
          <w:i/>
          <w:iCs/>
        </w:rPr>
        <w:t xml:space="preserve">See </w:t>
      </w:r>
      <w:r w:rsidRPr="0087057A">
        <w:t>47 CFR §§ 1.2, 1.405, and 1.419.</w:t>
      </w:r>
    </w:p>
  </w:footnote>
  <w:footnote w:id="6">
    <w:p w:rsidR="003B3435" w:rsidRPr="001212ED" w:rsidP="003B3435" w14:paraId="12847425"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7">
    <w:p w:rsidR="003B3435" w:rsidRPr="0038566F" w:rsidP="003B3435" w14:paraId="7E686B15"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u w:val="none"/>
        </w:rPr>
        <w:t>.</w:t>
      </w:r>
    </w:p>
  </w:footnote>
  <w:footnote w:id="8">
    <w:p w:rsidR="003B3435" w:rsidRPr="00526349" w:rsidP="003B3435" w14:paraId="06E0F4F3"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9">
    <w:p w:rsidR="003B3435" w:rsidRPr="0014668A" w:rsidP="003B3435" w14:paraId="7F21CC8A"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935D358" w14:textId="7453A221">
    <w:pPr>
      <w:tabs>
        <w:tab w:val="center" w:pos="4680"/>
        <w:tab w:val="right" w:pos="9360"/>
      </w:tabs>
    </w:pPr>
    <w:r w:rsidRPr="009838BC">
      <w:rPr>
        <w:b/>
      </w:rPr>
      <w:tab/>
      <w:t>Federal Communications Commission</w:t>
    </w:r>
    <w:r w:rsidRPr="009838BC">
      <w:rPr>
        <w:b/>
      </w:rPr>
      <w:tab/>
    </w:r>
    <w:r w:rsidR="003B3435">
      <w:rPr>
        <w:b/>
      </w:rPr>
      <w:t>DA  22-308</w:t>
    </w:r>
  </w:p>
  <w:p w:rsidR="009838BC" w:rsidRPr="009838BC" w:rsidP="009838BC" w14:paraId="60F99F7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65435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D1A1BD5" w14:textId="77777777">
                <w:pPr>
                  <w:rPr>
                    <w:rFonts w:ascii="Arial" w:hAnsi="Arial"/>
                    <w:b/>
                    <w:snapToGrid/>
                  </w:rPr>
                </w:pPr>
                <w:r>
                  <w:rPr>
                    <w:rFonts w:ascii="Arial" w:hAnsi="Arial"/>
                    <w:b/>
                  </w:rPr>
                  <w:t>Federal Communications Commission</w:t>
                </w:r>
              </w:p>
              <w:p w:rsidR="00DE0AB8" w:rsidP="00DE0AB8" w14:paraId="3DAA80BD" w14:textId="77777777">
                <w:pPr>
                  <w:rPr>
                    <w:rFonts w:ascii="Arial" w:hAnsi="Arial"/>
                    <w:b/>
                  </w:rPr>
                </w:pPr>
                <w:r>
                  <w:rPr>
                    <w:rFonts w:ascii="Arial" w:hAnsi="Arial"/>
                    <w:b/>
                  </w:rPr>
                  <w:t>45 L Street NE</w:t>
                </w:r>
              </w:p>
              <w:p w:rsidR="009838BC" w:rsidP="00DE0AB8" w14:paraId="51199BA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8D40FE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EF46BFA" w14:textId="77777777">
                <w:pPr>
                  <w:spacing w:before="40"/>
                  <w:jc w:val="right"/>
                  <w:rPr>
                    <w:rFonts w:ascii="Arial" w:hAnsi="Arial"/>
                    <w:b/>
                    <w:sz w:val="16"/>
                  </w:rPr>
                </w:pPr>
                <w:r>
                  <w:rPr>
                    <w:rFonts w:ascii="Arial" w:hAnsi="Arial"/>
                    <w:b/>
                    <w:sz w:val="16"/>
                  </w:rPr>
                  <w:t>News Media Information 202 / 418-0500</w:t>
                </w:r>
              </w:p>
              <w:p w:rsidR="009838BC" w:rsidP="009838BC" w14:paraId="41DF1C7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754592D" w14:textId="77777777">
                <w:pPr>
                  <w:jc w:val="right"/>
                </w:pPr>
                <w:r>
                  <w:rPr>
                    <w:rFonts w:ascii="Arial" w:hAnsi="Arial"/>
                    <w:b/>
                    <w:sz w:val="16"/>
                  </w:rPr>
                  <w:t>TTY: 1-888-835-5322</w:t>
                </w:r>
              </w:p>
            </w:txbxContent>
          </v:textbox>
        </v:shape>
      </w:pict>
    </w:r>
  </w:p>
  <w:p w:rsidR="006F7393" w:rsidRPr="009838BC" w:rsidP="009838BC" w14:paraId="3A73FC5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35"/>
    <w:rsid w:val="000072CE"/>
    <w:rsid w:val="00013A8B"/>
    <w:rsid w:val="00021445"/>
    <w:rsid w:val="00036039"/>
    <w:rsid w:val="00037F90"/>
    <w:rsid w:val="000875BF"/>
    <w:rsid w:val="00096D8C"/>
    <w:rsid w:val="000C0B65"/>
    <w:rsid w:val="000E3D42"/>
    <w:rsid w:val="000E5884"/>
    <w:rsid w:val="0010390B"/>
    <w:rsid w:val="001212ED"/>
    <w:rsid w:val="00122BD5"/>
    <w:rsid w:val="0014668A"/>
    <w:rsid w:val="001979D9"/>
    <w:rsid w:val="001D6BCF"/>
    <w:rsid w:val="001E01CA"/>
    <w:rsid w:val="002060D9"/>
    <w:rsid w:val="00226822"/>
    <w:rsid w:val="00260594"/>
    <w:rsid w:val="00285017"/>
    <w:rsid w:val="002A2D2E"/>
    <w:rsid w:val="00343749"/>
    <w:rsid w:val="00357D50"/>
    <w:rsid w:val="0038566F"/>
    <w:rsid w:val="003925DC"/>
    <w:rsid w:val="003B0550"/>
    <w:rsid w:val="003B3435"/>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6349"/>
    <w:rsid w:val="0055614C"/>
    <w:rsid w:val="00607BA5"/>
    <w:rsid w:val="00626EB6"/>
    <w:rsid w:val="00631564"/>
    <w:rsid w:val="006353A3"/>
    <w:rsid w:val="00655D03"/>
    <w:rsid w:val="00683F84"/>
    <w:rsid w:val="006A6A81"/>
    <w:rsid w:val="006E26AF"/>
    <w:rsid w:val="006F7393"/>
    <w:rsid w:val="0070224F"/>
    <w:rsid w:val="007115F7"/>
    <w:rsid w:val="00785689"/>
    <w:rsid w:val="0079754B"/>
    <w:rsid w:val="007A1E6D"/>
    <w:rsid w:val="007F7B6A"/>
    <w:rsid w:val="00822CE0"/>
    <w:rsid w:val="00837C62"/>
    <w:rsid w:val="00841AB1"/>
    <w:rsid w:val="0087057A"/>
    <w:rsid w:val="008C22FD"/>
    <w:rsid w:val="008F6997"/>
    <w:rsid w:val="00910F12"/>
    <w:rsid w:val="00926503"/>
    <w:rsid w:val="00930ECF"/>
    <w:rsid w:val="009838BC"/>
    <w:rsid w:val="009D5CE6"/>
    <w:rsid w:val="00A45F4F"/>
    <w:rsid w:val="00A600A9"/>
    <w:rsid w:val="00A866AC"/>
    <w:rsid w:val="00AA55B7"/>
    <w:rsid w:val="00AA5B9E"/>
    <w:rsid w:val="00AB2407"/>
    <w:rsid w:val="00AB53DF"/>
    <w:rsid w:val="00B07E5C"/>
    <w:rsid w:val="00B20363"/>
    <w:rsid w:val="00B326E3"/>
    <w:rsid w:val="00B74F35"/>
    <w:rsid w:val="00B811F7"/>
    <w:rsid w:val="00BA5DC6"/>
    <w:rsid w:val="00BA6196"/>
    <w:rsid w:val="00BC6D8C"/>
    <w:rsid w:val="00C16AF2"/>
    <w:rsid w:val="00C34006"/>
    <w:rsid w:val="00C426B1"/>
    <w:rsid w:val="00C82B6B"/>
    <w:rsid w:val="00C90D6A"/>
    <w:rsid w:val="00C9551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96486A"/>
  <w15:chartTrackingRefBased/>
  <w15:docId w15:val="{44F1E040-8001-47C4-8C0C-EC753AE9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3B3435"/>
  </w:style>
  <w:style w:type="paragraph" w:styleId="ListParagraph">
    <w:name w:val="List Paragraph"/>
    <w:basedOn w:val="Normal"/>
    <w:uiPriority w:val="34"/>
    <w:qFormat/>
    <w:rsid w:val="003B3435"/>
    <w:pPr>
      <w:ind w:left="720"/>
    </w:pPr>
  </w:style>
  <w:style w:type="character" w:customStyle="1" w:styleId="UnresolvedMention">
    <w:name w:val="Unresolved Mention"/>
    <w:basedOn w:val="DefaultParagraphFont"/>
    <w:uiPriority w:val="99"/>
    <w:semiHidden/>
    <w:unhideWhenUsed/>
    <w:rsid w:val="003B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Eric.Wu@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