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1D6D6391"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8917A6F" w14:textId="77777777">
      <w:pPr>
        <w:pStyle w:val="StyleBoldCentered"/>
      </w:pPr>
      <w:r>
        <w:t>F</w:t>
      </w:r>
      <w:r>
        <w:rPr>
          <w:caps w:val="0"/>
        </w:rPr>
        <w:t>ederal Communications Commission</w:t>
      </w:r>
    </w:p>
    <w:p w:rsidR="004C2EE3" w:rsidP="00096D8C" w14:paraId="5012B61C" w14:textId="77777777">
      <w:pPr>
        <w:pStyle w:val="StyleBoldCentered"/>
      </w:pPr>
      <w:r>
        <w:rPr>
          <w:caps w:val="0"/>
        </w:rPr>
        <w:t>Washington, D.C. 20554</w:t>
      </w:r>
    </w:p>
    <w:p w:rsidR="004C2EE3" w:rsidP="0070224F" w14:paraId="78E13C71" w14:textId="77777777"/>
    <w:p w:rsidR="004C2EE3" w:rsidP="0070224F" w14:paraId="73D8A6F2" w14:textId="77777777"/>
    <w:tbl>
      <w:tblPr>
        <w:tblW w:w="0" w:type="auto"/>
        <w:tblLayout w:type="fixed"/>
        <w:tblLook w:val="0000"/>
      </w:tblPr>
      <w:tblGrid>
        <w:gridCol w:w="4698"/>
        <w:gridCol w:w="630"/>
        <w:gridCol w:w="4248"/>
      </w:tblGrid>
      <w:tr w14:paraId="2250775F" w14:textId="77777777">
        <w:tblPrEx>
          <w:tblW w:w="0" w:type="auto"/>
          <w:tblLayout w:type="fixed"/>
          <w:tblLook w:val="0000"/>
        </w:tblPrEx>
        <w:tc>
          <w:tcPr>
            <w:tcW w:w="4698" w:type="dxa"/>
          </w:tcPr>
          <w:p w:rsidR="004C2EE3" w14:paraId="59898155" w14:textId="77777777">
            <w:pPr>
              <w:tabs>
                <w:tab w:val="center" w:pos="4680"/>
              </w:tabs>
              <w:suppressAutoHyphens/>
              <w:rPr>
                <w:spacing w:val="-2"/>
              </w:rPr>
            </w:pPr>
            <w:r>
              <w:rPr>
                <w:spacing w:val="-2"/>
              </w:rPr>
              <w:t>In the Matter of</w:t>
            </w:r>
          </w:p>
          <w:p w:rsidR="004C2EE3" w14:paraId="0B33779E" w14:textId="77777777">
            <w:pPr>
              <w:tabs>
                <w:tab w:val="center" w:pos="4680"/>
              </w:tabs>
              <w:suppressAutoHyphens/>
              <w:rPr>
                <w:spacing w:val="-2"/>
              </w:rPr>
            </w:pPr>
          </w:p>
          <w:p w:rsidR="004C2EE3" w:rsidP="007115F7" w14:paraId="2C97687E" w14:textId="77777777">
            <w:pPr>
              <w:tabs>
                <w:tab w:val="center" w:pos="4680"/>
              </w:tabs>
              <w:suppressAutoHyphens/>
              <w:rPr>
                <w:spacing w:val="-2"/>
              </w:rPr>
            </w:pPr>
            <w:r>
              <w:rPr>
                <w:spacing w:val="-2"/>
              </w:rPr>
              <w:t xml:space="preserve">Request for Waiver </w:t>
            </w:r>
            <w:r w:rsidR="00650557">
              <w:rPr>
                <w:spacing w:val="-2"/>
              </w:rPr>
              <w:t xml:space="preserve">by </w:t>
            </w:r>
            <w:r w:rsidR="003E0BF0">
              <w:rPr>
                <w:spacing w:val="-2"/>
              </w:rPr>
              <w:t xml:space="preserve">Alaska Federation of </w:t>
            </w:r>
            <w:r w:rsidR="000A0C0A">
              <w:rPr>
                <w:spacing w:val="-2"/>
              </w:rPr>
              <w:t>Natives</w:t>
            </w:r>
          </w:p>
          <w:p w:rsidR="00C95147" w:rsidP="007115F7" w14:paraId="0C5B43A0" w14:textId="77777777">
            <w:pPr>
              <w:tabs>
                <w:tab w:val="center" w:pos="4680"/>
              </w:tabs>
              <w:suppressAutoHyphens/>
              <w:rPr>
                <w:spacing w:val="-2"/>
              </w:rPr>
            </w:pPr>
          </w:p>
          <w:p w:rsidR="00C95147" w:rsidRPr="007115F7" w:rsidP="007115F7" w14:paraId="5080A4CA" w14:textId="563C7517">
            <w:pPr>
              <w:tabs>
                <w:tab w:val="center" w:pos="4680"/>
              </w:tabs>
              <w:suppressAutoHyphens/>
              <w:rPr>
                <w:spacing w:val="-2"/>
              </w:rPr>
            </w:pPr>
            <w:r>
              <w:rPr>
                <w:spacing w:val="-2"/>
              </w:rPr>
              <w:t>Schools and Libraries Universal Service Support Mechanism</w:t>
            </w:r>
          </w:p>
        </w:tc>
        <w:tc>
          <w:tcPr>
            <w:tcW w:w="630" w:type="dxa"/>
          </w:tcPr>
          <w:p w:rsidR="004C2EE3" w14:paraId="723EC2A8" w14:textId="77777777">
            <w:pPr>
              <w:tabs>
                <w:tab w:val="center" w:pos="4680"/>
              </w:tabs>
              <w:suppressAutoHyphens/>
              <w:rPr>
                <w:b/>
                <w:spacing w:val="-2"/>
              </w:rPr>
            </w:pPr>
            <w:r>
              <w:rPr>
                <w:b/>
                <w:spacing w:val="-2"/>
              </w:rPr>
              <w:t>)</w:t>
            </w:r>
          </w:p>
          <w:p w:rsidR="004C2EE3" w14:paraId="6CBE88BC" w14:textId="77777777">
            <w:pPr>
              <w:tabs>
                <w:tab w:val="center" w:pos="4680"/>
              </w:tabs>
              <w:suppressAutoHyphens/>
              <w:rPr>
                <w:b/>
                <w:spacing w:val="-2"/>
              </w:rPr>
            </w:pPr>
            <w:r>
              <w:rPr>
                <w:b/>
                <w:spacing w:val="-2"/>
              </w:rPr>
              <w:t>)</w:t>
            </w:r>
          </w:p>
          <w:p w:rsidR="004C2EE3" w14:paraId="64908F1A" w14:textId="77777777">
            <w:pPr>
              <w:tabs>
                <w:tab w:val="center" w:pos="4680"/>
              </w:tabs>
              <w:suppressAutoHyphens/>
              <w:rPr>
                <w:b/>
                <w:spacing w:val="-2"/>
              </w:rPr>
            </w:pPr>
            <w:r>
              <w:rPr>
                <w:b/>
                <w:spacing w:val="-2"/>
              </w:rPr>
              <w:t>)</w:t>
            </w:r>
          </w:p>
          <w:p w:rsidR="004C2EE3" w14:paraId="18CECD90" w14:textId="77777777">
            <w:pPr>
              <w:tabs>
                <w:tab w:val="center" w:pos="4680"/>
              </w:tabs>
              <w:suppressAutoHyphens/>
              <w:rPr>
                <w:b/>
                <w:spacing w:val="-2"/>
              </w:rPr>
            </w:pPr>
            <w:r>
              <w:rPr>
                <w:b/>
                <w:spacing w:val="-2"/>
              </w:rPr>
              <w:t>)</w:t>
            </w:r>
          </w:p>
          <w:p w:rsidR="004C2EE3" w14:paraId="50B0BD1E" w14:textId="77777777">
            <w:pPr>
              <w:tabs>
                <w:tab w:val="center" w:pos="4680"/>
              </w:tabs>
              <w:suppressAutoHyphens/>
              <w:rPr>
                <w:b/>
                <w:spacing w:val="-2"/>
              </w:rPr>
            </w:pPr>
            <w:r>
              <w:rPr>
                <w:b/>
                <w:spacing w:val="-2"/>
              </w:rPr>
              <w:t>)</w:t>
            </w:r>
          </w:p>
          <w:p w:rsidR="004C2EE3" w14:paraId="2753FD65" w14:textId="77777777">
            <w:pPr>
              <w:tabs>
                <w:tab w:val="center" w:pos="4680"/>
              </w:tabs>
              <w:suppressAutoHyphens/>
              <w:rPr>
                <w:b/>
                <w:spacing w:val="-2"/>
              </w:rPr>
            </w:pPr>
            <w:r>
              <w:rPr>
                <w:b/>
                <w:spacing w:val="-2"/>
              </w:rPr>
              <w:t>)</w:t>
            </w:r>
          </w:p>
          <w:p w:rsidR="004C2EE3" w14:paraId="5C2CC8D5" w14:textId="77777777">
            <w:pPr>
              <w:tabs>
                <w:tab w:val="center" w:pos="4680"/>
              </w:tabs>
              <w:suppressAutoHyphens/>
              <w:rPr>
                <w:b/>
                <w:spacing w:val="-2"/>
              </w:rPr>
            </w:pPr>
            <w:r>
              <w:rPr>
                <w:b/>
                <w:spacing w:val="-2"/>
              </w:rPr>
              <w:t>)</w:t>
            </w:r>
          </w:p>
          <w:p w:rsidR="004C2EE3" w14:paraId="3D21759C" w14:textId="77777777">
            <w:pPr>
              <w:tabs>
                <w:tab w:val="center" w:pos="4680"/>
              </w:tabs>
              <w:suppressAutoHyphens/>
              <w:rPr>
                <w:b/>
                <w:spacing w:val="-2"/>
              </w:rPr>
            </w:pPr>
            <w:r>
              <w:rPr>
                <w:b/>
                <w:spacing w:val="-2"/>
              </w:rPr>
              <w:t>)</w:t>
            </w:r>
          </w:p>
          <w:p w:rsidR="004C2EE3" w14:paraId="47A9C088" w14:textId="77777777">
            <w:pPr>
              <w:tabs>
                <w:tab w:val="center" w:pos="4680"/>
              </w:tabs>
              <w:suppressAutoHyphens/>
              <w:rPr>
                <w:spacing w:val="-2"/>
              </w:rPr>
            </w:pPr>
            <w:r>
              <w:rPr>
                <w:b/>
                <w:spacing w:val="-2"/>
              </w:rPr>
              <w:t>)</w:t>
            </w:r>
          </w:p>
        </w:tc>
        <w:tc>
          <w:tcPr>
            <w:tcW w:w="4248" w:type="dxa"/>
          </w:tcPr>
          <w:p w:rsidR="004C2EE3" w14:paraId="564BF999" w14:textId="77777777">
            <w:pPr>
              <w:tabs>
                <w:tab w:val="center" w:pos="4680"/>
              </w:tabs>
              <w:suppressAutoHyphens/>
              <w:rPr>
                <w:spacing w:val="-2"/>
              </w:rPr>
            </w:pPr>
          </w:p>
          <w:p w:rsidR="004C2EE3" w14:paraId="3BB33468" w14:textId="77777777">
            <w:pPr>
              <w:pStyle w:val="TOAHeading"/>
              <w:tabs>
                <w:tab w:val="center" w:pos="4680"/>
                <w:tab w:val="clear" w:pos="9360"/>
              </w:tabs>
              <w:rPr>
                <w:spacing w:val="-2"/>
              </w:rPr>
            </w:pPr>
          </w:p>
          <w:p w:rsidR="008479D7" w14:paraId="3C1D62A4" w14:textId="77777777">
            <w:pPr>
              <w:tabs>
                <w:tab w:val="center" w:pos="4680"/>
              </w:tabs>
              <w:suppressAutoHyphens/>
              <w:rPr>
                <w:spacing w:val="-2"/>
              </w:rPr>
            </w:pPr>
          </w:p>
          <w:p w:rsidR="008479D7" w14:paraId="06979955" w14:textId="77777777">
            <w:pPr>
              <w:tabs>
                <w:tab w:val="center" w:pos="4680"/>
              </w:tabs>
              <w:suppressAutoHyphens/>
              <w:rPr>
                <w:spacing w:val="-2"/>
              </w:rPr>
            </w:pPr>
          </w:p>
          <w:p w:rsidR="008479D7" w14:paraId="7C6409AA" w14:textId="77777777">
            <w:pPr>
              <w:tabs>
                <w:tab w:val="center" w:pos="4680"/>
              </w:tabs>
              <w:suppressAutoHyphens/>
              <w:rPr>
                <w:spacing w:val="-2"/>
              </w:rPr>
            </w:pPr>
          </w:p>
          <w:p w:rsidR="004C2EE3" w14:paraId="64EE3ABE" w14:textId="00E2159E">
            <w:pPr>
              <w:tabs>
                <w:tab w:val="center" w:pos="4680"/>
              </w:tabs>
              <w:suppressAutoHyphens/>
              <w:rPr>
                <w:spacing w:val="-2"/>
              </w:rPr>
            </w:pPr>
            <w:r>
              <w:rPr>
                <w:spacing w:val="-2"/>
              </w:rPr>
              <w:t>CC Docket No. 02-6</w:t>
            </w:r>
          </w:p>
        </w:tc>
      </w:tr>
    </w:tbl>
    <w:p w:rsidR="004C2EE3" w:rsidP="0070224F" w14:paraId="04004404" w14:textId="77777777"/>
    <w:p w:rsidR="00841AB1" w:rsidP="00F021FA" w14:paraId="193E1264" w14:textId="524F9549">
      <w:pPr>
        <w:pStyle w:val="StyleBoldCentered"/>
      </w:pPr>
      <w:r>
        <w:t>ORDER</w:t>
      </w:r>
    </w:p>
    <w:p w:rsidR="004C2EE3" w14:paraId="7D543DFF" w14:textId="77777777">
      <w:pPr>
        <w:tabs>
          <w:tab w:val="left" w:pos="-720"/>
        </w:tabs>
        <w:suppressAutoHyphens/>
        <w:spacing w:line="227" w:lineRule="auto"/>
        <w:rPr>
          <w:spacing w:val="-2"/>
        </w:rPr>
      </w:pPr>
    </w:p>
    <w:p w:rsidR="004C2EE3" w:rsidP="00133F79" w14:paraId="23DB5E45" w14:textId="4F885465">
      <w:pPr>
        <w:tabs>
          <w:tab w:val="left" w:pos="720"/>
          <w:tab w:val="right" w:pos="9360"/>
        </w:tabs>
        <w:suppressAutoHyphens/>
        <w:spacing w:line="227" w:lineRule="auto"/>
        <w:rPr>
          <w:spacing w:val="-2"/>
        </w:rPr>
      </w:pPr>
      <w:r>
        <w:rPr>
          <w:b/>
          <w:spacing w:val="-2"/>
        </w:rPr>
        <w:t xml:space="preserve">Adopted:  </w:t>
      </w:r>
      <w:r w:rsidR="00616AE2">
        <w:rPr>
          <w:b/>
          <w:spacing w:val="-2"/>
        </w:rPr>
        <w:t>March 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16AE2">
        <w:rPr>
          <w:b/>
          <w:spacing w:val="-2"/>
        </w:rPr>
        <w:t>March 4, 2022</w:t>
      </w:r>
    </w:p>
    <w:p w:rsidR="00822CE0" w14:paraId="31BC2FA5" w14:textId="77777777"/>
    <w:p w:rsidR="004C2EE3" w14:paraId="1B7C97B9" w14:textId="11CF5A4D">
      <w:pPr>
        <w:rPr>
          <w:spacing w:val="-2"/>
        </w:rPr>
      </w:pPr>
      <w:r>
        <w:t xml:space="preserve">By </w:t>
      </w:r>
      <w:r w:rsidR="004E4A22">
        <w:t>the</w:t>
      </w:r>
      <w:r w:rsidR="002A2D2E">
        <w:t xml:space="preserve"> </w:t>
      </w:r>
      <w:r w:rsidR="009B4987">
        <w:t xml:space="preserve">Chief, </w:t>
      </w:r>
      <w:r w:rsidR="00490B76">
        <w:rPr>
          <w:spacing w:val="-2"/>
        </w:rPr>
        <w:t>Wireline Competition Bureau</w:t>
      </w:r>
      <w:r w:rsidR="009B4987">
        <w:rPr>
          <w:spacing w:val="-2"/>
        </w:rPr>
        <w:t>:</w:t>
      </w:r>
    </w:p>
    <w:p w:rsidR="00822CE0" w14:paraId="15D55253" w14:textId="77777777">
      <w:pPr>
        <w:rPr>
          <w:spacing w:val="-2"/>
        </w:rPr>
      </w:pPr>
    </w:p>
    <w:p w:rsidR="00412FC5" w:rsidP="00C36B4C" w14:paraId="33C403E2" w14:textId="2BCCD9A1">
      <w:pPr>
        <w:pStyle w:val="Heading1"/>
      </w:pPr>
      <w:r>
        <w:t>Introduction</w:t>
      </w:r>
    </w:p>
    <w:p w:rsidR="00FB3F26" w:rsidP="00A766BF" w14:paraId="6CC5C1B0" w14:textId="7F14AFF1">
      <w:pPr>
        <w:pStyle w:val="ParaNum"/>
      </w:pPr>
      <w:bookmarkStart w:id="0" w:name="_Hlk94260983"/>
      <w:r>
        <w:t xml:space="preserve">The </w:t>
      </w:r>
      <w:r w:rsidRPr="00DB7A25">
        <w:t xml:space="preserve">E-Rate </w:t>
      </w:r>
      <w:r>
        <w:t>p</w:t>
      </w:r>
      <w:r w:rsidRPr="00DB7A25">
        <w:t>rogram</w:t>
      </w:r>
      <w:r>
        <w:rPr>
          <w:rStyle w:val="FootnoteReference"/>
        </w:rPr>
        <w:footnoteReference w:id="3"/>
      </w:r>
      <w:r w:rsidRPr="00DB7A25">
        <w:t xml:space="preserve"> provides support to schools and libraries</w:t>
      </w:r>
      <w:r>
        <w:t xml:space="preserve"> across the nation</w:t>
      </w:r>
      <w:r w:rsidRPr="00DB7A25">
        <w:t xml:space="preserve"> </w:t>
      </w:r>
      <w:r>
        <w:t xml:space="preserve">to </w:t>
      </w:r>
      <w:r w:rsidRPr="00DB7A25">
        <w:t>obtain affordable, high-speed broadband services and internal connections to connect today’s students and library patrons with next-generation learning opportunities and services</w:t>
      </w:r>
      <w:r>
        <w:t>.</w:t>
      </w:r>
      <w:r>
        <w:rPr>
          <w:rStyle w:val="FootnoteReference"/>
        </w:rPr>
        <w:footnoteReference w:id="4"/>
      </w:r>
      <w:r>
        <w:t xml:space="preserve">  E-Rate support helps libraries afford these services and provide free, public Internet access to their communities, but until recently, there </w:t>
      </w:r>
      <w:r w:rsidR="00DD2D9F">
        <w:t>was a barrier in the program rules</w:t>
      </w:r>
      <w:r>
        <w:t xml:space="preserve"> </w:t>
      </w:r>
      <w:r w:rsidR="00D976C5">
        <w:t xml:space="preserve">preventing </w:t>
      </w:r>
      <w:r w:rsidR="00A96027">
        <w:t xml:space="preserve">some </w:t>
      </w:r>
      <w:r>
        <w:t xml:space="preserve">Tribal libraries </w:t>
      </w:r>
      <w:r w:rsidR="0042194A">
        <w:t xml:space="preserve">from </w:t>
      </w:r>
      <w:r>
        <w:t>participat</w:t>
      </w:r>
      <w:r w:rsidR="0042194A">
        <w:t>ing</w:t>
      </w:r>
      <w:r>
        <w:t xml:space="preserve"> in the program.  </w:t>
      </w:r>
      <w:r w:rsidR="00A766BF">
        <w:t>On January 28, 2022</w:t>
      </w:r>
      <w:r>
        <w:t>, the Commission took steps to resolve this issue and amend</w:t>
      </w:r>
      <w:r w:rsidR="0006618F">
        <w:t>ed</w:t>
      </w:r>
      <w:r>
        <w:t xml:space="preserve"> its rules to clarify that Tribal libraries are eligible for the E-Rate program.</w:t>
      </w:r>
      <w:r>
        <w:rPr>
          <w:rStyle w:val="FootnoteReference"/>
        </w:rPr>
        <w:footnoteReference w:id="5"/>
      </w:r>
      <w:r>
        <w:t xml:space="preserve">  </w:t>
      </w:r>
      <w:r w:rsidR="00A766BF">
        <w:t>Consistent with that action, we now find it to be in the public interest to</w:t>
      </w:r>
      <w:r>
        <w:t xml:space="preserve"> </w:t>
      </w:r>
      <w:r w:rsidR="00A766BF">
        <w:t xml:space="preserve">grant a waiver of the funding year 2022 application filing deadline </w:t>
      </w:r>
      <w:bookmarkEnd w:id="0"/>
      <w:r w:rsidR="00593208">
        <w:t xml:space="preserve">and direct </w:t>
      </w:r>
      <w:r w:rsidR="00A766BF">
        <w:t>the Universal Service Administrative Company (USAC)</w:t>
      </w:r>
      <w:r w:rsidR="00593208">
        <w:t xml:space="preserve"> to treat </w:t>
      </w:r>
      <w:r w:rsidR="009224BF">
        <w:t xml:space="preserve">as timely filed </w:t>
      </w:r>
      <w:r w:rsidR="00593208">
        <w:t xml:space="preserve">all </w:t>
      </w:r>
      <w:r w:rsidR="00A766BF">
        <w:t xml:space="preserve">applications with a </w:t>
      </w:r>
      <w:r w:rsidR="00593208">
        <w:t>new Tribal library entit</w:t>
      </w:r>
      <w:r w:rsidR="00A766BF">
        <w:t>y as a recipient of service that are</w:t>
      </w:r>
      <w:r w:rsidR="00593208">
        <w:t xml:space="preserve"> file</w:t>
      </w:r>
      <w:r w:rsidR="00A766BF">
        <w:t>d</w:t>
      </w:r>
      <w:r w:rsidR="00593208">
        <w:t xml:space="preserve"> within 65 days of the application filing window </w:t>
      </w:r>
      <w:r w:rsidR="00867B12">
        <w:t>deadline</w:t>
      </w:r>
      <w:r w:rsidR="001326FF">
        <w:t>.</w:t>
      </w:r>
    </w:p>
    <w:p w:rsidR="001326FF" w:rsidP="001326FF" w14:paraId="138AE643" w14:textId="70BEC5A8">
      <w:pPr>
        <w:pStyle w:val="Heading1"/>
      </w:pPr>
      <w:r>
        <w:t>Background</w:t>
      </w:r>
    </w:p>
    <w:p w:rsidR="00FC5553" w:rsidP="00FC5553" w14:paraId="361A1A67" w14:textId="12D3F3B4">
      <w:pPr>
        <w:pStyle w:val="ParaNum"/>
        <w:widowControl/>
      </w:pPr>
      <w:r>
        <w:t xml:space="preserve">Under the E-Rate program, eligible schools, libraries, and consortia (comprised of eligible schools and libraries) may request universal service discounts for eligible </w:t>
      </w:r>
      <w:r w:rsidR="008A1ACE">
        <w:t xml:space="preserve">equipment and </w:t>
      </w:r>
      <w:r>
        <w:t>services</w:t>
      </w:r>
      <w:r w:rsidR="008000D8">
        <w:t xml:space="preserve"> (collectively “services”)</w:t>
      </w:r>
      <w:r>
        <w:t>, including connections necessary to support broadband connectivity to eligible schools and libraries.</w:t>
      </w:r>
      <w:r>
        <w:rPr>
          <w:rStyle w:val="FootnoteReference"/>
        </w:rPr>
        <w:footnoteReference w:id="6"/>
      </w:r>
      <w:r>
        <w:t xml:space="preserve">  E-Rate program rules provide that these entities must seek competitive bids for services eligible for support.</w:t>
      </w:r>
      <w:r>
        <w:rPr>
          <w:rStyle w:val="FootnoteReference"/>
        </w:rPr>
        <w:footnoteReference w:id="7"/>
      </w:r>
      <w:r>
        <w:t xml:space="preserve">  In accordance with the Commission’s competitive bidding rules, applicants </w:t>
      </w:r>
      <w:r>
        <w:t xml:space="preserve">must submit for posting on USAC’s website an FCC Form 470 </w:t>
      </w:r>
      <w:r w:rsidR="002E13B2">
        <w:t>that</w:t>
      </w:r>
      <w:r>
        <w:t xml:space="preserve"> </w:t>
      </w:r>
      <w:r w:rsidR="00796899">
        <w:t>describe</w:t>
      </w:r>
      <w:r w:rsidR="002E13B2">
        <w:t>s</w:t>
      </w:r>
      <w:r w:rsidR="00796899">
        <w:t xml:space="preserve"> the services and seek</w:t>
      </w:r>
      <w:r w:rsidR="002E13B2">
        <w:t>s</w:t>
      </w:r>
      <w:r w:rsidR="00796899">
        <w:t xml:space="preserve"> </w:t>
      </w:r>
      <w:r w:rsidR="00BE45A4">
        <w:t xml:space="preserve">bids </w:t>
      </w:r>
      <w:r>
        <w:t xml:space="preserve">for </w:t>
      </w:r>
      <w:r w:rsidR="00796899">
        <w:t xml:space="preserve">the </w:t>
      </w:r>
      <w:r>
        <w:t>E-Rate eligible services.</w:t>
      </w:r>
      <w:r>
        <w:rPr>
          <w:rStyle w:val="FootnoteReference"/>
          <w:szCs w:val="22"/>
        </w:rPr>
        <w:footnoteReference w:id="8"/>
      </w:r>
      <w:r>
        <w:t xml:space="preserve">  After submitting an FCC Form 470, applicants must wait at least 28 days before entering into an agreement </w:t>
      </w:r>
      <w:r w:rsidR="000F75D4">
        <w:t xml:space="preserve">with their service provider(s) </w:t>
      </w:r>
      <w:r>
        <w:t xml:space="preserve">for </w:t>
      </w:r>
      <w:r w:rsidR="000F75D4">
        <w:t xml:space="preserve">the </w:t>
      </w:r>
      <w:r>
        <w:t>services.</w:t>
      </w:r>
      <w:r>
        <w:rPr>
          <w:rStyle w:val="FootnoteReference"/>
          <w:szCs w:val="22"/>
        </w:rPr>
        <w:footnoteReference w:id="9"/>
      </w:r>
      <w:r>
        <w:t xml:space="preserve">  Once competitive bidding is concluded and a contract </w:t>
      </w:r>
      <w:r w:rsidR="000F75D4">
        <w:t xml:space="preserve">or contracts are </w:t>
      </w:r>
      <w:r>
        <w:t xml:space="preserve">signed, applicants must file an FCC Form 471 before the close of the applicable funding year’s </w:t>
      </w:r>
      <w:r w:rsidR="00BB072D">
        <w:t xml:space="preserve">application </w:t>
      </w:r>
      <w:r>
        <w:t xml:space="preserve">filing window to request E-Rate support for the contracted </w:t>
      </w:r>
      <w:r w:rsidR="00796899">
        <w:t xml:space="preserve">eligible </w:t>
      </w:r>
      <w:r>
        <w:t>services.</w:t>
      </w:r>
      <w:r>
        <w:rPr>
          <w:vertAlign w:val="superscript"/>
        </w:rPr>
        <w:footnoteReference w:id="10"/>
      </w:r>
      <w:r>
        <w:t xml:space="preserve">  </w:t>
      </w:r>
    </w:p>
    <w:p w:rsidR="004F39C9" w:rsidP="004F39C9" w14:paraId="54047021" w14:textId="53963F56">
      <w:pPr>
        <w:pStyle w:val="ParaNum"/>
        <w:widowControl/>
      </w:pPr>
      <w:r>
        <w:t xml:space="preserve">The Commission has granted waivers of the </w:t>
      </w:r>
      <w:r w:rsidR="00BB072D">
        <w:t xml:space="preserve">application </w:t>
      </w:r>
      <w:r>
        <w:t xml:space="preserve">filing window deadline </w:t>
      </w:r>
      <w:r w:rsidR="004C402A">
        <w:t>in</w:t>
      </w:r>
      <w:r w:rsidR="00802E22">
        <w:t xml:space="preserve"> a number</w:t>
      </w:r>
      <w:r w:rsidR="00FB6828">
        <w:t xml:space="preserve"> </w:t>
      </w:r>
      <w:r w:rsidR="00E845CA">
        <w:t xml:space="preserve">of </w:t>
      </w:r>
      <w:r w:rsidR="00FB6828">
        <w:t>cases</w:t>
      </w:r>
      <w:r>
        <w:t xml:space="preserve">, including </w:t>
      </w:r>
      <w:r w:rsidR="00C672FA">
        <w:t>situations where applicant</w:t>
      </w:r>
      <w:r w:rsidR="00E238D7">
        <w:t>s</w:t>
      </w:r>
      <w:r>
        <w:t xml:space="preserve"> filed their FCC Form 471 applications within 14 days of deadline,</w:t>
      </w:r>
      <w:r>
        <w:rPr>
          <w:rStyle w:val="FootnoteReference"/>
          <w:szCs w:val="22"/>
        </w:rPr>
        <w:footnoteReference w:id="11"/>
      </w:r>
      <w:r>
        <w:t xml:space="preserve"> </w:t>
      </w:r>
      <w:r w:rsidR="00C672FA">
        <w:t>exp</w:t>
      </w:r>
      <w:r w:rsidR="00F80A12">
        <w:t>erienced a</w:t>
      </w:r>
      <w:r>
        <w:t xml:space="preserve"> serious and unexpected medical conditions </w:t>
      </w:r>
      <w:r w:rsidR="00F80A12">
        <w:t>but</w:t>
      </w:r>
      <w:r>
        <w:t xml:space="preserve"> filed their FCC Form 471 applications within 30 days of the close of the filing window,</w:t>
      </w:r>
      <w:r>
        <w:rPr>
          <w:rStyle w:val="FootnoteReference"/>
          <w:szCs w:val="22"/>
        </w:rPr>
        <w:footnoteReference w:id="12"/>
      </w:r>
      <w:r>
        <w:t xml:space="preserve"> </w:t>
      </w:r>
      <w:r w:rsidR="00904ECB">
        <w:t>or</w:t>
      </w:r>
      <w:r>
        <w:t xml:space="preserve"> filed their FCC Form 471 applications even beyond 14 days of the deadline </w:t>
      </w:r>
      <w:r w:rsidRPr="008308A7">
        <w:t>d</w:t>
      </w:r>
      <w:r>
        <w:t>ue to</w:t>
      </w:r>
      <w:r w:rsidRPr="008308A7">
        <w:t xml:space="preserve"> delays beyond </w:t>
      </w:r>
      <w:r>
        <w:t>their</w:t>
      </w:r>
      <w:r w:rsidRPr="008308A7">
        <w:t xml:space="preserve"> control</w:t>
      </w:r>
      <w:r>
        <w:t>.</w:t>
      </w:r>
      <w:r>
        <w:rPr>
          <w:rStyle w:val="FootnoteReference"/>
        </w:rPr>
        <w:footnoteReference w:id="13"/>
      </w:r>
      <w:r>
        <w:t xml:space="preserve">  </w:t>
      </w:r>
      <w:r w:rsidR="00502914">
        <w:t xml:space="preserve">In 2020, the Bureau also granted waivers for </w:t>
      </w:r>
      <w:r>
        <w:t xml:space="preserve">applicants impacted by the </w:t>
      </w:r>
      <w:r w:rsidR="00B008A5">
        <w:t>C</w:t>
      </w:r>
      <w:r w:rsidR="00C3617C">
        <w:t>OVID-19</w:t>
      </w:r>
      <w:r w:rsidR="00B008A5">
        <w:t xml:space="preserve"> </w:t>
      </w:r>
      <w:r>
        <w:t xml:space="preserve">pandemic that filed </w:t>
      </w:r>
      <w:r w:rsidR="00D24115">
        <w:t xml:space="preserve">their </w:t>
      </w:r>
      <w:r w:rsidR="005A4DB5">
        <w:t xml:space="preserve">FCC Form 471 applications </w:t>
      </w:r>
      <w:r>
        <w:t xml:space="preserve">within </w:t>
      </w:r>
      <w:r w:rsidR="00502914">
        <w:t>99</w:t>
      </w:r>
      <w:r>
        <w:t xml:space="preserve"> days of the close of t</w:t>
      </w:r>
      <w:r w:rsidR="00502914">
        <w:t>he</w:t>
      </w:r>
      <w:r w:rsidR="00FB05E3">
        <w:t xml:space="preserve"> application</w:t>
      </w:r>
      <w:r>
        <w:t xml:space="preserve"> filing window.</w:t>
      </w:r>
      <w:r>
        <w:rPr>
          <w:rStyle w:val="FootnoteReference"/>
        </w:rPr>
        <w:footnoteReference w:id="14"/>
      </w:r>
      <w:r>
        <w:t xml:space="preserve">  </w:t>
      </w:r>
    </w:p>
    <w:p w:rsidR="008A0B19" w:rsidP="00960565" w14:paraId="518F3A01" w14:textId="1A8FCD9E">
      <w:pPr>
        <w:pStyle w:val="ParaNum"/>
        <w:widowControl/>
      </w:pPr>
      <w:r>
        <w:t xml:space="preserve">The E-Rate application filing window </w:t>
      </w:r>
      <w:r w:rsidR="004436AC">
        <w:t xml:space="preserve">for funding year 2022 </w:t>
      </w:r>
      <w:r>
        <w:t>opened on January 1</w:t>
      </w:r>
      <w:r w:rsidR="004436AC">
        <w:t>2</w:t>
      </w:r>
      <w:r>
        <w:t>, 2022</w:t>
      </w:r>
      <w:r w:rsidR="005A4DB5">
        <w:t>,</w:t>
      </w:r>
      <w:r>
        <w:t xml:space="preserve"> and </w:t>
      </w:r>
      <w:r w:rsidR="005A4DB5">
        <w:t>will</w:t>
      </w:r>
      <w:r>
        <w:t xml:space="preserve"> close at 11:59 p.m. </w:t>
      </w:r>
      <w:r w:rsidR="007348F1">
        <w:t xml:space="preserve">ET </w:t>
      </w:r>
      <w:r w:rsidR="00AE5AF1">
        <w:t>on March 22, 2022</w:t>
      </w:r>
      <w:r w:rsidR="007348F1">
        <w:t>.</w:t>
      </w:r>
      <w:r>
        <w:rPr>
          <w:rStyle w:val="FootnoteReference"/>
        </w:rPr>
        <w:footnoteReference w:id="15"/>
      </w:r>
      <w:r w:rsidR="007348F1">
        <w:t xml:space="preserve">  </w:t>
      </w:r>
      <w:r w:rsidR="004436AC">
        <w:t xml:space="preserve">During this application filing window, applicants may request funding for </w:t>
      </w:r>
      <w:r w:rsidR="00FB05E3">
        <w:t xml:space="preserve">eligible </w:t>
      </w:r>
      <w:r w:rsidR="004436AC">
        <w:t>services</w:t>
      </w:r>
      <w:r w:rsidR="00FB05E3">
        <w:t xml:space="preserve"> and equipment</w:t>
      </w:r>
      <w:r w:rsidR="004436AC">
        <w:t xml:space="preserve"> provided between</w:t>
      </w:r>
      <w:r>
        <w:t xml:space="preserve"> July 1, 2022 through June 30, 2023.</w:t>
      </w:r>
      <w:r>
        <w:rPr>
          <w:rStyle w:val="FootnoteReference"/>
        </w:rPr>
        <w:footnoteReference w:id="16"/>
      </w:r>
      <w:r>
        <w:t xml:space="preserve">  </w:t>
      </w:r>
      <w:r w:rsidR="00927ACC">
        <w:t xml:space="preserve">The last day to </w:t>
      </w:r>
      <w:r w:rsidR="00335A3B">
        <w:t>seek competitive bids for these services</w:t>
      </w:r>
      <w:r w:rsidR="00927ACC">
        <w:t xml:space="preserve"> and still be able to timely file an E-Rate application was February 22, 2022.</w:t>
      </w:r>
      <w:r>
        <w:rPr>
          <w:rStyle w:val="FootnoteReference"/>
        </w:rPr>
        <w:footnoteReference w:id="17"/>
      </w:r>
      <w:r w:rsidR="00927ACC">
        <w:t xml:space="preserve">  </w:t>
      </w:r>
    </w:p>
    <w:p w:rsidR="00960565" w:rsidP="00960565" w14:paraId="61B1C0DB" w14:textId="2A5C3A39">
      <w:pPr>
        <w:pStyle w:val="ParaNum"/>
        <w:widowControl/>
      </w:pPr>
      <w:r>
        <w:t xml:space="preserve">On January 28, 2022, the Commission released the </w:t>
      </w:r>
      <w:r w:rsidRPr="008A0B19">
        <w:rPr>
          <w:i/>
          <w:iCs/>
        </w:rPr>
        <w:t>Tribal Libraries Order</w:t>
      </w:r>
      <w:r>
        <w:t>, which updated the definition of “library” in the Commission’s rules to provide clarity regarding the eligibility of Tribal libraries</w:t>
      </w:r>
      <w:r w:rsidR="000D6825">
        <w:t xml:space="preserve"> to participate in the E-Rate program</w:t>
      </w:r>
      <w:r>
        <w:t>.</w:t>
      </w:r>
      <w:r>
        <w:rPr>
          <w:rStyle w:val="FootnoteReference"/>
        </w:rPr>
        <w:footnoteReference w:id="18"/>
      </w:r>
      <w:r>
        <w:t xml:space="preserve">  It also directed the Wireline Competition Bureau, working with the Office of Native Affairs and Policy and the Tribal liaison at </w:t>
      </w:r>
      <w:r w:rsidR="00DC23A9">
        <w:t>USAC</w:t>
      </w:r>
      <w:r>
        <w:t xml:space="preserve">, to </w:t>
      </w:r>
      <w:r w:rsidR="00DC23A9">
        <w:t>target</w:t>
      </w:r>
      <w:r>
        <w:t xml:space="preserve"> outreach efforts to promote increased participation of Tribal libraries in the E-Rate program.</w:t>
      </w:r>
      <w:r>
        <w:rPr>
          <w:rStyle w:val="FootnoteReference"/>
        </w:rPr>
        <w:footnoteReference w:id="19"/>
      </w:r>
      <w:r>
        <w:t xml:space="preserve">  </w:t>
      </w:r>
      <w:r w:rsidR="00234D3C">
        <w:t>On February 18, 2022, t</w:t>
      </w:r>
      <w:r w:rsidR="00637ECD">
        <w:t>he Alaska Federation of Natives</w:t>
      </w:r>
      <w:r w:rsidR="008A0B19">
        <w:t xml:space="preserve"> (AFN)</w:t>
      </w:r>
      <w:r w:rsidR="00637ECD">
        <w:t xml:space="preserve"> filed a </w:t>
      </w:r>
      <w:r>
        <w:t xml:space="preserve">request for a waiver of the </w:t>
      </w:r>
      <w:r w:rsidR="00833425">
        <w:t>funding year</w:t>
      </w:r>
      <w:r w:rsidR="00140F55">
        <w:t xml:space="preserve"> 2022 application filing </w:t>
      </w:r>
      <w:r>
        <w:t>deadline</w:t>
      </w:r>
      <w:r w:rsidR="00637ECD">
        <w:t xml:space="preserve">, seeking an additional 40 days to file an E-Rate </w:t>
      </w:r>
      <w:r w:rsidR="0078079D">
        <w:t xml:space="preserve">application </w:t>
      </w:r>
      <w:r w:rsidR="008A0B19">
        <w:t xml:space="preserve">requesting funding </w:t>
      </w:r>
      <w:r w:rsidR="00BB7381">
        <w:t>as a consortium representing</w:t>
      </w:r>
      <w:r w:rsidR="008A0B19">
        <w:t xml:space="preserve"> a number</w:t>
      </w:r>
      <w:r>
        <w:t xml:space="preserve"> of Tribal libraries in Alaska</w:t>
      </w:r>
      <w:r w:rsidR="0078079D">
        <w:t>.</w:t>
      </w:r>
      <w:r>
        <w:rPr>
          <w:rStyle w:val="FootnoteReference"/>
        </w:rPr>
        <w:footnoteReference w:id="20"/>
      </w:r>
      <w:r w:rsidR="00D468D6">
        <w:t xml:space="preserve">  AFN cites to </w:t>
      </w:r>
      <w:r w:rsidR="00062F4D">
        <w:t xml:space="preserve">the short timeframe between the </w:t>
      </w:r>
      <w:r w:rsidR="00135743">
        <w:t xml:space="preserve">Commission’s action and the competitive bidding deadline, </w:t>
      </w:r>
      <w:r w:rsidR="009F7B24">
        <w:t>the challenges of gaining approval</w:t>
      </w:r>
      <w:r w:rsidR="00EB0C7C">
        <w:t xml:space="preserve"> </w:t>
      </w:r>
      <w:r w:rsidR="00044919">
        <w:t xml:space="preserve">from Tribal councils </w:t>
      </w:r>
      <w:r w:rsidR="00EB0C7C">
        <w:t xml:space="preserve">– particularly </w:t>
      </w:r>
      <w:r w:rsidR="009F7B24">
        <w:t xml:space="preserve">during the </w:t>
      </w:r>
      <w:r w:rsidR="008E7E23">
        <w:t xml:space="preserve">ongoing </w:t>
      </w:r>
      <w:r w:rsidR="009F7B24">
        <w:t>COVID-19 pandemic</w:t>
      </w:r>
      <w:r w:rsidR="00B971FA">
        <w:t xml:space="preserve"> </w:t>
      </w:r>
      <w:r w:rsidR="007276FC">
        <w:t>–</w:t>
      </w:r>
      <w:r w:rsidR="000D1440">
        <w:t xml:space="preserve"> </w:t>
      </w:r>
      <w:r w:rsidR="00044919">
        <w:t xml:space="preserve">and the </w:t>
      </w:r>
      <w:r>
        <w:t xml:space="preserve">initial learning </w:t>
      </w:r>
      <w:r w:rsidR="00EF1194">
        <w:t xml:space="preserve">required </w:t>
      </w:r>
      <w:r w:rsidR="00BA1267">
        <w:t xml:space="preserve">as </w:t>
      </w:r>
      <w:r w:rsidR="00EF1194">
        <w:t xml:space="preserve">new entities </w:t>
      </w:r>
      <w:r w:rsidR="00F33C84">
        <w:t>to complete the</w:t>
      </w:r>
      <w:r>
        <w:t xml:space="preserve"> </w:t>
      </w:r>
      <w:r w:rsidR="008367A8">
        <w:t>competitive bid</w:t>
      </w:r>
      <w:r w:rsidR="00F33C84">
        <w:t>ding</w:t>
      </w:r>
      <w:r w:rsidR="008367A8">
        <w:t xml:space="preserve"> and </w:t>
      </w:r>
      <w:r w:rsidR="00044919">
        <w:t>application process</w:t>
      </w:r>
      <w:r w:rsidR="008367A8">
        <w:t>es</w:t>
      </w:r>
      <w:r w:rsidR="00044919">
        <w:t xml:space="preserve"> </w:t>
      </w:r>
      <w:r w:rsidR="00DA7B48">
        <w:t xml:space="preserve">as </w:t>
      </w:r>
      <w:r w:rsidR="002D16C7">
        <w:t xml:space="preserve">reasons why a deviation from the regular deadline </w:t>
      </w:r>
      <w:r w:rsidR="007310E9">
        <w:t>is</w:t>
      </w:r>
      <w:r w:rsidR="002A09B5">
        <w:t xml:space="preserve"> </w:t>
      </w:r>
      <w:r w:rsidR="009B7EFD">
        <w:t>warranted</w:t>
      </w:r>
      <w:r w:rsidR="002D16C7">
        <w:t>.</w:t>
      </w:r>
      <w:r>
        <w:rPr>
          <w:rStyle w:val="FootnoteReference"/>
        </w:rPr>
        <w:footnoteReference w:id="21"/>
      </w:r>
    </w:p>
    <w:p w:rsidR="002D16C7" w:rsidP="002D16C7" w14:paraId="73A3C891" w14:textId="62DC042B">
      <w:pPr>
        <w:pStyle w:val="Heading1"/>
      </w:pPr>
      <w:r>
        <w:t>Discussion</w:t>
      </w:r>
    </w:p>
    <w:p w:rsidR="002630A3" w:rsidP="002630A3" w14:paraId="2D11090A" w14:textId="01BB674E">
      <w:pPr>
        <w:pStyle w:val="ParaNum"/>
      </w:pPr>
      <w:r>
        <w:t>Generally, the Commission’s rules may be waived for good cause shown.</w:t>
      </w:r>
      <w:r>
        <w:rPr>
          <w:rStyle w:val="FootnoteReference"/>
        </w:rPr>
        <w:footnoteReference w:id="22"/>
      </w:r>
      <w:r>
        <w:t xml:space="preserve">  </w:t>
      </w:r>
      <w:r w:rsidRPr="00E91516">
        <w:t>The Commission may exercise its discretion to waive a rule where the particular facts make strict compliance inconsistent with the public interest.</w:t>
      </w:r>
      <w:r>
        <w:rPr>
          <w:rStyle w:val="FootnoteReference"/>
        </w:rPr>
        <w:footnoteReference w:id="23"/>
      </w:r>
      <w:r w:rsidRPr="00E91516">
        <w:t xml:space="preserve">  In addition, the Commission may take into account considerations of hardship, equity, or more effective implementation of </w:t>
      </w:r>
      <w:r>
        <w:t xml:space="preserve">overall </w:t>
      </w:r>
      <w:r w:rsidRPr="00E91516">
        <w:t xml:space="preserve">policy on an </w:t>
      </w:r>
      <w:r>
        <w:t>individual</w:t>
      </w:r>
      <w:r w:rsidRPr="00E91516">
        <w:t xml:space="preserve"> basis.</w:t>
      </w:r>
      <w:r>
        <w:rPr>
          <w:rStyle w:val="FootnoteReference"/>
        </w:rPr>
        <w:footnoteReference w:id="24"/>
      </w:r>
      <w:r>
        <w:t xml:space="preserve">  </w:t>
      </w:r>
    </w:p>
    <w:p w:rsidR="006908FC" w:rsidP="002630A3" w14:paraId="0D76BE8E" w14:textId="69CF5A45">
      <w:pPr>
        <w:pStyle w:val="ParaNum"/>
      </w:pPr>
      <w:r>
        <w:t xml:space="preserve">Based on the special circumstances caused by the timing of the release of the </w:t>
      </w:r>
      <w:r>
        <w:rPr>
          <w:i/>
          <w:iCs/>
        </w:rPr>
        <w:t xml:space="preserve">Tribal Libraries Order </w:t>
      </w:r>
      <w:r w:rsidR="007875E4">
        <w:t>in the middle of</w:t>
      </w:r>
      <w:r>
        <w:t xml:space="preserve"> the annual</w:t>
      </w:r>
      <w:r w:rsidR="007875E4">
        <w:t xml:space="preserve"> application filing window</w:t>
      </w:r>
      <w:r>
        <w:t xml:space="preserve"> of the E-Rate program, we find good cause exists to waive the funding year 2022 FCC Form 471 application filing window deadline for all new Tribal library entities that file </w:t>
      </w:r>
      <w:r w:rsidR="0009040F">
        <w:t xml:space="preserve">FCC Form 471 applications </w:t>
      </w:r>
      <w:r>
        <w:t xml:space="preserve">within 65 days </w:t>
      </w:r>
      <w:r w:rsidR="007875E4">
        <w:t>of March 22, 2022 (</w:t>
      </w:r>
      <w:r w:rsidRPr="0042324C" w:rsidR="007875E4">
        <w:t>i.e.</w:t>
      </w:r>
      <w:r w:rsidR="007875E4">
        <w:t xml:space="preserve">, 11:59 p.m. ET on Thursday, May 26, 2022). </w:t>
      </w:r>
      <w:r>
        <w:t xml:space="preserve"> </w:t>
      </w:r>
      <w:r w:rsidR="00502914">
        <w:t>Because applicants must open their competitive bidding process at least 28 days in advance of selecting a service provider,</w:t>
      </w:r>
      <w:r>
        <w:rPr>
          <w:rStyle w:val="FootnoteReference"/>
        </w:rPr>
        <w:footnoteReference w:id="25"/>
      </w:r>
      <w:r w:rsidR="00502914">
        <w:t xml:space="preserve"> Tribal libraries that had not previously participated in the E-Rate program, had to begin their competitive bidding process </w:t>
      </w:r>
      <w:r w:rsidR="007875E4">
        <w:t>just a few weeks</w:t>
      </w:r>
      <w:r w:rsidR="00502914">
        <w:t xml:space="preserve"> after the </w:t>
      </w:r>
      <w:r w:rsidRPr="008A0B19" w:rsidR="00502914">
        <w:rPr>
          <w:i/>
          <w:iCs/>
        </w:rPr>
        <w:t>Tribal Libraries Order</w:t>
      </w:r>
      <w:r w:rsidR="00502914">
        <w:t xml:space="preserve"> was released.  </w:t>
      </w:r>
      <w:r w:rsidR="007875E4">
        <w:t xml:space="preserve">Particularly during the </w:t>
      </w:r>
      <w:r w:rsidR="00B716A3">
        <w:t xml:space="preserve">ongoing </w:t>
      </w:r>
      <w:r w:rsidR="007875E4">
        <w:t xml:space="preserve">pandemic and in </w:t>
      </w:r>
      <w:r w:rsidR="00EC0A01">
        <w:t xml:space="preserve">remote </w:t>
      </w:r>
      <w:r w:rsidR="007875E4">
        <w:t xml:space="preserve">areas, </w:t>
      </w:r>
      <w:r w:rsidR="00B716A3">
        <w:t xml:space="preserve">obtaining </w:t>
      </w:r>
      <w:r w:rsidR="007875E4">
        <w:t xml:space="preserve">approval, conducting competitive bidding, and selecting service providers </w:t>
      </w:r>
      <w:r w:rsidR="001C419C">
        <w:t xml:space="preserve">and negotiating contracts </w:t>
      </w:r>
      <w:r w:rsidR="007875E4">
        <w:t>can take extra time.</w:t>
      </w:r>
      <w:r>
        <w:rPr>
          <w:rStyle w:val="FootnoteReference"/>
        </w:rPr>
        <w:footnoteReference w:id="26"/>
      </w:r>
      <w:r w:rsidR="007875E4">
        <w:t xml:space="preserve">  Given the </w:t>
      </w:r>
      <w:r w:rsidR="00EC0A01">
        <w:t>amount of funding</w:t>
      </w:r>
      <w:r w:rsidR="007875E4">
        <w:t xml:space="preserve"> </w:t>
      </w:r>
      <w:r w:rsidR="00EC0A01">
        <w:t xml:space="preserve">available </w:t>
      </w:r>
      <w:r w:rsidR="007875E4">
        <w:t>under the</w:t>
      </w:r>
      <w:r w:rsidR="00EC0A01">
        <w:t xml:space="preserve"> program funding</w:t>
      </w:r>
      <w:r w:rsidR="007875E4">
        <w:t xml:space="preserve"> cap</w:t>
      </w:r>
      <w:r w:rsidR="00EC0A01">
        <w:t xml:space="preserve"> in prior years</w:t>
      </w:r>
      <w:r w:rsidR="007875E4">
        <w:t>,</w:t>
      </w:r>
      <w:r>
        <w:rPr>
          <w:rStyle w:val="FootnoteReference"/>
        </w:rPr>
        <w:footnoteReference w:id="27"/>
      </w:r>
      <w:r w:rsidR="007875E4">
        <w:t xml:space="preserve"> </w:t>
      </w:r>
      <w:r w:rsidR="006E5985">
        <w:t xml:space="preserve">we grant this waiver in advance of the </w:t>
      </w:r>
      <w:r w:rsidR="001C419C">
        <w:t xml:space="preserve">application filing </w:t>
      </w:r>
      <w:r w:rsidR="006E5985">
        <w:t xml:space="preserve">window close to encourage </w:t>
      </w:r>
      <w:r w:rsidR="00A766BF">
        <w:t>new</w:t>
      </w:r>
      <w:r w:rsidR="006E5985">
        <w:t xml:space="preserve"> Tribal libraries </w:t>
      </w:r>
      <w:r w:rsidR="00A766BF">
        <w:t xml:space="preserve">to consider </w:t>
      </w:r>
      <w:r w:rsidR="00135C85">
        <w:t>request</w:t>
      </w:r>
      <w:r w:rsidR="007C17B1">
        <w:t>ing</w:t>
      </w:r>
      <w:r w:rsidR="008660D2">
        <w:t xml:space="preserve"> E-Rate</w:t>
      </w:r>
      <w:r w:rsidR="00B416A8">
        <w:t xml:space="preserve"> </w:t>
      </w:r>
      <w:r w:rsidR="008660D2">
        <w:t xml:space="preserve">support </w:t>
      </w:r>
      <w:r w:rsidR="00A766BF">
        <w:t>for funding year 2022</w:t>
      </w:r>
      <w:r w:rsidR="00747AA3">
        <w:t xml:space="preserve"> by providing additional time for them to complete the competitive bidding requirements and submit their funding applications</w:t>
      </w:r>
      <w:r w:rsidR="006E5985">
        <w:t xml:space="preserve">.  </w:t>
      </w:r>
      <w:r w:rsidR="001F626C">
        <w:t xml:space="preserve">Tribal libraries </w:t>
      </w:r>
      <w:r w:rsidR="00544F4B">
        <w:t xml:space="preserve">provide a critical service to their communities and </w:t>
      </w:r>
      <w:r w:rsidR="00096191">
        <w:t xml:space="preserve">access to E-Rate support </w:t>
      </w:r>
      <w:r w:rsidR="002B1FEF">
        <w:t>can help these libraries afford these services</w:t>
      </w:r>
      <w:r w:rsidR="00E62EA1">
        <w:t xml:space="preserve"> and deploy</w:t>
      </w:r>
      <w:r w:rsidR="002D5C59">
        <w:t xml:space="preserve"> high-speed</w:t>
      </w:r>
      <w:r w:rsidR="00E62EA1">
        <w:t xml:space="preserve"> broadband </w:t>
      </w:r>
      <w:r w:rsidR="0028450C">
        <w:t xml:space="preserve">needed to learn, connect with healthcare services, </w:t>
      </w:r>
      <w:r w:rsidR="00954A59">
        <w:t>or search for jobs</w:t>
      </w:r>
      <w:r w:rsidR="003B0C26">
        <w:t xml:space="preserve">.  </w:t>
      </w:r>
      <w:r w:rsidR="005522CB">
        <w:t>We find that r</w:t>
      </w:r>
      <w:r w:rsidR="007875E4">
        <w:t>equiring th</w:t>
      </w:r>
      <w:r w:rsidR="00EC0A01">
        <w:t xml:space="preserve">is </w:t>
      </w:r>
      <w:r w:rsidR="00020E4C">
        <w:t xml:space="preserve">limited </w:t>
      </w:r>
      <w:r w:rsidR="00A04F76">
        <w:t>set</w:t>
      </w:r>
      <w:r w:rsidR="00EC0A01">
        <w:t xml:space="preserve"> of</w:t>
      </w:r>
      <w:r w:rsidR="007875E4">
        <w:t xml:space="preserve"> new </w:t>
      </w:r>
      <w:r w:rsidR="00112311">
        <w:t xml:space="preserve">E-Rate participants, the </w:t>
      </w:r>
      <w:r w:rsidR="007875E4">
        <w:t>Tribal librar</w:t>
      </w:r>
      <w:r w:rsidR="006E3B2B">
        <w:t>ies</w:t>
      </w:r>
      <w:r w:rsidR="00112311">
        <w:t>,</w:t>
      </w:r>
      <w:r w:rsidR="007875E4">
        <w:t xml:space="preserve"> to </w:t>
      </w:r>
      <w:r w:rsidR="006E5985">
        <w:t xml:space="preserve">wait </w:t>
      </w:r>
      <w:r w:rsidR="00622863">
        <w:t>more than a</w:t>
      </w:r>
      <w:r w:rsidR="00911817">
        <w:t xml:space="preserve"> year </w:t>
      </w:r>
      <w:r w:rsidR="006E5985">
        <w:t xml:space="preserve">until </w:t>
      </w:r>
      <w:r w:rsidR="007875E4">
        <w:t xml:space="preserve">funding year 2023 </w:t>
      </w:r>
      <w:r w:rsidR="00112311">
        <w:t xml:space="preserve">(i.e., July 1, 2023 to June 30, 2024) </w:t>
      </w:r>
      <w:r w:rsidR="00564788">
        <w:t xml:space="preserve">to </w:t>
      </w:r>
      <w:r w:rsidR="00622863">
        <w:t xml:space="preserve">be able to </w:t>
      </w:r>
      <w:r w:rsidR="00564788">
        <w:t xml:space="preserve">participate in the E-Rate program </w:t>
      </w:r>
      <w:r w:rsidR="007875E4">
        <w:t>would not serve the public interest</w:t>
      </w:r>
      <w:r w:rsidR="006E5985">
        <w:t xml:space="preserve"> and would be inconsistent with the Commission’s direction to promote participation </w:t>
      </w:r>
      <w:r w:rsidR="00EF25A4">
        <w:t>and encourage increased Tribal library access to affordable broadband connectivity through the program</w:t>
      </w:r>
      <w:r w:rsidR="007875E4">
        <w:t>.</w:t>
      </w:r>
      <w:r>
        <w:rPr>
          <w:rStyle w:val="FootnoteReference"/>
        </w:rPr>
        <w:footnoteReference w:id="28"/>
      </w:r>
      <w:r w:rsidR="007875E4">
        <w:t xml:space="preserve">  </w:t>
      </w:r>
    </w:p>
    <w:p w:rsidR="002D16C7" w:rsidP="003C293B" w14:paraId="2D98C1B6" w14:textId="16B86A3E">
      <w:pPr>
        <w:pStyle w:val="ParaNum"/>
      </w:pPr>
      <w:r>
        <w:t>We dire</w:t>
      </w:r>
      <w:r w:rsidR="00A11523">
        <w:t>ct USAC to provide this relief</w:t>
      </w:r>
      <w:r w:rsidR="00034FA7">
        <w:t>, and to treat</w:t>
      </w:r>
      <w:r w:rsidR="00A11523">
        <w:t xml:space="preserve"> all </w:t>
      </w:r>
      <w:r w:rsidR="003079E7">
        <w:t>funding year</w:t>
      </w:r>
      <w:r w:rsidR="00034FA7">
        <w:t xml:space="preserve"> 2022 FCC Fo</w:t>
      </w:r>
      <w:r w:rsidR="002D4BD5">
        <w:t>r</w:t>
      </w:r>
      <w:r w:rsidR="00034FA7">
        <w:t xml:space="preserve">m 471 </w:t>
      </w:r>
      <w:r w:rsidR="006E5985">
        <w:t xml:space="preserve">applications that include a </w:t>
      </w:r>
      <w:r w:rsidR="00A11523">
        <w:t>new Tribal library entit</w:t>
      </w:r>
      <w:r w:rsidR="006E5985">
        <w:t>y as a recipient of service filed</w:t>
      </w:r>
      <w:r w:rsidR="00A11523">
        <w:t xml:space="preserve"> within 65 days of the </w:t>
      </w:r>
      <w:r w:rsidR="00A11523">
        <w:t>March 22, 2022 deadline</w:t>
      </w:r>
      <w:r w:rsidR="00033589">
        <w:t xml:space="preserve"> </w:t>
      </w:r>
      <w:r w:rsidR="007F5395">
        <w:t>(i.e., May 26, 2022) as timely filed</w:t>
      </w:r>
      <w:r w:rsidR="00A35E9E">
        <w:t>.</w:t>
      </w:r>
      <w:r>
        <w:rPr>
          <w:rStyle w:val="FootnoteReference"/>
        </w:rPr>
        <w:footnoteReference w:id="29"/>
      </w:r>
      <w:r w:rsidR="00A35E9E">
        <w:t xml:space="preserve">  </w:t>
      </w:r>
      <w:r w:rsidR="002201D6">
        <w:t>All</w:t>
      </w:r>
      <w:r>
        <w:t xml:space="preserve"> </w:t>
      </w:r>
      <w:r w:rsidR="00A35E9E">
        <w:t xml:space="preserve">new </w:t>
      </w:r>
      <w:r w:rsidR="00BF4F32">
        <w:t xml:space="preserve">Tribal library </w:t>
      </w:r>
      <w:r>
        <w:t xml:space="preserve">applicants </w:t>
      </w:r>
      <w:r w:rsidR="00A35E9E">
        <w:t xml:space="preserve">face the same </w:t>
      </w:r>
      <w:r w:rsidR="006E5985">
        <w:t>special circumstances</w:t>
      </w:r>
      <w:r w:rsidR="00A35E9E">
        <w:t xml:space="preserve"> as the Tribal libraries represented by the Alaska Federation of Natives</w:t>
      </w:r>
      <w:r w:rsidR="00DC32A7">
        <w:t xml:space="preserve"> and should be provided with additional flexibility to </w:t>
      </w:r>
      <w:r w:rsidR="00876437">
        <w:t xml:space="preserve">complete their competitive bidding process and submit </w:t>
      </w:r>
      <w:r w:rsidR="00DC32A7">
        <w:t xml:space="preserve">their E-Rate applications </w:t>
      </w:r>
      <w:r w:rsidR="00021ED0">
        <w:t xml:space="preserve">for funding year 2022.  </w:t>
      </w:r>
      <w:r>
        <w:t xml:space="preserve">We therefore waive the deadline for </w:t>
      </w:r>
      <w:r w:rsidR="00876437">
        <w:t xml:space="preserve">all </w:t>
      </w:r>
      <w:r w:rsidR="003079E7">
        <w:t>funding year</w:t>
      </w:r>
      <w:r w:rsidR="00377BB7">
        <w:t xml:space="preserve"> 2022 </w:t>
      </w:r>
      <w:r w:rsidR="0048276D">
        <w:t>FCC Form 471 applications that</w:t>
      </w:r>
      <w:r w:rsidR="00B859D5">
        <w:t xml:space="preserve"> are filed by a new Tribal library </w:t>
      </w:r>
      <w:r w:rsidR="005F49E1">
        <w:t>applicant</w:t>
      </w:r>
      <w:r w:rsidR="00B02E79">
        <w:t>,</w:t>
      </w:r>
      <w:r w:rsidR="00B859D5">
        <w:t xml:space="preserve"> or</w:t>
      </w:r>
      <w:r w:rsidR="0048276D">
        <w:t xml:space="preserve"> include a </w:t>
      </w:r>
      <w:r w:rsidR="00876437">
        <w:t>new Tribal libra</w:t>
      </w:r>
      <w:r w:rsidR="00DF4F47">
        <w:t>r</w:t>
      </w:r>
      <w:r w:rsidR="00876437">
        <w:t xml:space="preserve">y </w:t>
      </w:r>
      <w:r w:rsidR="0048276D">
        <w:t>entity as a recipient of service</w:t>
      </w:r>
      <w:r w:rsidR="005F49E1">
        <w:t>,</w:t>
      </w:r>
      <w:r w:rsidR="002D4BD5">
        <w:t xml:space="preserve"> </w:t>
      </w:r>
      <w:r>
        <w:t xml:space="preserve">and direct USAC to process </w:t>
      </w:r>
      <w:r w:rsidR="00021ED0">
        <w:t>any such</w:t>
      </w:r>
      <w:r>
        <w:t xml:space="preserve"> late-filed applications </w:t>
      </w:r>
      <w:r w:rsidR="00F90995">
        <w:t>submitted before May 26, 2022</w:t>
      </w:r>
      <w:r w:rsidR="00C25B39">
        <w:t xml:space="preserve"> </w:t>
      </w:r>
      <w:r>
        <w:t>as timely filed.  A</w:t>
      </w:r>
      <w:r w:rsidR="006908FC">
        <w:t>t the same time</w:t>
      </w:r>
      <w:r>
        <w:t xml:space="preserve">, we </w:t>
      </w:r>
      <w:r w:rsidR="006908FC">
        <w:t xml:space="preserve">make no finding as to the ultimate eligibility </w:t>
      </w:r>
      <w:r w:rsidR="00D26852">
        <w:t xml:space="preserve">of the FCC Form 471 applications or </w:t>
      </w:r>
      <w:r w:rsidR="006908FC">
        <w:t>of the services requested</w:t>
      </w:r>
      <w:r w:rsidR="00C25B39">
        <w:t>,</w:t>
      </w:r>
      <w:r w:rsidR="006908FC">
        <w:t xml:space="preserve"> and </w:t>
      </w:r>
      <w:r>
        <w:t>direct USAC to determine compliance with E-Rate program rules and requirements</w:t>
      </w:r>
      <w:r w:rsidR="002353B5">
        <w:t xml:space="preserve"> and issue funding decisions accordingly</w:t>
      </w:r>
      <w:r w:rsidR="006908FC">
        <w:t xml:space="preserve">.  </w:t>
      </w:r>
    </w:p>
    <w:p w:rsidR="00A31818" w:rsidP="00A31818" w14:paraId="3DC1B4C7" w14:textId="77777777">
      <w:pPr>
        <w:pStyle w:val="Heading1"/>
      </w:pPr>
      <w:r>
        <w:t>Ordering Clauses</w:t>
      </w:r>
    </w:p>
    <w:p w:rsidR="00A31818" w:rsidP="00A31818" w14:paraId="4B41009F" w14:textId="16069208">
      <w:pPr>
        <w:pStyle w:val="ParaNum"/>
      </w:pPr>
      <w:r>
        <w:t>ACCORDINGLY, IT IS ORDERED, pursuant to the authority contained in sections 1-4 and 254 of the Communications Act of 1934, as amended, 47 USC §§ 151-154 and 254, and sections 0.91, 0.291, and 1.3 of the Commission’s rules, 47 CFR §§ 0.91, 0.291, and 1.3, that sections 47 CFR 54.50</w:t>
      </w:r>
      <w:r w:rsidR="00E978DA">
        <w:t>7(c)</w:t>
      </w:r>
      <w:r>
        <w:t>)</w:t>
      </w:r>
      <w:r w:rsidRPr="000E0DC3">
        <w:t xml:space="preserve"> </w:t>
      </w:r>
      <w:r>
        <w:t>of the Commission’s rules is waived to the limited extent provided herein.</w:t>
      </w:r>
    </w:p>
    <w:p w:rsidR="00A31818" w:rsidP="00A31818" w14:paraId="17C1B4CC" w14:textId="77777777">
      <w:pPr>
        <w:pStyle w:val="ParaNum"/>
      </w:pPr>
      <w:r>
        <w:t>IT IS FURTHER ORDERED, that pursuant to section 1.102(b)(1) of the Commission’s rules, 47 CFR § 1.102(b)(1), this Order SHALL BE EFFECTIVE upon release.</w:t>
      </w:r>
    </w:p>
    <w:p w:rsidR="00A31818" w:rsidP="00A31818" w14:paraId="7D41B233" w14:textId="3709F00D">
      <w:pPr>
        <w:pStyle w:val="ParaNum"/>
        <w:numPr>
          <w:ilvl w:val="0"/>
          <w:numId w:val="0"/>
        </w:numPr>
      </w:pPr>
    </w:p>
    <w:p w:rsidR="00616AE2" w:rsidP="00A31818" w14:paraId="134AF2D3" w14:textId="77777777">
      <w:pPr>
        <w:pStyle w:val="ParaNum"/>
        <w:numPr>
          <w:ilvl w:val="0"/>
          <w:numId w:val="0"/>
        </w:numPr>
      </w:pPr>
    </w:p>
    <w:p w:rsidR="00A31818" w:rsidRPr="003A09DB" w:rsidP="00A31818" w14:paraId="5C5E424A" w14:textId="77777777">
      <w:pPr>
        <w:keepNext/>
        <w:tabs>
          <w:tab w:val="left" w:pos="-720"/>
        </w:tabs>
        <w:suppressAutoHyphens/>
        <w:ind w:left="4320"/>
        <w:outlineLvl w:val="0"/>
        <w:rPr>
          <w:szCs w:val="22"/>
        </w:rPr>
      </w:pPr>
      <w:r w:rsidRPr="003A09DB">
        <w:rPr>
          <w:szCs w:val="22"/>
        </w:rPr>
        <w:t>FEDERAL COMMUNICATIONS COMMISSION</w:t>
      </w:r>
    </w:p>
    <w:p w:rsidR="00A31818" w:rsidRPr="003A09DB" w:rsidP="00A31818" w14:paraId="27220326" w14:textId="77777777">
      <w:pPr>
        <w:keepNext/>
        <w:tabs>
          <w:tab w:val="left" w:pos="-720"/>
        </w:tabs>
        <w:suppressAutoHyphens/>
        <w:ind w:left="4320"/>
        <w:rPr>
          <w:szCs w:val="22"/>
        </w:rPr>
      </w:pPr>
    </w:p>
    <w:p w:rsidR="00A31818" w:rsidRPr="003A09DB" w:rsidP="00A31818" w14:paraId="5EDFA2B8" w14:textId="77777777">
      <w:pPr>
        <w:keepNext/>
        <w:tabs>
          <w:tab w:val="left" w:pos="-720"/>
        </w:tabs>
        <w:suppressAutoHyphens/>
        <w:ind w:left="4320"/>
        <w:rPr>
          <w:szCs w:val="22"/>
        </w:rPr>
      </w:pPr>
    </w:p>
    <w:p w:rsidR="00A31818" w:rsidRPr="003A09DB" w:rsidP="00A31818" w14:paraId="4472457C" w14:textId="77777777">
      <w:pPr>
        <w:keepNext/>
        <w:keepLines/>
        <w:ind w:left="4320"/>
        <w:outlineLvl w:val="0"/>
        <w:rPr>
          <w:szCs w:val="22"/>
        </w:rPr>
      </w:pPr>
    </w:p>
    <w:p w:rsidR="00A31818" w:rsidRPr="003A09DB" w:rsidP="00A31818" w14:paraId="6EE07B50" w14:textId="77777777">
      <w:pPr>
        <w:keepNext/>
        <w:keepLines/>
        <w:ind w:left="3600" w:firstLine="720"/>
        <w:outlineLvl w:val="0"/>
        <w:rPr>
          <w:szCs w:val="22"/>
        </w:rPr>
      </w:pPr>
    </w:p>
    <w:p w:rsidR="00A31818" w:rsidRPr="003A09DB" w:rsidP="00A31818" w14:paraId="34E7A107" w14:textId="05AE61FE">
      <w:pPr>
        <w:keepNext/>
        <w:keepLines/>
        <w:ind w:left="3600" w:firstLine="720"/>
        <w:outlineLvl w:val="0"/>
        <w:rPr>
          <w:szCs w:val="22"/>
        </w:rPr>
      </w:pPr>
      <w:r>
        <w:rPr>
          <w:szCs w:val="22"/>
        </w:rPr>
        <w:t xml:space="preserve">Trent </w:t>
      </w:r>
      <w:r w:rsidR="000962CB">
        <w:rPr>
          <w:szCs w:val="22"/>
        </w:rPr>
        <w:t xml:space="preserve">B. </w:t>
      </w:r>
      <w:r>
        <w:rPr>
          <w:szCs w:val="22"/>
        </w:rPr>
        <w:t>Harkrader</w:t>
      </w:r>
    </w:p>
    <w:p w:rsidR="00A31818" w:rsidRPr="003A09DB" w:rsidP="00A31818" w14:paraId="351951DA" w14:textId="77777777">
      <w:pPr>
        <w:keepNext/>
        <w:keepLines/>
        <w:ind w:left="3600" w:firstLine="720"/>
        <w:outlineLvl w:val="0"/>
        <w:rPr>
          <w:szCs w:val="22"/>
        </w:rPr>
      </w:pPr>
      <w:r w:rsidRPr="003A09DB">
        <w:rPr>
          <w:szCs w:val="22"/>
        </w:rPr>
        <w:t>Chief</w:t>
      </w:r>
    </w:p>
    <w:p w:rsidR="00A31818" w:rsidP="00A31818" w14:paraId="2765D68A" w14:textId="77777777">
      <w:pPr>
        <w:keepNext/>
        <w:keepLines/>
        <w:ind w:left="4320"/>
        <w:outlineLvl w:val="0"/>
        <w:rPr>
          <w:szCs w:val="22"/>
        </w:rPr>
      </w:pPr>
      <w:r>
        <w:rPr>
          <w:szCs w:val="22"/>
        </w:rPr>
        <w:t>Wireline Competition Bureau</w:t>
      </w:r>
    </w:p>
    <w:p w:rsidR="00A31818" w:rsidRPr="002D16C7" w:rsidP="00A31818" w14:paraId="1EF87C35" w14:textId="77777777">
      <w:pPr>
        <w:pStyle w:val="ParaNum"/>
        <w:numPr>
          <w:ilvl w:val="0"/>
          <w:numId w:val="0"/>
        </w:num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6806364"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71C2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5A8CB1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89C32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65C1" w14:paraId="742FC90F" w14:textId="77777777">
      <w:r>
        <w:separator/>
      </w:r>
    </w:p>
  </w:footnote>
  <w:footnote w:type="continuationSeparator" w:id="1">
    <w:p w:rsidR="003465C1" w:rsidP="00C721AC" w14:paraId="28E2A436" w14:textId="77777777">
      <w:pPr>
        <w:spacing w:before="120"/>
        <w:rPr>
          <w:sz w:val="20"/>
        </w:rPr>
      </w:pPr>
      <w:r>
        <w:rPr>
          <w:sz w:val="20"/>
        </w:rPr>
        <w:t xml:space="preserve">(Continued from previous page)  </w:t>
      </w:r>
      <w:r>
        <w:rPr>
          <w:sz w:val="20"/>
        </w:rPr>
        <w:separator/>
      </w:r>
    </w:p>
  </w:footnote>
  <w:footnote w:type="continuationNotice" w:id="2">
    <w:p w:rsidR="003465C1" w:rsidP="00C721AC" w14:paraId="5627CF71" w14:textId="77777777">
      <w:pPr>
        <w:jc w:val="right"/>
        <w:rPr>
          <w:sz w:val="20"/>
        </w:rPr>
      </w:pPr>
      <w:r>
        <w:rPr>
          <w:sz w:val="20"/>
        </w:rPr>
        <w:t>(continued….)</w:t>
      </w:r>
    </w:p>
  </w:footnote>
  <w:footnote w:id="3">
    <w:p w:rsidR="00EF25A4" w:rsidRPr="00CB3E59" w:rsidP="00EF25A4" w14:paraId="6570D793" w14:textId="77777777">
      <w:pPr>
        <w:pStyle w:val="FootnoteText"/>
      </w:pPr>
      <w:r w:rsidRPr="00CB3E59">
        <w:rPr>
          <w:rStyle w:val="FootnoteReference"/>
        </w:rPr>
        <w:footnoteRef/>
      </w:r>
      <w:r w:rsidRPr="00CB3E59">
        <w:t xml:space="preserve"> The E-Rate program is formally known as the schools and libraries universal service support mechanism.</w:t>
      </w:r>
    </w:p>
  </w:footnote>
  <w:footnote w:id="4">
    <w:p w:rsidR="00EF25A4" w:rsidRPr="00CB3E59" w:rsidP="00EF25A4" w14:paraId="350B0A1B" w14:textId="77777777">
      <w:pPr>
        <w:pStyle w:val="FootnoteText"/>
      </w:pPr>
      <w:r w:rsidRPr="00CB3E59">
        <w:rPr>
          <w:rStyle w:val="FootnoteReference"/>
        </w:rPr>
        <w:footnoteRef/>
      </w:r>
      <w:r w:rsidRPr="00CB3E59">
        <w:t xml:space="preserve"> 47 U.S.C. § 254(b)</w:t>
      </w:r>
      <w:r w:rsidRPr="00CB3E59">
        <w:rPr>
          <w:snapToGrid w:val="0"/>
        </w:rPr>
        <w:t xml:space="preserve">(6) </w:t>
      </w:r>
      <w:r w:rsidRPr="00CB3E59">
        <w:t>(“Elementary and secondary schools and classrooms, </w:t>
      </w:r>
      <w:hyperlink r:id="rId1" w:history="1">
        <w:r w:rsidRPr="00CB3E59">
          <w:t>health care providers</w:t>
        </w:r>
      </w:hyperlink>
      <w:r w:rsidRPr="00CB3E59">
        <w:t>, and libraries should have access to advanced</w:t>
      </w:r>
      <w:hyperlink r:id="rId2" w:history="1">
        <w:r w:rsidRPr="00CB3E59">
          <w:t> telecommunications services </w:t>
        </w:r>
      </w:hyperlink>
      <w:r w:rsidRPr="00CB3E59">
        <w:t xml:space="preserve">as described in subsection (h).”); </w:t>
      </w:r>
      <w:r w:rsidRPr="00CB3E59">
        <w:rPr>
          <w:i/>
          <w:iCs/>
        </w:rPr>
        <w:t xml:space="preserve"> Federal-State Joint Board on Universal Service</w:t>
      </w:r>
      <w:r w:rsidRPr="00CB3E59">
        <w:t xml:space="preserve">, CC Docket No. 96-45, Report and Order, 12 FCC </w:t>
      </w:r>
      <w:r w:rsidRPr="00CB3E59">
        <w:t>Rcd</w:t>
      </w:r>
      <w:r w:rsidRPr="00CB3E59">
        <w:t xml:space="preserve"> 8776, 8780, para. 1 (1997) (</w:t>
      </w:r>
      <w:r w:rsidRPr="00CB3E59">
        <w:rPr>
          <w:i/>
          <w:iCs/>
        </w:rPr>
        <w:t>First Report and Order</w:t>
      </w:r>
      <w:r w:rsidRPr="00CB3E59">
        <w:t>).</w:t>
      </w:r>
    </w:p>
  </w:footnote>
  <w:footnote w:id="5">
    <w:p w:rsidR="00EF25A4" w:rsidRPr="00CB3E59" w14:paraId="776F20F0" w14:textId="626789DA">
      <w:pPr>
        <w:pStyle w:val="FootnoteText"/>
      </w:pPr>
      <w:r w:rsidRPr="00CB3E59">
        <w:rPr>
          <w:rStyle w:val="FootnoteReference"/>
        </w:rPr>
        <w:footnoteRef/>
      </w:r>
      <w:r w:rsidRPr="00CB3E59">
        <w:t xml:space="preserve"> </w:t>
      </w:r>
      <w:r w:rsidRPr="00CB3E59" w:rsidR="00A766BF">
        <w:rPr>
          <w:i/>
          <w:iCs/>
        </w:rPr>
        <w:t>Schools and Libraries Universal Service Support Mechanism</w:t>
      </w:r>
      <w:r w:rsidRPr="00CB3E59" w:rsidR="00A766BF">
        <w:t>, CC Docket No. 02-6, Report and Order, FCC 22-8</w:t>
      </w:r>
      <w:r w:rsidRPr="00CB3E59" w:rsidR="00DC23A9">
        <w:t>, 2022 WL 287893</w:t>
      </w:r>
      <w:r w:rsidRPr="00CB3E59" w:rsidR="00A766BF">
        <w:t xml:space="preserve"> (Jan. 28, 2022) (</w:t>
      </w:r>
      <w:r w:rsidRPr="00CB3E59" w:rsidR="00A766BF">
        <w:rPr>
          <w:i/>
          <w:iCs/>
        </w:rPr>
        <w:t>Tribal Libraries Order</w:t>
      </w:r>
      <w:r w:rsidRPr="00CB3E59" w:rsidR="00A766BF">
        <w:t>).</w:t>
      </w:r>
    </w:p>
  </w:footnote>
  <w:footnote w:id="6">
    <w:p w:rsidR="00FC5553" w:rsidRPr="00CB3E59" w:rsidP="00FC5553" w14:paraId="2273A6E1" w14:textId="77777777">
      <w:pPr>
        <w:pStyle w:val="FootnoteText"/>
      </w:pPr>
      <w:r w:rsidRPr="00CB3E59">
        <w:rPr>
          <w:rStyle w:val="FootnoteReference"/>
        </w:rPr>
        <w:footnoteRef/>
      </w:r>
      <w:r w:rsidRPr="00CB3E59">
        <w:t xml:space="preserve"> 47 CFR §§ 54.501, 54.502.</w:t>
      </w:r>
    </w:p>
  </w:footnote>
  <w:footnote w:id="7">
    <w:p w:rsidR="00FC5553" w:rsidRPr="00CB3E59" w:rsidP="00FC5553" w14:paraId="49D5C7D3" w14:textId="77777777">
      <w:pPr>
        <w:pStyle w:val="FootnoteText"/>
      </w:pPr>
      <w:r w:rsidRPr="00CB3E59">
        <w:rPr>
          <w:rStyle w:val="FootnoteReference"/>
        </w:rPr>
        <w:footnoteRef/>
      </w:r>
      <w:r w:rsidRPr="00CB3E59">
        <w:t xml:space="preserve"> 47 CFR § 54.503.</w:t>
      </w:r>
    </w:p>
  </w:footnote>
  <w:footnote w:id="8">
    <w:p w:rsidR="00FC5553" w:rsidRPr="00CB3E59" w:rsidP="00FC5553" w14:paraId="295FCB6F" w14:textId="77777777">
      <w:pPr>
        <w:pStyle w:val="FootnoteText"/>
        <w:rPr>
          <w:b/>
        </w:rPr>
      </w:pPr>
      <w:r w:rsidRPr="00CB3E59">
        <w:rPr>
          <w:rStyle w:val="FootnoteReference"/>
        </w:rPr>
        <w:footnoteRef/>
      </w:r>
      <w:r w:rsidRPr="00CB3E59">
        <w:t xml:space="preserve"> 47 CFR § 54.503(c). </w:t>
      </w:r>
    </w:p>
  </w:footnote>
  <w:footnote w:id="9">
    <w:p w:rsidR="00FC5553" w:rsidRPr="00CB3E59" w:rsidP="00FC5553" w14:paraId="5B0C3CBC" w14:textId="77777777">
      <w:pPr>
        <w:pStyle w:val="FootnoteText"/>
        <w:rPr>
          <w:b/>
        </w:rPr>
      </w:pPr>
      <w:r w:rsidRPr="00CB3E59">
        <w:rPr>
          <w:rStyle w:val="FootnoteReference"/>
        </w:rPr>
        <w:footnoteRef/>
      </w:r>
      <w:r w:rsidRPr="00CB3E59">
        <w:t xml:space="preserve"> 47 CFR § 54.503(c)(4).</w:t>
      </w:r>
    </w:p>
  </w:footnote>
  <w:footnote w:id="10">
    <w:p w:rsidR="00FC5553" w:rsidRPr="00CB3E59" w:rsidP="00FC5553" w14:paraId="7F82E936" w14:textId="0C36A7FE">
      <w:pPr>
        <w:pStyle w:val="FootnoteText"/>
      </w:pPr>
      <w:r w:rsidRPr="00CB3E59">
        <w:rPr>
          <w:rStyle w:val="FootnoteReference"/>
        </w:rPr>
        <w:footnoteRef/>
      </w:r>
      <w:r w:rsidRPr="00CB3E59">
        <w:t xml:space="preserve"> </w:t>
      </w:r>
      <w:r w:rsidRPr="00F01B1D">
        <w:t>47 CFR §§ 54.504(a);</w:t>
      </w:r>
      <w:r w:rsidRPr="00F01B1D">
        <w:rPr>
          <w:i/>
        </w:rPr>
        <w:t xml:space="preserve"> </w:t>
      </w:r>
      <w:r w:rsidRPr="00F01B1D" w:rsidR="00D56186">
        <w:rPr>
          <w:iCs/>
        </w:rPr>
        <w:t xml:space="preserve">54.507(c); </w:t>
      </w:r>
      <w:r w:rsidRPr="00F01B1D">
        <w:rPr>
          <w:rStyle w:val="documentbody1"/>
          <w:rFonts w:ascii="Times New Roman" w:hAnsi="Times New Roman"/>
          <w:sz w:val="20"/>
          <w:szCs w:val="20"/>
        </w:rPr>
        <w:t xml:space="preserve">Schools and </w:t>
      </w:r>
      <w:r w:rsidRPr="00F01B1D">
        <w:t>Libraries</w:t>
      </w:r>
      <w:r w:rsidRPr="00F01B1D">
        <w:rPr>
          <w:rStyle w:val="documentbody1"/>
          <w:rFonts w:ascii="Times New Roman" w:hAnsi="Times New Roman"/>
          <w:sz w:val="20"/>
          <w:szCs w:val="20"/>
        </w:rPr>
        <w:t xml:space="preserve"> Universal Service, Services Ordered and Certification</w:t>
      </w:r>
      <w:r w:rsidRPr="00F01B1D">
        <w:t xml:space="preserve"> Form</w:t>
      </w:r>
      <w:r w:rsidRPr="00F01B1D">
        <w:rPr>
          <w:rStyle w:val="documentbody1"/>
          <w:rFonts w:ascii="Times New Roman" w:hAnsi="Times New Roman"/>
          <w:sz w:val="20"/>
          <w:szCs w:val="20"/>
        </w:rPr>
        <w:t>, OMB 3060-0806 (</w:t>
      </w:r>
      <w:r w:rsidRPr="00F01B1D" w:rsidR="00A766BF">
        <w:rPr>
          <w:rStyle w:val="documentbody1"/>
          <w:rFonts w:ascii="Times New Roman" w:hAnsi="Times New Roman"/>
          <w:sz w:val="20"/>
          <w:szCs w:val="20"/>
        </w:rPr>
        <w:t>Sept. 2021</w:t>
      </w:r>
      <w:r w:rsidRPr="00F01B1D">
        <w:rPr>
          <w:rStyle w:val="documentbody1"/>
          <w:rFonts w:ascii="Times New Roman" w:hAnsi="Times New Roman"/>
          <w:sz w:val="20"/>
          <w:szCs w:val="20"/>
        </w:rPr>
        <w:t>) (</w:t>
      </w:r>
      <w:r w:rsidRPr="00F01B1D">
        <w:t>FCC Form 471</w:t>
      </w:r>
      <w:r w:rsidRPr="00F01B1D">
        <w:rPr>
          <w:rStyle w:val="documentbody1"/>
          <w:rFonts w:ascii="Times New Roman" w:hAnsi="Times New Roman"/>
          <w:sz w:val="20"/>
          <w:szCs w:val="20"/>
        </w:rPr>
        <w:t xml:space="preserve">).  </w:t>
      </w:r>
      <w:r w:rsidRPr="00F01B1D">
        <w:t xml:space="preserve">  </w:t>
      </w:r>
    </w:p>
  </w:footnote>
  <w:footnote w:id="11">
    <w:p w:rsidR="004F39C9" w:rsidRPr="00CB3E59" w:rsidP="004F39C9" w14:paraId="494E9095" w14:textId="77777777">
      <w:pPr>
        <w:pStyle w:val="FootnoteText"/>
      </w:pPr>
      <w:r w:rsidRPr="00CB3E59">
        <w:rPr>
          <w:rStyle w:val="FootnoteReference"/>
        </w:rPr>
        <w:footnoteRef/>
      </w:r>
      <w:r w:rsidRPr="00CB3E59">
        <w:t xml:space="preserve"> </w:t>
      </w:r>
      <w:r w:rsidRPr="00CB3E59">
        <w:rPr>
          <w:i/>
        </w:rPr>
        <w:t>See, e.g</w:t>
      </w:r>
      <w:r w:rsidRPr="00CB3E59">
        <w:rPr>
          <w:iCs/>
        </w:rPr>
        <w:t>.,</w:t>
      </w:r>
      <w:r w:rsidRPr="00CB3E59">
        <w:rPr>
          <w:i/>
        </w:rPr>
        <w:t xml:space="preserve"> Requests for Waiver and Review of Decisions of the Universal Service Administrator by Academy of Math and Science et al.</w:t>
      </w:r>
      <w:r w:rsidRPr="00CB3E59">
        <w:rPr>
          <w:iCs/>
        </w:rPr>
        <w:t xml:space="preserve">; </w:t>
      </w:r>
      <w:r w:rsidRPr="00CB3E59">
        <w:rPr>
          <w:i/>
        </w:rPr>
        <w:t>Schools and Libraries Universal Service Support Mechanism,</w:t>
      </w:r>
      <w:r w:rsidRPr="00CB3E59">
        <w:t xml:space="preserve"> CC Docket No. 02-6, Order, 25 FCC </w:t>
      </w:r>
      <w:r w:rsidRPr="00CB3E59">
        <w:t>Rcd</w:t>
      </w:r>
      <w:r w:rsidRPr="00CB3E59">
        <w:t xml:space="preserve"> 9256, 9259-60, paras. 7-9 (2010) (</w:t>
      </w:r>
      <w:r w:rsidRPr="00CB3E59">
        <w:rPr>
          <w:i/>
          <w:iCs/>
        </w:rPr>
        <w:t>Academy of Math and Science Order</w:t>
      </w:r>
      <w:r w:rsidRPr="00CB3E59">
        <w:t xml:space="preserve">).  </w:t>
      </w:r>
    </w:p>
  </w:footnote>
  <w:footnote w:id="12">
    <w:p w:rsidR="004F39C9" w:rsidRPr="00CB3E59" w:rsidP="004F39C9" w14:paraId="660D81DD" w14:textId="77777777">
      <w:pPr>
        <w:pStyle w:val="FootnoteText"/>
        <w:rPr>
          <w:iCs/>
        </w:rPr>
      </w:pPr>
      <w:r w:rsidRPr="00CB3E59">
        <w:rPr>
          <w:rStyle w:val="FootnoteReference"/>
        </w:rPr>
        <w:footnoteRef/>
      </w:r>
      <w:r w:rsidRPr="00CB3E59">
        <w:t xml:space="preserve"> </w:t>
      </w:r>
      <w:r w:rsidRPr="00CB3E59">
        <w:rPr>
          <w:i/>
          <w:iCs/>
        </w:rPr>
        <w:t>See, e.g.</w:t>
      </w:r>
      <w:r w:rsidRPr="00CB3E59">
        <w:t xml:space="preserve">, </w:t>
      </w:r>
      <w:r w:rsidRPr="00CB3E59">
        <w:rPr>
          <w:i/>
          <w:iCs/>
        </w:rPr>
        <w:t>id.</w:t>
      </w:r>
    </w:p>
  </w:footnote>
  <w:footnote w:id="13">
    <w:p w:rsidR="004F39C9" w:rsidRPr="00CB3E59" w:rsidP="004F39C9" w14:paraId="2F3BDE0B" w14:textId="2DE9D1B3">
      <w:pPr>
        <w:pStyle w:val="FootnoteText"/>
      </w:pPr>
      <w:r w:rsidRPr="00CB3E59">
        <w:rPr>
          <w:rStyle w:val="FootnoteReference"/>
        </w:rPr>
        <w:footnoteRef/>
      </w:r>
      <w:r w:rsidRPr="00CB3E59">
        <w:t xml:space="preserve"> </w:t>
      </w:r>
      <w:r w:rsidRPr="00CB3E59">
        <w:rPr>
          <w:i/>
          <w:iCs/>
        </w:rPr>
        <w:t>See, e.g.</w:t>
      </w:r>
      <w:r w:rsidRPr="00CB3E59">
        <w:t>,</w:t>
      </w:r>
      <w:r w:rsidRPr="00CB3E59">
        <w:rPr>
          <w:i/>
          <w:iCs/>
        </w:rPr>
        <w:t xml:space="preserve"> Requests for Waiver and Review of Decisions of the Universal Service Administrator by Abbotsford School District et al.</w:t>
      </w:r>
      <w:r w:rsidRPr="00CB3E59">
        <w:t xml:space="preserve">; </w:t>
      </w:r>
      <w:r w:rsidRPr="00CB3E59">
        <w:rPr>
          <w:i/>
          <w:iCs/>
        </w:rPr>
        <w:t>Schools and Libraries Universal Service Support Mechanism</w:t>
      </w:r>
      <w:r w:rsidRPr="00CB3E59">
        <w:t xml:space="preserve">, CC Docket No. 02-6, Order, 27 FCC </w:t>
      </w:r>
      <w:r w:rsidRPr="00CB3E59">
        <w:t>Rcd</w:t>
      </w:r>
      <w:r w:rsidRPr="00CB3E59">
        <w:t xml:space="preserve"> 15299, 15300, para. 2 (WCB 2012).  </w:t>
      </w:r>
    </w:p>
  </w:footnote>
  <w:footnote w:id="14">
    <w:p w:rsidR="004F39C9" w:rsidRPr="00CB3E59" w:rsidP="004F39C9" w14:paraId="32B2AD5B" w14:textId="4D8F6057">
      <w:pPr>
        <w:pStyle w:val="FootnoteText"/>
      </w:pPr>
      <w:r w:rsidRPr="00CB3E59">
        <w:rPr>
          <w:rStyle w:val="FootnoteReference"/>
        </w:rPr>
        <w:footnoteRef/>
      </w:r>
      <w:r w:rsidRPr="00CB3E59">
        <w:t xml:space="preserve"> </w:t>
      </w:r>
      <w:r w:rsidRPr="00CB3E59">
        <w:rPr>
          <w:i/>
          <w:iCs/>
        </w:rPr>
        <w:t>See, e.g</w:t>
      </w:r>
      <w:r w:rsidRPr="00CB3E59">
        <w:t xml:space="preserve">., </w:t>
      </w:r>
      <w:r w:rsidRPr="00CB3E59" w:rsidR="00DC23A9">
        <w:rPr>
          <w:i/>
          <w:iCs/>
        </w:rPr>
        <w:t>See Requests for Waiver and Review of Decisions of the Universal Service Administrator by Agri-Business Child Development et al.</w:t>
      </w:r>
      <w:r w:rsidRPr="00CB3E59" w:rsidR="00DC23A9">
        <w:t>;</w:t>
      </w:r>
      <w:r w:rsidRPr="00CB3E59" w:rsidR="00DC23A9">
        <w:rPr>
          <w:i/>
          <w:iCs/>
        </w:rPr>
        <w:t xml:space="preserve"> Schools and Libraries Universal Service Support Mechanism</w:t>
      </w:r>
      <w:r w:rsidRPr="00CB3E59" w:rsidR="00DC23A9">
        <w:t xml:space="preserve">, CC Docket No. 02-6, Order, 35 FCC </w:t>
      </w:r>
      <w:r w:rsidRPr="00CB3E59" w:rsidR="00DC23A9">
        <w:t>Rcd</w:t>
      </w:r>
      <w:r w:rsidRPr="00CB3E59" w:rsidR="00DC23A9">
        <w:t xml:space="preserve"> 8278, 8280, para. 7 (WCB 2020) (</w:t>
      </w:r>
      <w:r w:rsidRPr="00CB3E59" w:rsidR="00DC23A9">
        <w:rPr>
          <w:i/>
          <w:iCs/>
        </w:rPr>
        <w:t>Agri-Business Child Development Order</w:t>
      </w:r>
      <w:r w:rsidRPr="00CB3E59" w:rsidR="00DC23A9">
        <w:t>).</w:t>
      </w:r>
    </w:p>
  </w:footnote>
  <w:footnote w:id="15">
    <w:p w:rsidR="008A0B19" w:rsidRPr="00CB3E59" w14:paraId="665266A9" w14:textId="4D6816BE">
      <w:pPr>
        <w:pStyle w:val="FootnoteText"/>
      </w:pPr>
      <w:r w:rsidRPr="00CB3E59">
        <w:rPr>
          <w:rStyle w:val="FootnoteReference"/>
        </w:rPr>
        <w:footnoteRef/>
      </w:r>
      <w:r w:rsidRPr="00CB3E59">
        <w:t xml:space="preserve"> </w:t>
      </w:r>
      <w:r w:rsidRPr="00CB3E59" w:rsidR="00DC23A9">
        <w:rPr>
          <w:i/>
          <w:iCs/>
        </w:rPr>
        <w:t xml:space="preserve">See </w:t>
      </w:r>
      <w:r w:rsidRPr="00CB3E59" w:rsidR="00DC23A9">
        <w:t xml:space="preserve">Schools and Libraries </w:t>
      </w:r>
      <w:r w:rsidRPr="00CB3E59" w:rsidR="00927ACC">
        <w:t xml:space="preserve">Special Edition </w:t>
      </w:r>
      <w:r w:rsidRPr="00CB3E59" w:rsidR="004436AC">
        <w:t>News Brief,</w:t>
      </w:r>
      <w:r w:rsidRPr="00CB3E59" w:rsidR="00DC23A9">
        <w:t xml:space="preserve"> </w:t>
      </w:r>
      <w:r w:rsidRPr="00CB3E59" w:rsidR="00DC23A9">
        <w:rPr>
          <w:i/>
          <w:iCs/>
        </w:rPr>
        <w:t>The FY2022 FCC Form 471 Filing Window is Now Open</w:t>
      </w:r>
      <w:r w:rsidRPr="00CB3E59" w:rsidR="00DC23A9">
        <w:t xml:space="preserve">, </w:t>
      </w:r>
      <w:r w:rsidRPr="00CB3E59" w:rsidR="00927ACC">
        <w:t xml:space="preserve"> </w:t>
      </w:r>
      <w:r w:rsidRPr="00CB3E59" w:rsidR="00DC23A9">
        <w:t xml:space="preserve">(dated </w:t>
      </w:r>
      <w:r w:rsidRPr="00CB3E59" w:rsidR="00927ACC">
        <w:t>Jan. 12, 2022</w:t>
      </w:r>
      <w:r w:rsidRPr="00CB3E59" w:rsidR="00DC23A9">
        <w:t>)</w:t>
      </w:r>
      <w:r w:rsidRPr="00CB3E59" w:rsidR="00927ACC">
        <w:t xml:space="preserve">, </w:t>
      </w:r>
      <w:hyperlink r:id="rId3" w:history="1">
        <w:r w:rsidRPr="00CB3E59" w:rsidR="00927ACC">
          <w:rPr>
            <w:rStyle w:val="Hyperlink"/>
            <w:color w:val="auto"/>
          </w:rPr>
          <w:t>https://apps.usac.org/sl/tools/news-briefs/preview.aspx?id=1030</w:t>
        </w:r>
      </w:hyperlink>
      <w:r w:rsidRPr="00CB3E59" w:rsidR="00927ACC">
        <w:t xml:space="preserve"> </w:t>
      </w:r>
    </w:p>
  </w:footnote>
  <w:footnote w:id="16">
    <w:p w:rsidR="00927ACC" w:rsidRPr="00CB3E59" w14:paraId="1D6BF70C" w14:textId="39544F68">
      <w:pPr>
        <w:pStyle w:val="FootnoteText"/>
      </w:pPr>
      <w:r w:rsidRPr="00CB3E59">
        <w:rPr>
          <w:rStyle w:val="FootnoteReference"/>
        </w:rPr>
        <w:footnoteRef/>
      </w:r>
      <w:r w:rsidRPr="00CB3E59">
        <w:t xml:space="preserve"> 47 CFR § 54.507(b).</w:t>
      </w:r>
    </w:p>
  </w:footnote>
  <w:footnote w:id="17">
    <w:p w:rsidR="00927ACC" w:rsidRPr="00CB3E59" w:rsidP="00927ACC" w14:paraId="1F947BB7" w14:textId="77777777">
      <w:pPr>
        <w:pStyle w:val="FootnoteText"/>
      </w:pPr>
      <w:r w:rsidRPr="00CB3E59">
        <w:rPr>
          <w:rStyle w:val="FootnoteReference"/>
        </w:rPr>
        <w:footnoteRef/>
      </w:r>
      <w:r w:rsidRPr="00CB3E59">
        <w:t xml:space="preserve"> 47 CFR § 54.503(c)(4).</w:t>
      </w:r>
    </w:p>
  </w:footnote>
  <w:footnote w:id="18">
    <w:p w:rsidR="00DC23A9" w:rsidRPr="00CB3E59" w14:paraId="2A9660F9" w14:textId="29AADC90">
      <w:pPr>
        <w:pStyle w:val="FootnoteText"/>
      </w:pPr>
      <w:r w:rsidRPr="00CB3E59">
        <w:rPr>
          <w:rStyle w:val="FootnoteReference"/>
        </w:rPr>
        <w:footnoteRef/>
      </w:r>
      <w:r w:rsidRPr="00CB3E59">
        <w:t xml:space="preserve"> </w:t>
      </w:r>
      <w:r w:rsidRPr="00CB3E59">
        <w:rPr>
          <w:i/>
          <w:iCs/>
        </w:rPr>
        <w:t>Tribal Libraries Order</w:t>
      </w:r>
      <w:r w:rsidR="00757675">
        <w:rPr>
          <w:i/>
          <w:iCs/>
        </w:rPr>
        <w:t>,</w:t>
      </w:r>
      <w:r w:rsidRPr="00CB3E59">
        <w:rPr>
          <w:i/>
          <w:iCs/>
        </w:rPr>
        <w:t xml:space="preserve"> </w:t>
      </w:r>
      <w:r w:rsidRPr="00CB3E59" w:rsidR="00757675">
        <w:t xml:space="preserve">2022 WL 287893 </w:t>
      </w:r>
      <w:r w:rsidRPr="00CB3E59">
        <w:t>at *2.</w:t>
      </w:r>
    </w:p>
  </w:footnote>
  <w:footnote w:id="19">
    <w:p w:rsidR="00927ACC" w:rsidRPr="00CB3E59" w:rsidP="00927ACC" w14:paraId="3BC61432" w14:textId="3BD09CB3">
      <w:pPr>
        <w:pStyle w:val="FootnoteText"/>
      </w:pPr>
      <w:r w:rsidRPr="00CB3E59">
        <w:rPr>
          <w:rStyle w:val="FootnoteReference"/>
        </w:rPr>
        <w:footnoteRef/>
      </w:r>
      <w:r w:rsidRPr="00CB3E59">
        <w:t xml:space="preserve"> </w:t>
      </w:r>
      <w:r w:rsidRPr="00CB3E59" w:rsidR="00DC23A9">
        <w:rPr>
          <w:i/>
          <w:iCs/>
        </w:rPr>
        <w:t>Id.</w:t>
      </w:r>
      <w:r w:rsidRPr="00CB3E59" w:rsidR="00757675">
        <w:t xml:space="preserve"> </w:t>
      </w:r>
      <w:r w:rsidRPr="00CB3E59" w:rsidR="00DC23A9">
        <w:t>at *4.</w:t>
      </w:r>
    </w:p>
  </w:footnote>
  <w:footnote w:id="20">
    <w:p w:rsidR="0078079D" w:rsidRPr="00CB3E59" w14:paraId="5871699D" w14:textId="613E85BD">
      <w:pPr>
        <w:pStyle w:val="FootnoteText"/>
      </w:pPr>
      <w:r w:rsidRPr="00CB3E59">
        <w:rPr>
          <w:rStyle w:val="FootnoteReference"/>
        </w:rPr>
        <w:footnoteRef/>
      </w:r>
      <w:r w:rsidRPr="00CB3E59">
        <w:t xml:space="preserve"> </w:t>
      </w:r>
      <w:r w:rsidRPr="00CB3E59" w:rsidR="00C900CA">
        <w:t>Request</w:t>
      </w:r>
      <w:r w:rsidRPr="00CB3E59" w:rsidR="00DC23A9">
        <w:t xml:space="preserve"> for Waiver of </w:t>
      </w:r>
      <w:r w:rsidRPr="00CB3E59" w:rsidR="00C900CA">
        <w:t>the Alaska Federation of Natives, CC Docket No. 02-6 (filed Feb. 18, 2022).</w:t>
      </w:r>
    </w:p>
  </w:footnote>
  <w:footnote w:id="21">
    <w:p w:rsidR="002D16C7" w:rsidRPr="00CB3E59" w14:paraId="48750EED" w14:textId="43DA4087">
      <w:pPr>
        <w:pStyle w:val="FootnoteText"/>
      </w:pPr>
      <w:r w:rsidRPr="00CB3E59">
        <w:rPr>
          <w:rStyle w:val="FootnoteReference"/>
        </w:rPr>
        <w:footnoteRef/>
      </w:r>
      <w:r w:rsidRPr="00CB3E59">
        <w:t xml:space="preserve"> </w:t>
      </w:r>
      <w:r w:rsidRPr="00CB3E59" w:rsidR="00C900CA">
        <w:t>Request</w:t>
      </w:r>
      <w:r w:rsidRPr="00CB3E59">
        <w:t xml:space="preserve"> for Waiver at 2.</w:t>
      </w:r>
    </w:p>
  </w:footnote>
  <w:footnote w:id="22">
    <w:p w:rsidR="002630A3" w:rsidRPr="00CB3E59" w:rsidP="002630A3" w14:paraId="01948693" w14:textId="77777777">
      <w:pPr>
        <w:pStyle w:val="FootnoteText"/>
      </w:pPr>
      <w:r w:rsidRPr="00CB3E59">
        <w:rPr>
          <w:rStyle w:val="FootnoteReference"/>
        </w:rPr>
        <w:footnoteRef/>
      </w:r>
      <w:r w:rsidRPr="00CB3E59">
        <w:t xml:space="preserve"> 47 CFR § 1.3.  </w:t>
      </w:r>
    </w:p>
  </w:footnote>
  <w:footnote w:id="23">
    <w:p w:rsidR="002630A3" w:rsidRPr="00CB3E59" w:rsidP="002630A3" w14:paraId="39FB62E2" w14:textId="77777777">
      <w:pPr>
        <w:pStyle w:val="FootnoteText"/>
      </w:pPr>
      <w:r w:rsidRPr="00CB3E59">
        <w:rPr>
          <w:rStyle w:val="FootnoteReference"/>
        </w:rPr>
        <w:footnoteRef/>
      </w:r>
      <w:r w:rsidRPr="00CB3E59">
        <w:t xml:space="preserve"> </w:t>
      </w:r>
      <w:r w:rsidRPr="00CB3E59">
        <w:rPr>
          <w:i/>
        </w:rPr>
        <w:t>Northeast Cellular Telephone Co. v. FCC</w:t>
      </w:r>
      <w:r w:rsidRPr="00CB3E59">
        <w:t xml:space="preserve">, 897 F.2d 1164, 1166 (D.C. Cir. 1990).  </w:t>
      </w:r>
    </w:p>
  </w:footnote>
  <w:footnote w:id="24">
    <w:p w:rsidR="002630A3" w:rsidRPr="00CB3E59" w:rsidP="002630A3" w14:paraId="7C0D5BC1" w14:textId="77777777">
      <w:pPr>
        <w:spacing w:after="120"/>
        <w:rPr>
          <w:sz w:val="20"/>
        </w:rPr>
      </w:pPr>
      <w:r w:rsidRPr="00CB3E59">
        <w:rPr>
          <w:rStyle w:val="FootnoteReference"/>
        </w:rPr>
        <w:footnoteRef/>
      </w:r>
      <w:r w:rsidRPr="00CB3E59">
        <w:rPr>
          <w:sz w:val="20"/>
        </w:rPr>
        <w:t xml:space="preserve"> </w:t>
      </w:r>
      <w:r w:rsidRPr="00CB3E59">
        <w:rPr>
          <w:rStyle w:val="FootnoteTextChar"/>
          <w:i/>
          <w:iCs/>
          <w:sz w:val="20"/>
        </w:rPr>
        <w:t>WAIT Radio v. FCC</w:t>
      </w:r>
      <w:r w:rsidRPr="00CB3E59">
        <w:rPr>
          <w:rStyle w:val="FootnoteTextChar"/>
          <w:sz w:val="20"/>
        </w:rPr>
        <w:t xml:space="preserve">, 418 F.2d 1153, 1159 (D.C. Cir. 1969); </w:t>
      </w:r>
      <w:r w:rsidRPr="00CB3E59">
        <w:rPr>
          <w:rStyle w:val="FootnoteTextChar"/>
          <w:i/>
          <w:iCs/>
          <w:sz w:val="20"/>
        </w:rPr>
        <w:t>Northeast Cellular</w:t>
      </w:r>
      <w:r w:rsidRPr="00CB3E59">
        <w:rPr>
          <w:rStyle w:val="FootnoteTextChar"/>
          <w:sz w:val="20"/>
        </w:rPr>
        <w:t>, 897 F.2d at 1166.</w:t>
      </w:r>
    </w:p>
  </w:footnote>
  <w:footnote w:id="25">
    <w:p w:rsidR="00502914" w:rsidRPr="00CB3E59" w:rsidP="00502914" w14:paraId="1EA88273" w14:textId="77777777">
      <w:pPr>
        <w:pStyle w:val="FootnoteText"/>
      </w:pPr>
      <w:r w:rsidRPr="00CB3E59">
        <w:rPr>
          <w:rStyle w:val="FootnoteReference"/>
        </w:rPr>
        <w:footnoteRef/>
      </w:r>
      <w:r w:rsidRPr="00CB3E59">
        <w:t xml:space="preserve"> 47 CFR § 54.503(c)(4).</w:t>
      </w:r>
    </w:p>
  </w:footnote>
  <w:footnote w:id="26">
    <w:p w:rsidR="007875E4" w:rsidRPr="00CB3E59" w14:paraId="5F0AB5A0" w14:textId="41EFC5AF">
      <w:pPr>
        <w:pStyle w:val="FootnoteText"/>
      </w:pPr>
      <w:r w:rsidRPr="00CB3E59">
        <w:rPr>
          <w:rStyle w:val="FootnoteReference"/>
        </w:rPr>
        <w:footnoteRef/>
      </w:r>
      <w:r w:rsidRPr="00CB3E59">
        <w:t xml:space="preserve"> </w:t>
      </w:r>
      <w:r w:rsidRPr="00CB3E59" w:rsidR="00C900CA">
        <w:t>Request</w:t>
      </w:r>
      <w:r w:rsidRPr="00CB3E59" w:rsidR="00EC0A01">
        <w:t xml:space="preserve"> for Waiver at 2.</w:t>
      </w:r>
    </w:p>
  </w:footnote>
  <w:footnote w:id="27">
    <w:p w:rsidR="00EC0A01" w:rsidRPr="00CB3E59" w14:paraId="177AA4CA" w14:textId="06B052AA">
      <w:pPr>
        <w:pStyle w:val="FootnoteText"/>
      </w:pPr>
      <w:r w:rsidRPr="00CB3E59">
        <w:rPr>
          <w:rStyle w:val="FootnoteReference"/>
        </w:rPr>
        <w:footnoteRef/>
      </w:r>
      <w:r w:rsidRPr="00CB3E59">
        <w:t xml:space="preserve"> </w:t>
      </w:r>
      <w:r w:rsidRPr="00CB3E59">
        <w:rPr>
          <w:i/>
          <w:iCs/>
        </w:rPr>
        <w:t>See Wireline Competition Bureau Directs USAC to Fully Fund Eligible Category One and Category Two E-Rate Request</w:t>
      </w:r>
      <w:r w:rsidRPr="00CB3E59" w:rsidR="00EF25A4">
        <w:rPr>
          <w:i/>
          <w:iCs/>
        </w:rPr>
        <w:t>s</w:t>
      </w:r>
      <w:r w:rsidRPr="00CB3E59">
        <w:t>,</w:t>
      </w:r>
      <w:r w:rsidRPr="00CB3E59" w:rsidR="00EF25A4">
        <w:t xml:space="preserve"> CC Docket No. 02-6, </w:t>
      </w:r>
      <w:r w:rsidRPr="00CB3E59" w:rsidR="00C900CA">
        <w:t xml:space="preserve">Public Notice </w:t>
      </w:r>
      <w:r w:rsidRPr="00CB3E59" w:rsidR="00EF25A4">
        <w:t>DA 21-1063</w:t>
      </w:r>
      <w:r w:rsidRPr="00CB3E59" w:rsidR="00C900CA">
        <w:t>, 2021 WL 3863426</w:t>
      </w:r>
      <w:r w:rsidRPr="00CB3E59" w:rsidR="00EF25A4">
        <w:t xml:space="preserve"> (</w:t>
      </w:r>
      <w:r w:rsidRPr="00CB3E59" w:rsidR="00C900CA">
        <w:t xml:space="preserve">WCB </w:t>
      </w:r>
      <w:r w:rsidRPr="00CB3E59" w:rsidR="00EF25A4">
        <w:t>Aug. 27, 2021)</w:t>
      </w:r>
      <w:r w:rsidRPr="00CB3E59">
        <w:t xml:space="preserve"> </w:t>
      </w:r>
      <w:r w:rsidRPr="00CB3E59" w:rsidR="00EF25A4">
        <w:t>(finding sufficient funding under the $4.27 billion cap in funding year 2021 to fund the $3.03 billion in total E-Rate program demand).</w:t>
      </w:r>
    </w:p>
  </w:footnote>
  <w:footnote w:id="28">
    <w:p w:rsidR="00564788" w14:paraId="52BDA528" w14:textId="18F994BB">
      <w:pPr>
        <w:pStyle w:val="FootnoteText"/>
      </w:pPr>
      <w:r>
        <w:rPr>
          <w:rStyle w:val="FootnoteReference"/>
        </w:rPr>
        <w:footnoteRef/>
      </w:r>
      <w:r>
        <w:t xml:space="preserve"> </w:t>
      </w:r>
      <w:r w:rsidRPr="0058387D" w:rsidR="009C1037">
        <w:rPr>
          <w:i/>
          <w:iCs/>
        </w:rPr>
        <w:t>Tribal Library Order</w:t>
      </w:r>
      <w:r w:rsidR="00033589">
        <w:rPr>
          <w:i/>
          <w:iCs/>
        </w:rPr>
        <w:t>,</w:t>
      </w:r>
      <w:r w:rsidR="009C1037">
        <w:t xml:space="preserve"> </w:t>
      </w:r>
      <w:r w:rsidRPr="00CB3E59" w:rsidR="00033589">
        <w:t>2022 WL 287893</w:t>
      </w:r>
      <w:r w:rsidR="00033589">
        <w:t>,</w:t>
      </w:r>
      <w:r w:rsidRPr="00CB3E59" w:rsidR="00033589">
        <w:t xml:space="preserve"> </w:t>
      </w:r>
      <w:r w:rsidR="009C1037">
        <w:t>at *4.</w:t>
      </w:r>
    </w:p>
  </w:footnote>
  <w:footnote w:id="29">
    <w:p w:rsidR="0020473A" w:rsidRPr="00CB3E59" w14:paraId="7A9AC554" w14:textId="6A36E7C3">
      <w:pPr>
        <w:pStyle w:val="FootnoteText"/>
      </w:pPr>
      <w:r w:rsidRPr="00CB3E59">
        <w:rPr>
          <w:rStyle w:val="FootnoteReference"/>
        </w:rPr>
        <w:footnoteRef/>
      </w:r>
      <w:r w:rsidRPr="00CB3E59">
        <w:t xml:space="preserve"> </w:t>
      </w:r>
      <w:r w:rsidRPr="00CB3E59" w:rsidR="00906ACE">
        <w:t>While some Tribal libraries may have filed applications early in the E-Rate program, any Tribal library that</w:t>
      </w:r>
      <w:r w:rsidRPr="00CB3E59" w:rsidR="00072024">
        <w:t xml:space="preserve"> has not applied since funding year 2016 </w:t>
      </w:r>
      <w:r w:rsidRPr="00CB3E59" w:rsidR="00C900CA">
        <w:t>should</w:t>
      </w:r>
      <w:r w:rsidRPr="00CB3E59" w:rsidR="00072024">
        <w:t xml:space="preserve"> be treated as a new Tribal library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BFC523C" w14:textId="6A681C13">
    <w:pPr>
      <w:pStyle w:val="Header"/>
      <w:rPr>
        <w:b w:val="0"/>
      </w:rPr>
    </w:pPr>
    <w:r>
      <w:tab/>
      <w:t>Federal Communications Commission</w:t>
    </w:r>
    <w:r>
      <w:tab/>
    </w:r>
    <w:r w:rsidR="000E3225">
      <w:t>DA 22-</w:t>
    </w:r>
    <w:r w:rsidR="00616AE2">
      <w:t>231</w:t>
    </w:r>
  </w:p>
  <w:p w:rsidR="00D25FB5" w14:paraId="19EBD018" w14:textId="104B9258">
    <w:pPr>
      <w:tabs>
        <w:tab w:val="left" w:pos="-720"/>
      </w:tabs>
      <w:suppressAutoHyphens/>
      <w:spacing w:line="19" w:lineRule="exact"/>
      <w:rPr>
        <w:spacing w:val="-2"/>
      </w:rPr>
    </w:pPr>
    <w:r>
      <w:rPr>
        <w:noProof/>
      </w:rPr>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p>
  <w:p w:rsidR="00D25FB5" w14:paraId="069AEBC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203FCDF" w14:textId="6BB22EA3">
    <w:pPr>
      <w:pStyle w:val="Header"/>
      <w:rPr>
        <w:b w:val="0"/>
      </w:rPr>
    </w:pPr>
    <w:r>
      <w:rPr>
        <w:noProof/>
      </w:rPr>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r>
    <w:r w:rsidR="000B0EB0">
      <w:rPr>
        <w:spacing w:val="-2"/>
      </w:rPr>
      <w:t>DA 22-</w:t>
    </w:r>
    <w:r w:rsidR="00616AE2">
      <w:rPr>
        <w:spacing w:val="-2"/>
      </w:rPr>
      <w:t>231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602"/>
    <w:rsid w:val="00020E4C"/>
    <w:rsid w:val="00021ED0"/>
    <w:rsid w:val="00033589"/>
    <w:rsid w:val="00034FA7"/>
    <w:rsid w:val="00036039"/>
    <w:rsid w:val="00037F90"/>
    <w:rsid w:val="00044919"/>
    <w:rsid w:val="00045057"/>
    <w:rsid w:val="00062F4D"/>
    <w:rsid w:val="0006618F"/>
    <w:rsid w:val="00072024"/>
    <w:rsid w:val="000875BF"/>
    <w:rsid w:val="0009040F"/>
    <w:rsid w:val="00096191"/>
    <w:rsid w:val="000962CB"/>
    <w:rsid w:val="00096D8C"/>
    <w:rsid w:val="000A0C0A"/>
    <w:rsid w:val="000B0EB0"/>
    <w:rsid w:val="000C0B65"/>
    <w:rsid w:val="000C0C1B"/>
    <w:rsid w:val="000D1440"/>
    <w:rsid w:val="000D6825"/>
    <w:rsid w:val="000E05FE"/>
    <w:rsid w:val="000E0DC3"/>
    <w:rsid w:val="000E3225"/>
    <w:rsid w:val="000E3D24"/>
    <w:rsid w:val="000E3D42"/>
    <w:rsid w:val="000F0C31"/>
    <w:rsid w:val="000F75D4"/>
    <w:rsid w:val="00112311"/>
    <w:rsid w:val="00120F64"/>
    <w:rsid w:val="00122BD5"/>
    <w:rsid w:val="00130C34"/>
    <w:rsid w:val="001326FF"/>
    <w:rsid w:val="00133DF3"/>
    <w:rsid w:val="00133F79"/>
    <w:rsid w:val="00135743"/>
    <w:rsid w:val="00135C85"/>
    <w:rsid w:val="00140F55"/>
    <w:rsid w:val="00156114"/>
    <w:rsid w:val="00182310"/>
    <w:rsid w:val="00184D02"/>
    <w:rsid w:val="00194A66"/>
    <w:rsid w:val="001C419C"/>
    <w:rsid w:val="001D6BCF"/>
    <w:rsid w:val="001E01CA"/>
    <w:rsid w:val="001E2E99"/>
    <w:rsid w:val="001F021A"/>
    <w:rsid w:val="001F14A9"/>
    <w:rsid w:val="001F5025"/>
    <w:rsid w:val="001F626C"/>
    <w:rsid w:val="0020473A"/>
    <w:rsid w:val="002201D6"/>
    <w:rsid w:val="00230708"/>
    <w:rsid w:val="00232991"/>
    <w:rsid w:val="00234D3C"/>
    <w:rsid w:val="002353B5"/>
    <w:rsid w:val="00240DDA"/>
    <w:rsid w:val="002630A3"/>
    <w:rsid w:val="00275CF5"/>
    <w:rsid w:val="0028301F"/>
    <w:rsid w:val="0028450C"/>
    <w:rsid w:val="00285017"/>
    <w:rsid w:val="002A09B5"/>
    <w:rsid w:val="002A2D2E"/>
    <w:rsid w:val="002B1FEF"/>
    <w:rsid w:val="002C00E8"/>
    <w:rsid w:val="002C4602"/>
    <w:rsid w:val="002D16C7"/>
    <w:rsid w:val="002D4BD5"/>
    <w:rsid w:val="002D5C59"/>
    <w:rsid w:val="002E13B2"/>
    <w:rsid w:val="00301C94"/>
    <w:rsid w:val="003079E7"/>
    <w:rsid w:val="00335A3B"/>
    <w:rsid w:val="00343749"/>
    <w:rsid w:val="003465C1"/>
    <w:rsid w:val="003660ED"/>
    <w:rsid w:val="00372C25"/>
    <w:rsid w:val="003760D3"/>
    <w:rsid w:val="00377BB7"/>
    <w:rsid w:val="00383FC8"/>
    <w:rsid w:val="003875D5"/>
    <w:rsid w:val="003A09DB"/>
    <w:rsid w:val="003B0550"/>
    <w:rsid w:val="003B0C26"/>
    <w:rsid w:val="003B694F"/>
    <w:rsid w:val="003C293B"/>
    <w:rsid w:val="003C5431"/>
    <w:rsid w:val="003E0BF0"/>
    <w:rsid w:val="003F0D05"/>
    <w:rsid w:val="003F171C"/>
    <w:rsid w:val="00412FC5"/>
    <w:rsid w:val="0042194A"/>
    <w:rsid w:val="00422276"/>
    <w:rsid w:val="0042324C"/>
    <w:rsid w:val="004242F1"/>
    <w:rsid w:val="00434DA2"/>
    <w:rsid w:val="004436AC"/>
    <w:rsid w:val="00445A00"/>
    <w:rsid w:val="00451B0F"/>
    <w:rsid w:val="00463088"/>
    <w:rsid w:val="00467F0B"/>
    <w:rsid w:val="0047563C"/>
    <w:rsid w:val="0048276D"/>
    <w:rsid w:val="00490B76"/>
    <w:rsid w:val="004A0AD0"/>
    <w:rsid w:val="004A429A"/>
    <w:rsid w:val="004C2EE3"/>
    <w:rsid w:val="004C402A"/>
    <w:rsid w:val="004E3083"/>
    <w:rsid w:val="004E4A22"/>
    <w:rsid w:val="004F39C9"/>
    <w:rsid w:val="00502914"/>
    <w:rsid w:val="00511968"/>
    <w:rsid w:val="005163E0"/>
    <w:rsid w:val="00520B7A"/>
    <w:rsid w:val="00531DC9"/>
    <w:rsid w:val="0054217E"/>
    <w:rsid w:val="00544F4B"/>
    <w:rsid w:val="005522CB"/>
    <w:rsid w:val="0055458A"/>
    <w:rsid w:val="0055614C"/>
    <w:rsid w:val="00561895"/>
    <w:rsid w:val="00564788"/>
    <w:rsid w:val="00566D06"/>
    <w:rsid w:val="0058387D"/>
    <w:rsid w:val="00593208"/>
    <w:rsid w:val="005A4DB5"/>
    <w:rsid w:val="005E14C2"/>
    <w:rsid w:val="005F49E1"/>
    <w:rsid w:val="005F7589"/>
    <w:rsid w:val="00607B95"/>
    <w:rsid w:val="00607BA5"/>
    <w:rsid w:val="0061180A"/>
    <w:rsid w:val="00616AE2"/>
    <w:rsid w:val="00617E8C"/>
    <w:rsid w:val="00621E61"/>
    <w:rsid w:val="00622863"/>
    <w:rsid w:val="00625B48"/>
    <w:rsid w:val="00626EB6"/>
    <w:rsid w:val="00637ECD"/>
    <w:rsid w:val="00650557"/>
    <w:rsid w:val="00655D03"/>
    <w:rsid w:val="006734D6"/>
    <w:rsid w:val="00683388"/>
    <w:rsid w:val="00683B09"/>
    <w:rsid w:val="00683F84"/>
    <w:rsid w:val="006908FC"/>
    <w:rsid w:val="006A6A81"/>
    <w:rsid w:val="006E3B2B"/>
    <w:rsid w:val="006E5985"/>
    <w:rsid w:val="006F7393"/>
    <w:rsid w:val="0070224F"/>
    <w:rsid w:val="007115F7"/>
    <w:rsid w:val="007276FC"/>
    <w:rsid w:val="007310E9"/>
    <w:rsid w:val="007348F1"/>
    <w:rsid w:val="00747AA3"/>
    <w:rsid w:val="00757602"/>
    <w:rsid w:val="00757675"/>
    <w:rsid w:val="0078079D"/>
    <w:rsid w:val="00785689"/>
    <w:rsid w:val="007875E4"/>
    <w:rsid w:val="00796899"/>
    <w:rsid w:val="0079754B"/>
    <w:rsid w:val="007A1E6D"/>
    <w:rsid w:val="007B0EB2"/>
    <w:rsid w:val="007C17B1"/>
    <w:rsid w:val="007F5395"/>
    <w:rsid w:val="008000D8"/>
    <w:rsid w:val="00802E22"/>
    <w:rsid w:val="00810B6F"/>
    <w:rsid w:val="0081765B"/>
    <w:rsid w:val="00822CE0"/>
    <w:rsid w:val="008308A7"/>
    <w:rsid w:val="00833425"/>
    <w:rsid w:val="008367A8"/>
    <w:rsid w:val="00841AB1"/>
    <w:rsid w:val="008479D7"/>
    <w:rsid w:val="008660D2"/>
    <w:rsid w:val="00867B12"/>
    <w:rsid w:val="00876437"/>
    <w:rsid w:val="008A0B19"/>
    <w:rsid w:val="008A1ACE"/>
    <w:rsid w:val="008A4387"/>
    <w:rsid w:val="008B2B75"/>
    <w:rsid w:val="008C3AC6"/>
    <w:rsid w:val="008C4799"/>
    <w:rsid w:val="008C68F1"/>
    <w:rsid w:val="008E7E23"/>
    <w:rsid w:val="008F0E65"/>
    <w:rsid w:val="008F0FE3"/>
    <w:rsid w:val="00904ECB"/>
    <w:rsid w:val="00906ACE"/>
    <w:rsid w:val="00907BB9"/>
    <w:rsid w:val="00911817"/>
    <w:rsid w:val="00921803"/>
    <w:rsid w:val="009224BF"/>
    <w:rsid w:val="0092601C"/>
    <w:rsid w:val="00926503"/>
    <w:rsid w:val="00927ACC"/>
    <w:rsid w:val="00954A59"/>
    <w:rsid w:val="00954CE1"/>
    <w:rsid w:val="00960565"/>
    <w:rsid w:val="009726D8"/>
    <w:rsid w:val="009832ED"/>
    <w:rsid w:val="009945EA"/>
    <w:rsid w:val="009A4F4F"/>
    <w:rsid w:val="009A6277"/>
    <w:rsid w:val="009B0B14"/>
    <w:rsid w:val="009B4987"/>
    <w:rsid w:val="009B7EFD"/>
    <w:rsid w:val="009C1037"/>
    <w:rsid w:val="009C6928"/>
    <w:rsid w:val="009D2CAE"/>
    <w:rsid w:val="009D7308"/>
    <w:rsid w:val="009E339A"/>
    <w:rsid w:val="009F06B8"/>
    <w:rsid w:val="009F76DB"/>
    <w:rsid w:val="009F7B24"/>
    <w:rsid w:val="00A04F76"/>
    <w:rsid w:val="00A1020C"/>
    <w:rsid w:val="00A11523"/>
    <w:rsid w:val="00A26621"/>
    <w:rsid w:val="00A31818"/>
    <w:rsid w:val="00A32C3B"/>
    <w:rsid w:val="00A35E9E"/>
    <w:rsid w:val="00A45F4F"/>
    <w:rsid w:val="00A600A9"/>
    <w:rsid w:val="00A63B9F"/>
    <w:rsid w:val="00A766BF"/>
    <w:rsid w:val="00A96027"/>
    <w:rsid w:val="00AA55B7"/>
    <w:rsid w:val="00AA5B9E"/>
    <w:rsid w:val="00AB2407"/>
    <w:rsid w:val="00AB53DF"/>
    <w:rsid w:val="00AD1281"/>
    <w:rsid w:val="00AD6057"/>
    <w:rsid w:val="00AE5AF1"/>
    <w:rsid w:val="00B008A5"/>
    <w:rsid w:val="00B0186D"/>
    <w:rsid w:val="00B02E79"/>
    <w:rsid w:val="00B07E5C"/>
    <w:rsid w:val="00B416A8"/>
    <w:rsid w:val="00B716A3"/>
    <w:rsid w:val="00B811F7"/>
    <w:rsid w:val="00B859D5"/>
    <w:rsid w:val="00B8761B"/>
    <w:rsid w:val="00B93D4A"/>
    <w:rsid w:val="00B971FA"/>
    <w:rsid w:val="00BA11F8"/>
    <w:rsid w:val="00BA1267"/>
    <w:rsid w:val="00BA5DC6"/>
    <w:rsid w:val="00BA6196"/>
    <w:rsid w:val="00BB072D"/>
    <w:rsid w:val="00BB4F28"/>
    <w:rsid w:val="00BB7381"/>
    <w:rsid w:val="00BC1E27"/>
    <w:rsid w:val="00BC6D8C"/>
    <w:rsid w:val="00BE45A4"/>
    <w:rsid w:val="00BF4F32"/>
    <w:rsid w:val="00C0505E"/>
    <w:rsid w:val="00C06CDD"/>
    <w:rsid w:val="00C25B39"/>
    <w:rsid w:val="00C304A6"/>
    <w:rsid w:val="00C34006"/>
    <w:rsid w:val="00C34089"/>
    <w:rsid w:val="00C357F7"/>
    <w:rsid w:val="00C3617C"/>
    <w:rsid w:val="00C36B4C"/>
    <w:rsid w:val="00C426B1"/>
    <w:rsid w:val="00C52A83"/>
    <w:rsid w:val="00C6379F"/>
    <w:rsid w:val="00C66160"/>
    <w:rsid w:val="00C672FA"/>
    <w:rsid w:val="00C721AC"/>
    <w:rsid w:val="00C866DD"/>
    <w:rsid w:val="00C900CA"/>
    <w:rsid w:val="00C90D6A"/>
    <w:rsid w:val="00C95147"/>
    <w:rsid w:val="00C95973"/>
    <w:rsid w:val="00CA247E"/>
    <w:rsid w:val="00CA6D21"/>
    <w:rsid w:val="00CB3E59"/>
    <w:rsid w:val="00CC72B6"/>
    <w:rsid w:val="00D0218D"/>
    <w:rsid w:val="00D061A1"/>
    <w:rsid w:val="00D24115"/>
    <w:rsid w:val="00D25FB5"/>
    <w:rsid w:val="00D26852"/>
    <w:rsid w:val="00D36347"/>
    <w:rsid w:val="00D44223"/>
    <w:rsid w:val="00D468D6"/>
    <w:rsid w:val="00D56186"/>
    <w:rsid w:val="00D7221E"/>
    <w:rsid w:val="00D94233"/>
    <w:rsid w:val="00D976C5"/>
    <w:rsid w:val="00DA2529"/>
    <w:rsid w:val="00DA7B48"/>
    <w:rsid w:val="00DB0571"/>
    <w:rsid w:val="00DB130A"/>
    <w:rsid w:val="00DB2EBB"/>
    <w:rsid w:val="00DB7A25"/>
    <w:rsid w:val="00DC10A1"/>
    <w:rsid w:val="00DC23A9"/>
    <w:rsid w:val="00DC32A7"/>
    <w:rsid w:val="00DC655F"/>
    <w:rsid w:val="00DD0B59"/>
    <w:rsid w:val="00DD1732"/>
    <w:rsid w:val="00DD2D9F"/>
    <w:rsid w:val="00DD7EBD"/>
    <w:rsid w:val="00DF0BC9"/>
    <w:rsid w:val="00DF4F47"/>
    <w:rsid w:val="00DF62B6"/>
    <w:rsid w:val="00E07225"/>
    <w:rsid w:val="00E2108C"/>
    <w:rsid w:val="00E2359D"/>
    <w:rsid w:val="00E238D7"/>
    <w:rsid w:val="00E3791A"/>
    <w:rsid w:val="00E5409F"/>
    <w:rsid w:val="00E62EA1"/>
    <w:rsid w:val="00E662DD"/>
    <w:rsid w:val="00E771AC"/>
    <w:rsid w:val="00E845CA"/>
    <w:rsid w:val="00E91516"/>
    <w:rsid w:val="00E978DA"/>
    <w:rsid w:val="00EB0C7C"/>
    <w:rsid w:val="00EC0A01"/>
    <w:rsid w:val="00ED5322"/>
    <w:rsid w:val="00EE6488"/>
    <w:rsid w:val="00EF1194"/>
    <w:rsid w:val="00EF1511"/>
    <w:rsid w:val="00EF25A4"/>
    <w:rsid w:val="00EF50E8"/>
    <w:rsid w:val="00F01B1D"/>
    <w:rsid w:val="00F021FA"/>
    <w:rsid w:val="00F246B0"/>
    <w:rsid w:val="00F33C84"/>
    <w:rsid w:val="00F445B1"/>
    <w:rsid w:val="00F57556"/>
    <w:rsid w:val="00F62E97"/>
    <w:rsid w:val="00F64209"/>
    <w:rsid w:val="00F80A12"/>
    <w:rsid w:val="00F8140C"/>
    <w:rsid w:val="00F90995"/>
    <w:rsid w:val="00F92311"/>
    <w:rsid w:val="00F93BF5"/>
    <w:rsid w:val="00F96554"/>
    <w:rsid w:val="00FB05E3"/>
    <w:rsid w:val="00FB3F26"/>
    <w:rsid w:val="00FB6828"/>
    <w:rsid w:val="00FC5553"/>
    <w:rsid w:val="00FD6793"/>
    <w:rsid w:val="00FF0F23"/>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105B8F4"/>
  <w15:chartTrackingRefBased/>
  <w15:docId w15:val="{D84B1968-9B8E-47C1-905D-AD36E5748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FC5553"/>
  </w:style>
  <w:style w:type="character" w:customStyle="1" w:styleId="documentbody1">
    <w:name w:val="documentbody1"/>
    <w:rsid w:val="00FC5553"/>
    <w:rPr>
      <w:rFonts w:ascii="Verdana" w:hAnsi="Verdana" w:hint="default"/>
      <w:sz w:val="19"/>
      <w:szCs w:val="19"/>
    </w:rPr>
  </w:style>
  <w:style w:type="character" w:styleId="CommentReference">
    <w:name w:val="annotation reference"/>
    <w:rsid w:val="009B0B14"/>
    <w:rPr>
      <w:sz w:val="16"/>
      <w:szCs w:val="16"/>
    </w:rPr>
  </w:style>
  <w:style w:type="paragraph" w:styleId="CommentText">
    <w:name w:val="annotation text"/>
    <w:basedOn w:val="Normal"/>
    <w:link w:val="CommentTextChar"/>
    <w:rsid w:val="009B0B14"/>
    <w:rPr>
      <w:sz w:val="20"/>
    </w:rPr>
  </w:style>
  <w:style w:type="character" w:customStyle="1" w:styleId="CommentTextChar">
    <w:name w:val="Comment Text Char"/>
    <w:link w:val="CommentText"/>
    <w:rsid w:val="009B0B14"/>
    <w:rPr>
      <w:snapToGrid w:val="0"/>
      <w:kern w:val="28"/>
    </w:rPr>
  </w:style>
  <w:style w:type="paragraph" w:styleId="CommentSubject">
    <w:name w:val="annotation subject"/>
    <w:basedOn w:val="CommentText"/>
    <w:next w:val="CommentText"/>
    <w:link w:val="CommentSubjectChar"/>
    <w:rsid w:val="009B0B14"/>
    <w:rPr>
      <w:b/>
      <w:bCs/>
    </w:rPr>
  </w:style>
  <w:style w:type="character" w:customStyle="1" w:styleId="CommentSubjectChar">
    <w:name w:val="Comment Subject Char"/>
    <w:link w:val="CommentSubject"/>
    <w:rsid w:val="009B0B14"/>
    <w:rPr>
      <w:b/>
      <w:bCs/>
      <w:snapToGrid w:val="0"/>
      <w:kern w:val="28"/>
    </w:rPr>
  </w:style>
  <w:style w:type="character" w:customStyle="1" w:styleId="UnresolvedMention">
    <w:name w:val="Unresolved Mention"/>
    <w:uiPriority w:val="99"/>
    <w:semiHidden/>
    <w:unhideWhenUsed/>
    <w:rsid w:val="00927ACC"/>
    <w:rPr>
      <w:color w:val="605E5C"/>
      <w:shd w:val="clear" w:color="auto" w:fill="E1DFDD"/>
    </w:rPr>
  </w:style>
  <w:style w:type="character" w:customStyle="1" w:styleId="ParaNumChar">
    <w:name w:val="ParaNum Char"/>
    <w:link w:val="ParaNum"/>
    <w:locked/>
    <w:rsid w:val="00EF25A4"/>
    <w:rPr>
      <w:snapToGrid w:val="0"/>
      <w:kern w:val="28"/>
      <w:sz w:val="22"/>
    </w:rPr>
  </w:style>
  <w:style w:type="paragraph" w:styleId="Revision">
    <w:name w:val="Revision"/>
    <w:hidden/>
    <w:uiPriority w:val="99"/>
    <w:semiHidden/>
    <w:rsid w:val="003F0D0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law.cornell.edu/definitions/uscode.php?width=840&amp;height=800&amp;iframe=true&amp;def_id=47-USC-681888932-1298795591&amp;term_occur=999&amp;term_src=" TargetMode="External" /><Relationship Id="rId2" Type="http://schemas.openxmlformats.org/officeDocument/2006/relationships/hyperlink" Target="https://www.law.cornell.edu/definitions/uscode.php?width=840&amp;height=800&amp;iframe=true&amp;def_id=47-USC-1773906204-1952898750&amp;term_occur=999&amp;term_src=title:47:chapter:5:subchapter:II:part:II:section:254" TargetMode="External" /><Relationship Id="rId3" Type="http://schemas.openxmlformats.org/officeDocument/2006/relationships/hyperlink" Target="https://apps.usac.org/sl/tools/news-briefs/preview.aspx?id=1030"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