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00000" w14:paraId="5D471C9B" w14:textId="77777777">
      <w:pPr>
        <w:jc w:val="right"/>
        <w:rPr>
          <w:sz w:val="24"/>
        </w:rPr>
      </w:pPr>
    </w:p>
    <w:p w:rsidR="00000000" w14:paraId="7261C694" w14:textId="6ABA5EE8">
      <w:pPr>
        <w:jc w:val="right"/>
        <w:rPr>
          <w:b/>
          <w:sz w:val="24"/>
        </w:rPr>
      </w:pPr>
      <w:r>
        <w:rPr>
          <w:b/>
          <w:sz w:val="24"/>
        </w:rPr>
        <w:t>DA 22-131</w:t>
      </w:r>
    </w:p>
    <w:p w:rsidR="00000000" w14:paraId="2C0C0B56" w14:textId="5C3243E6">
      <w:pPr>
        <w:spacing w:before="60"/>
        <w:jc w:val="right"/>
        <w:rPr>
          <w:b/>
          <w:sz w:val="24"/>
        </w:rPr>
      </w:pPr>
      <w:r>
        <w:rPr>
          <w:b/>
          <w:sz w:val="24"/>
        </w:rPr>
        <w:t xml:space="preserve">Released:  </w:t>
      </w:r>
      <w:r w:rsidR="00BD701F">
        <w:rPr>
          <w:b/>
          <w:sz w:val="24"/>
        </w:rPr>
        <w:t>February 9, 2022</w:t>
      </w:r>
    </w:p>
    <w:p w:rsidR="00000000" w14:paraId="651BA78D" w14:textId="77777777">
      <w:pPr>
        <w:jc w:val="right"/>
        <w:rPr>
          <w:sz w:val="24"/>
        </w:rPr>
      </w:pPr>
    </w:p>
    <w:p w:rsidR="00000000" w:rsidRPr="00BD701F" w:rsidP="00BD701F" w14:paraId="67C46451" w14:textId="7F4390B1">
      <w:pPr>
        <w:spacing w:after="240"/>
        <w:jc w:val="center"/>
        <w:rPr>
          <w:rFonts w:ascii="Times New Roman Bold" w:hAnsi="Times New Roman Bold"/>
          <w:b/>
          <w:caps/>
          <w:sz w:val="24"/>
        </w:rPr>
      </w:pPr>
      <w:r w:rsidRPr="00BD701F">
        <w:rPr>
          <w:rFonts w:ascii="Times New Roman Bold" w:hAnsi="Times New Roman Bold"/>
          <w:b/>
          <w:caps/>
          <w:sz w:val="24"/>
        </w:rPr>
        <w:t>WIRELINE COMPETITION BUREAU ANNOUNCES APPLICATIONS FILED FOR THE SECURE AND TRUSTED COMMUNICATIONS NETWORKS REIMBURSEMENT PROGRAM</w:t>
      </w:r>
    </w:p>
    <w:p w:rsidR="00000000" w14:paraId="74497886" w14:textId="664E2F49">
      <w:pPr>
        <w:jc w:val="center"/>
        <w:rPr>
          <w:b/>
          <w:sz w:val="24"/>
        </w:rPr>
      </w:pPr>
      <w:r>
        <w:rPr>
          <w:b/>
          <w:sz w:val="24"/>
        </w:rPr>
        <w:t>WC Docket No. 18-89</w:t>
      </w:r>
    </w:p>
    <w:p w:rsidR="00BD701F" w14:paraId="6078EF7D" w14:textId="06713F78">
      <w:pPr>
        <w:jc w:val="center"/>
        <w:rPr>
          <w:b/>
          <w:sz w:val="24"/>
        </w:rPr>
      </w:pPr>
    </w:p>
    <w:p w:rsidR="00BD701F" w:rsidP="00BD701F" w14:paraId="28694E42" w14:textId="77777777">
      <w:pPr>
        <w:pStyle w:val="ParaNum"/>
        <w:numPr>
          <w:ilvl w:val="0"/>
          <w:numId w:val="0"/>
        </w:numPr>
        <w:ind w:firstLine="720"/>
      </w:pPr>
      <w:r>
        <w:t xml:space="preserve">By this Public Notice, the Wireline Competition Bureau (Bureau) announces the applications filed for the Secure and Trusted Communications Networks Reimbursement Program (Reimbursement Program).  The Reimbursement Program </w:t>
      </w:r>
      <w:r w:rsidRPr="00F1683B">
        <w:t xml:space="preserve">received </w:t>
      </w:r>
      <w:r w:rsidRPr="00E96AC4">
        <w:t>181</w:t>
      </w:r>
      <w:r>
        <w:t xml:space="preserve"> applications and, upon initial review by the Reimbursement Program Fund Administrator, the gross cost estimate demand for Reimbursement Program support contained in the applications initially found eligible and acceptable for filing is nearly</w:t>
      </w:r>
      <w:r w:rsidRPr="00E96AC4">
        <w:t xml:space="preserve"> $5.6 billion.</w:t>
      </w:r>
      <w:r>
        <w:rPr>
          <w:rStyle w:val="FootnoteReference"/>
        </w:rPr>
        <w:footnoteReference w:id="3"/>
      </w:r>
      <w:r>
        <w:t xml:space="preserve">  </w:t>
      </w:r>
    </w:p>
    <w:p w:rsidR="00BD701F" w:rsidP="00BD701F" w14:paraId="6AEBF086" w14:textId="77777777">
      <w:pPr>
        <w:pStyle w:val="ParaNum"/>
        <w:numPr>
          <w:ilvl w:val="0"/>
          <w:numId w:val="0"/>
        </w:numPr>
        <w:ind w:firstLine="720"/>
      </w:pPr>
      <w:r>
        <w:t>The filing window closed on January 28, 2022, and the Commission commenced the official 90-day application review period for the Reimbursement Program on January 31, 2022.</w:t>
      </w:r>
      <w:r>
        <w:rPr>
          <w:rStyle w:val="FootnoteReference"/>
        </w:rPr>
        <w:footnoteReference w:id="4"/>
      </w:r>
      <w:r>
        <w:t xml:space="preserve">  Given the number and complexity of the applications filed as further discussed herein, the Bureau will extend the application review period by an additional 45 days as authorized by section 4(d)(3)(A)(ii) of the Secure and Trusted Communications Networks Act of 2019, as amended (Secure Networks Act), and section 1.50004(d) of the Commission’s rules.</w:t>
      </w:r>
      <w:r>
        <w:rPr>
          <w:rStyle w:val="FootnoteReference"/>
        </w:rPr>
        <w:footnoteReference w:id="5"/>
      </w:r>
      <w:r>
        <w:t xml:space="preserve">  Accordingly, the Bureau’s deadline for acting on the submitted applications is Wednesday, June 15, 2022.</w:t>
      </w:r>
    </w:p>
    <w:p w:rsidR="00BD701F" w:rsidP="00BD701F" w14:paraId="78772782" w14:textId="77777777">
      <w:pPr>
        <w:pStyle w:val="ParaNum"/>
        <w:numPr>
          <w:ilvl w:val="0"/>
          <w:numId w:val="0"/>
        </w:numPr>
        <w:ind w:firstLine="720"/>
      </w:pPr>
      <w:r w:rsidRPr="00CB3BDC">
        <w:rPr>
          <w:i/>
          <w:iCs/>
        </w:rPr>
        <w:t>Background</w:t>
      </w:r>
      <w:r>
        <w:t>.  As directed by the Secure Networks Act, the Commission established the Reimbursement Program to reimburse providers of advanced communications services with ten million or fewer customers for reasonable costs incurred in the removal, replacement, and disposal of covered communications equipment or services from their networks that pose a national security risk.</w:t>
      </w:r>
      <w:r>
        <w:rPr>
          <w:rStyle w:val="FootnoteReference"/>
        </w:rPr>
        <w:footnoteReference w:id="6"/>
      </w:r>
      <w:r>
        <w:t xml:space="preserve">  The </w:t>
      </w:r>
      <w:r>
        <w:t xml:space="preserve">Commission, in the </w:t>
      </w:r>
      <w:r w:rsidRPr="00CB3BDC">
        <w:rPr>
          <w:i/>
          <w:iCs/>
        </w:rPr>
        <w:t>2021 Supply Chain Order</w:t>
      </w:r>
      <w:r>
        <w:t>, clarified that for purposes of the Reimbursement Program, covered communications equipment or services is limited to the communications equipment or services produced or provided by Huawei Technologies Company (Huawei) or ZTE Corporation (ZTE), that were obtained by providers on or before June 30, 2020.</w:t>
      </w:r>
      <w:r>
        <w:rPr>
          <w:rStyle w:val="FootnoteReference"/>
        </w:rPr>
        <w:footnoteReference w:id="7"/>
      </w:r>
      <w:r>
        <w:t xml:space="preserve">  To participate in the Reimbursement Program, eligible providers were required to file an FCC Form 5640 Application Request for Funding Allocation,</w:t>
      </w:r>
      <w:r>
        <w:rPr>
          <w:rStyle w:val="FootnoteReference"/>
        </w:rPr>
        <w:footnoteReference w:id="8"/>
      </w:r>
      <w:r>
        <w:t xml:space="preserve"> using the Bureau’s dedicated online application filing portal.</w:t>
      </w:r>
      <w:r>
        <w:rPr>
          <w:rStyle w:val="FootnoteReference"/>
        </w:rPr>
        <w:footnoteReference w:id="9"/>
      </w:r>
      <w:r>
        <w:t xml:space="preserve">  Each applicant was required to include in its application estimates for the costs that will be reasonably incurred for the removal, replacement, and disposal of covered communications equipment and services.</w:t>
      </w:r>
      <w:r>
        <w:rPr>
          <w:rStyle w:val="FootnoteReference"/>
        </w:rPr>
        <w:footnoteReference w:id="10"/>
      </w:r>
      <w:r>
        <w:t xml:space="preserve">  These cost estimates will form the basis for the Bureau’s funding allocation determinations.</w:t>
      </w:r>
      <w:r>
        <w:rPr>
          <w:rStyle w:val="FootnoteReference"/>
        </w:rPr>
        <w:footnoteReference w:id="11"/>
      </w:r>
      <w:r>
        <w:t xml:space="preserve">  Once an allocation is issued, participants can then seek disbursements from the allocation as expenses are incurred.</w:t>
      </w:r>
      <w:r>
        <w:rPr>
          <w:rStyle w:val="FootnoteReference"/>
        </w:rPr>
        <w:footnoteReference w:id="12"/>
      </w:r>
      <w:r>
        <w:t xml:space="preserve">  </w:t>
      </w:r>
    </w:p>
    <w:p w:rsidR="00BD701F" w:rsidP="00BD701F" w14:paraId="0E33968C" w14:textId="77777777">
      <w:pPr>
        <w:pStyle w:val="ParaNum"/>
        <w:numPr>
          <w:ilvl w:val="0"/>
          <w:numId w:val="0"/>
        </w:numPr>
        <w:ind w:firstLine="720"/>
      </w:pPr>
      <w:r>
        <w:rPr>
          <w:i/>
          <w:iCs/>
        </w:rPr>
        <w:t>Applications Filed</w:t>
      </w:r>
      <w:r>
        <w:t xml:space="preserve">.  A total </w:t>
      </w:r>
      <w:r w:rsidRPr="00F1683B">
        <w:t xml:space="preserve">of </w:t>
      </w:r>
      <w:r w:rsidRPr="00E96AC4">
        <w:t>181</w:t>
      </w:r>
      <w:r w:rsidRPr="00F1683B">
        <w:t xml:space="preserve"> </w:t>
      </w:r>
      <w:r w:rsidRPr="00E96AC4">
        <w:t>applications were filed to participate in the Reimbursement Program.</w:t>
      </w:r>
      <w:r>
        <w:rPr>
          <w:rStyle w:val="FootnoteReference"/>
        </w:rPr>
        <w:footnoteReference w:id="13"/>
      </w:r>
      <w:r w:rsidRPr="00F1683B">
        <w:t xml:space="preserve">  Of those filed, </w:t>
      </w:r>
      <w:r w:rsidRPr="00E96AC4">
        <w:t>162</w:t>
      </w:r>
      <w:r w:rsidRPr="00F1683B">
        <w:t xml:space="preserve"> have been initially found eligible and acceptable for filing.</w:t>
      </w:r>
      <w:r>
        <w:rPr>
          <w:rStyle w:val="FootnoteReference"/>
        </w:rPr>
        <w:footnoteReference w:id="14"/>
      </w:r>
      <w:r w:rsidRPr="00F1683B">
        <w:t xml:space="preserve">  Of those applications filed and initially found eligible and acceptable for filing, the gross cost estimate demand for support for the removal</w:t>
      </w:r>
      <w:r w:rsidRPr="00E96AC4">
        <w:t>, replacement, and disposal of Huawei and ZTE equipment is approximately $5.6 billion</w:t>
      </w:r>
      <w:r w:rsidRPr="00F1683B">
        <w:t xml:space="preserve">.  Further, based on an initial review of the applications, this support would go towards the </w:t>
      </w:r>
      <w:r w:rsidRPr="00E96AC4">
        <w:t>strengthening of our nation’s networks by removing, replacing, and disposing of approximately 24,</w:t>
      </w:r>
      <w:r>
        <w:t>000</w:t>
      </w:r>
      <w:r w:rsidRPr="00F1683B">
        <w:t xml:space="preserve"> units of covered communications</w:t>
      </w:r>
      <w:r>
        <w:t xml:space="preserve"> equipment and services across </w:t>
      </w:r>
      <w:r w:rsidRPr="00F1683B">
        <w:t xml:space="preserve">approximately </w:t>
      </w:r>
      <w:r w:rsidRPr="00E96AC4">
        <w:t>8,400</w:t>
      </w:r>
      <w:r w:rsidRPr="00F1683B">
        <w:t xml:space="preserve"> number of locations throughout the United States and its territories.</w:t>
      </w:r>
      <w:r>
        <w:t xml:space="preserve">  As required by the Secure Networks Act and the Commission’s rules, applicants whose applications are found materially deficient will have a 15-day opportunity to cure the deficiency before their application is denied.</w:t>
      </w:r>
      <w:r>
        <w:rPr>
          <w:rStyle w:val="FootnoteReference"/>
        </w:rPr>
        <w:footnoteReference w:id="15"/>
      </w:r>
      <w:r>
        <w:t xml:space="preserve">  The Reimbursement Program Fund Administrator will individually notify those applicants.</w:t>
      </w:r>
      <w:r>
        <w:rPr>
          <w:rStyle w:val="FootnoteReference"/>
        </w:rPr>
        <w:footnoteReference w:id="16"/>
      </w:r>
      <w:r>
        <w:t xml:space="preserve">  </w:t>
      </w:r>
    </w:p>
    <w:p w:rsidR="00BD701F" w:rsidP="00BD701F" w14:paraId="6C23371F" w14:textId="67573055">
      <w:pPr>
        <w:pStyle w:val="ParaNum"/>
        <w:widowControl/>
        <w:numPr>
          <w:ilvl w:val="0"/>
          <w:numId w:val="0"/>
        </w:numPr>
        <w:ind w:firstLine="720"/>
        <w:rPr>
          <w:szCs w:val="22"/>
        </w:rPr>
      </w:pPr>
      <w:r w:rsidRPr="00CB3BDC">
        <w:rPr>
          <w:i/>
          <w:iCs/>
        </w:rPr>
        <w:t>Funding Available for Allocation</w:t>
      </w:r>
      <w:r>
        <w:t>.  Congress appropriated $1.9 billion to the Commission to “carry out” the Secure Networks Act, of which $1.895 billion must be used for the Reimbursement Program.</w:t>
      </w:r>
      <w:r>
        <w:rPr>
          <w:rStyle w:val="FootnoteReference"/>
        </w:rPr>
        <w:footnoteReference w:id="17"/>
      </w:r>
      <w:r>
        <w:t xml:space="preserve">  The gross demand for requested funding, based on an initial review of the cost estimates </w:t>
      </w:r>
      <w:r>
        <w:t>contained in the applications submitted, exceeds the $1.9 billion appropriated for the Reimbursement Program</w:t>
      </w:r>
      <w:r>
        <w:rPr>
          <w:szCs w:val="22"/>
        </w:rPr>
        <w:t>.</w:t>
      </w:r>
      <w:r>
        <w:rPr>
          <w:rStyle w:val="FootnoteReference"/>
          <w:szCs w:val="22"/>
        </w:rPr>
        <w:footnoteReference w:id="18"/>
      </w:r>
      <w:r>
        <w:rPr>
          <w:szCs w:val="22"/>
        </w:rPr>
        <w:t xml:space="preserve">  If available funding is insufficient to issue funding allocations in full to all approved applicants, then the Commission will apply the prioritization scheme directed by Congress and specified in the Commission’s rules.</w:t>
      </w:r>
      <w:r>
        <w:rPr>
          <w:rStyle w:val="FootnoteReference"/>
          <w:szCs w:val="22"/>
        </w:rPr>
        <w:footnoteReference w:id="19"/>
      </w:r>
      <w:r>
        <w:rPr>
          <w:szCs w:val="22"/>
        </w:rPr>
        <w:t xml:space="preserve"> </w:t>
      </w:r>
      <w:r w:rsidR="00587C5A">
        <w:rPr>
          <w:szCs w:val="22"/>
        </w:rPr>
        <w:t xml:space="preserve"> </w:t>
      </w:r>
      <w:r>
        <w:rPr>
          <w:szCs w:val="22"/>
        </w:rPr>
        <w:t xml:space="preserve">Specifically, </w:t>
      </w:r>
      <w:r>
        <w:t>under this scheme, the Commission will allocate available funding “first, to approved applications that have 2,000,000 or fewer customers . . .</w:t>
      </w:r>
      <w:r w:rsidR="00F236D2">
        <w:t xml:space="preserve"> </w:t>
      </w:r>
      <w:r>
        <w:t>, [then] to approved applicants that are accredited public or private non-commercial educational institutions providing their own facilities-based educational broadband services . . . [and] health care providers and libraries providing advanced communications service, [then] to any remaining approved applicants determined to be eligible for reimbursement under the [Reimbursement] Program.”</w:t>
      </w:r>
      <w:r>
        <w:rPr>
          <w:rStyle w:val="FootnoteReference"/>
        </w:rPr>
        <w:footnoteReference w:id="20"/>
      </w:r>
      <w:r>
        <w:rPr>
          <w:szCs w:val="22"/>
        </w:rPr>
        <w:t xml:space="preserve"> </w:t>
      </w:r>
      <w:r>
        <w:rPr>
          <w:szCs w:val="22"/>
        </w:rPr>
        <w:t xml:space="preserve"> </w:t>
      </w:r>
      <w:r>
        <w:t>If available funding is insufficient to satisfy all funding requests in a prioritization category, the Bureau will prorate the available funding equally across all requests in the relevant prioritization category to ensure that total funding allocated does not exceed the funding available</w:t>
      </w:r>
      <w:r>
        <w:rPr>
          <w:szCs w:val="22"/>
        </w:rPr>
        <w:t>.</w:t>
      </w:r>
      <w:r>
        <w:rPr>
          <w:rStyle w:val="FootnoteReference"/>
          <w:szCs w:val="22"/>
        </w:rPr>
        <w:footnoteReference w:id="21"/>
      </w:r>
      <w:r>
        <w:rPr>
          <w:szCs w:val="22"/>
        </w:rPr>
        <w:t xml:space="preserve"> </w:t>
      </w:r>
    </w:p>
    <w:p w:rsidR="00BD701F" w:rsidRPr="009D0E6B" w:rsidP="00BD701F" w14:paraId="1E069E4B" w14:textId="77777777">
      <w:pPr>
        <w:pStyle w:val="ParaNum"/>
        <w:numPr>
          <w:ilvl w:val="0"/>
          <w:numId w:val="0"/>
        </w:numPr>
        <w:ind w:firstLine="720"/>
        <w:rPr>
          <w:szCs w:val="22"/>
        </w:rPr>
      </w:pPr>
      <w:r>
        <w:t>Upon initial review, the cost estimates submitted with applications appear to be significantly higher than the estimated amounts reported to the Commission in the 2019 data collection.</w:t>
      </w:r>
      <w:r>
        <w:rPr>
          <w:rStyle w:val="FootnoteReference"/>
        </w:rPr>
        <w:footnoteReference w:id="22"/>
      </w:r>
      <w:r>
        <w:t xml:space="preserve">  The Commission continues to closely review the applications, but factors contributing to the increase in cost estimates include: an expansion, following the 2019 data collection, in the Reimbursement Program from Eligible Telecommunications Carriers to all providers of advanced communications services with fewer than 10 million customers; i</w:t>
      </w:r>
      <w:r w:rsidRPr="002950A5">
        <w:t>ncreased costs due to supply chain constraints and/or inflation since 2019;</w:t>
      </w:r>
      <w:r>
        <w:t xml:space="preserve"> a</w:t>
      </w:r>
      <w:r w:rsidRPr="002950A5">
        <w:t xml:space="preserve">dditional costs associated with expediting projects </w:t>
      </w:r>
      <w:r>
        <w:t>to meet</w:t>
      </w:r>
      <w:r w:rsidRPr="002950A5">
        <w:t xml:space="preserve"> </w:t>
      </w:r>
      <w:r>
        <w:t xml:space="preserve">the </w:t>
      </w:r>
      <w:r w:rsidRPr="002950A5">
        <w:t xml:space="preserve">statutory </w:t>
      </w:r>
      <w:r>
        <w:t>obligation to complete the removal, replacement, and disposal process within one year from the initial disbursement of funds;</w:t>
      </w:r>
      <w:r>
        <w:rPr>
          <w:rStyle w:val="FootnoteReference"/>
        </w:rPr>
        <w:footnoteReference w:id="23"/>
      </w:r>
      <w:r>
        <w:t xml:space="preserve"> and other c</w:t>
      </w:r>
      <w:r w:rsidRPr="002950A5">
        <w:t xml:space="preserve">osts of complying with Reimbursement Program requirements not accounted for when cost estimates </w:t>
      </w:r>
      <w:r>
        <w:t xml:space="preserve">were </w:t>
      </w:r>
      <w:r w:rsidRPr="002950A5">
        <w:t>reported in 2019.</w:t>
      </w:r>
      <w:r>
        <w:t xml:space="preserve">  To increase accountability measures for the Reimbursement Program, the Commission, in the </w:t>
      </w:r>
      <w:r>
        <w:rPr>
          <w:i/>
          <w:iCs/>
        </w:rPr>
        <w:t>2020 Supply Chain Order</w:t>
      </w:r>
      <w:r>
        <w:t>,</w:t>
      </w:r>
      <w:r>
        <w:rPr>
          <w:i/>
          <w:iCs/>
        </w:rPr>
        <w:t xml:space="preserve"> </w:t>
      </w:r>
      <w:r w:rsidRPr="001D1980">
        <w:t xml:space="preserve">adopted a number of measures to protect against waste, </w:t>
      </w:r>
      <w:r w:rsidRPr="001D1980">
        <w:t>fraud, and abuse</w:t>
      </w:r>
      <w:r>
        <w:t>.</w:t>
      </w:r>
      <w:r>
        <w:rPr>
          <w:rStyle w:val="FootnoteReference"/>
        </w:rPr>
        <w:footnoteReference w:id="24"/>
      </w:r>
      <w:r>
        <w:t xml:space="preserve">  As a result, t</w:t>
      </w:r>
      <w:r w:rsidRPr="003341D7">
        <w:t>he</w:t>
      </w:r>
      <w:r>
        <w:t xml:space="preserve"> Fund Administrator and Commission are carefully reviewing all cost estimates submitted with applications to determine funding allocations.</w:t>
      </w:r>
      <w:r>
        <w:rPr>
          <w:rStyle w:val="FootnoteReference"/>
        </w:rPr>
        <w:footnoteReference w:id="25"/>
      </w:r>
      <w:r>
        <w:t xml:space="preserve">  Both the Reimbursement Program Fund Administrator and the Commission will closely scrutinize Reimbursement Claim Requests to ensure that reimbursement is limited to reasonable expenses that are actually incurred.</w:t>
      </w:r>
      <w:r>
        <w:rPr>
          <w:rStyle w:val="FootnoteReference"/>
        </w:rPr>
        <w:footnoteReference w:id="26"/>
      </w:r>
      <w:r>
        <w:t xml:space="preserve">  Additionally, consistent with the Secure Networks Act, Reimbursement Program r</w:t>
      </w:r>
      <w:r w:rsidRPr="00D97C88">
        <w:t xml:space="preserve">ecipients are subject to </w:t>
      </w:r>
      <w:r>
        <w:t xml:space="preserve">regular </w:t>
      </w:r>
      <w:r w:rsidRPr="00D97C88">
        <w:t xml:space="preserve">audits </w:t>
      </w:r>
      <w:r>
        <w:t xml:space="preserve">and reviews of reimbursements under the Program </w:t>
      </w:r>
      <w:r w:rsidRPr="00D97C88">
        <w:t>and other investigations</w:t>
      </w:r>
      <w:r>
        <w:t>, such as field investigations,</w:t>
      </w:r>
      <w:r w:rsidRPr="00D97C88">
        <w:t xml:space="preserve"> to evaluate their compliance with the statutory and regulatory requirements for the </w:t>
      </w:r>
      <w:r>
        <w:t>p</w:t>
      </w:r>
      <w:r w:rsidRPr="00D97C88">
        <w:t>rogram.</w:t>
      </w:r>
      <w:r>
        <w:rPr>
          <w:rStyle w:val="FootnoteReference"/>
        </w:rPr>
        <w:footnoteReference w:id="27"/>
      </w:r>
      <w:r>
        <w:t xml:space="preserve">  As directed by the Secure Networks Act, the </w:t>
      </w:r>
      <w:r w:rsidRPr="00101844">
        <w:rPr>
          <w:szCs w:val="22"/>
        </w:rPr>
        <w:t>Commission</w:t>
      </w:r>
      <w:r w:rsidRPr="00587C5A">
        <w:rPr>
          <w:szCs w:val="22"/>
        </w:rPr>
        <w:t xml:space="preserve"> is </w:t>
      </w:r>
      <w:r w:rsidRPr="00587C5A">
        <w:rPr>
          <w:szCs w:val="22"/>
          <w:shd w:val="clear" w:color="auto" w:fill="FFFFFF"/>
        </w:rPr>
        <w:t>“</w:t>
      </w:r>
      <w:r w:rsidRPr="00587C5A">
        <w:rPr>
          <w:szCs w:val="22"/>
          <w:shd w:val="clear" w:color="auto" w:fill="FFFFFF"/>
        </w:rPr>
        <w:t>tak</w:t>
      </w:r>
      <w:r w:rsidRPr="00587C5A">
        <w:rPr>
          <w:szCs w:val="22"/>
          <w:shd w:val="clear" w:color="auto" w:fill="FFFFFF"/>
        </w:rPr>
        <w:t>[</w:t>
      </w:r>
      <w:r w:rsidRPr="00587C5A">
        <w:rPr>
          <w:szCs w:val="22"/>
          <w:shd w:val="clear" w:color="auto" w:fill="FFFFFF"/>
        </w:rPr>
        <w:t>ing</w:t>
      </w:r>
      <w:r w:rsidRPr="00587C5A">
        <w:rPr>
          <w:szCs w:val="22"/>
          <w:shd w:val="clear" w:color="auto" w:fill="FFFFFF"/>
        </w:rPr>
        <w:t>] all necessary steps to avoid waste, fraud, and abuse with respect to the Program.”</w:t>
      </w:r>
      <w:r>
        <w:rPr>
          <w:rStyle w:val="FootnoteReference"/>
          <w:szCs w:val="22"/>
          <w:shd w:val="clear" w:color="auto" w:fill="FFFFFF"/>
        </w:rPr>
        <w:footnoteReference w:id="28"/>
      </w:r>
    </w:p>
    <w:p w:rsidR="00BD701F" w:rsidP="00BD701F" w14:paraId="7EF36ACD" w14:textId="77777777">
      <w:pPr>
        <w:pStyle w:val="ParaNum"/>
        <w:numPr>
          <w:ilvl w:val="0"/>
          <w:numId w:val="0"/>
        </w:numPr>
        <w:ind w:firstLine="720"/>
      </w:pPr>
      <w:r w:rsidRPr="00CB3BDC">
        <w:rPr>
          <w:i/>
          <w:iCs/>
        </w:rPr>
        <w:t>Application Review Period</w:t>
      </w:r>
      <w:bookmarkStart w:id="0" w:name="_Hlk94534655"/>
      <w:r>
        <w:t>.  The Commission’s rules</w:t>
      </w:r>
      <w:r w:rsidRPr="00993477">
        <w:t xml:space="preserve"> </w:t>
      </w:r>
      <w:r>
        <w:t>and the Secure Networks Act</w:t>
      </w:r>
      <w:r w:rsidRPr="00993477">
        <w:t xml:space="preserve"> </w:t>
      </w:r>
      <w:r>
        <w:t>require the Bureau to “approve or deny” Reimbursement Program applications no later than 90 days after the close of the relevant filing window.</w:t>
      </w:r>
      <w:r>
        <w:rPr>
          <w:rStyle w:val="FootnoteReference"/>
        </w:rPr>
        <w:footnoteReference w:id="29"/>
      </w:r>
      <w:r w:rsidRPr="00993477">
        <w:t xml:space="preserve"> </w:t>
      </w:r>
      <w:bookmarkEnd w:id="0"/>
      <w:r>
        <w:t xml:space="preserve"> During the application review period, the Bureau “will determine whether the application is complete, whether the applicant is eligible for the Reimbursement Program, and . . . assess the reasonableness of the cost estimates provided by the applicant.”</w:t>
      </w:r>
      <w:r>
        <w:rPr>
          <w:rStyle w:val="FootnoteReference"/>
        </w:rPr>
        <w:footnoteReference w:id="30"/>
      </w:r>
      <w:r>
        <w:t xml:space="preserve">  If additional time is needed to review the applications, the Bureau may extend the deadline of the application review period by an additional 45 days “if it determines that an excessive number of applications have been filed during the window and additional time is needed to review the applications.”</w:t>
      </w:r>
      <w:r>
        <w:rPr>
          <w:rStyle w:val="FootnoteReference"/>
        </w:rPr>
        <w:footnoteReference w:id="31"/>
      </w:r>
      <w:r w:rsidRPr="00993477">
        <w:t xml:space="preserve"> </w:t>
      </w:r>
      <w:r>
        <w:t xml:space="preserve"> </w:t>
      </w:r>
    </w:p>
    <w:p w:rsidR="00BD701F" w:rsidP="00BD701F" w14:paraId="5B552638" w14:textId="77777777">
      <w:pPr>
        <w:pStyle w:val="ParaNum"/>
        <w:numPr>
          <w:ilvl w:val="0"/>
          <w:numId w:val="0"/>
        </w:numPr>
        <w:ind w:firstLine="720"/>
      </w:pPr>
      <w:r>
        <w:t xml:space="preserve">Based on the number of applications initially determined eligible and acceptable for filing, the Bureau will need to review and evaluate the </w:t>
      </w:r>
      <w:r w:rsidRPr="00F1683B">
        <w:t xml:space="preserve">reasonableness of approximately </w:t>
      </w:r>
      <w:r w:rsidRPr="00E96AC4">
        <w:t>439,000</w:t>
      </w:r>
      <w:r w:rsidRPr="00F1683B">
        <w:t xml:space="preserve"> separate cost estimates </w:t>
      </w:r>
      <w:r>
        <w:t xml:space="preserve">contained </w:t>
      </w:r>
      <w:r w:rsidRPr="00E96AC4">
        <w:t>in 162</w:t>
      </w:r>
      <w:r w:rsidRPr="00F1683B">
        <w:t xml:space="preserve"> applications</w:t>
      </w:r>
      <w:r w:rsidRPr="00E96AC4">
        <w:t>.  Given the number and complexity of</w:t>
      </w:r>
      <w:r>
        <w:t xml:space="preserve"> the applications received and the large volume of costs estimates requiring review, the Bureau will need additional time beyond the 90-day period to review the applications.</w:t>
      </w:r>
      <w:r>
        <w:rPr>
          <w:rStyle w:val="FootnoteReference"/>
        </w:rPr>
        <w:footnoteReference w:id="32"/>
      </w:r>
      <w:r>
        <w:t xml:space="preserve">  The Bureau, after considering various factors impacting application review, thus finds an extension necessary and accordingly extends the 90-day application review period by an additional 45 days as permitted by the Commission’s rules.</w:t>
      </w:r>
      <w:r>
        <w:rPr>
          <w:rStyle w:val="FootnoteReference"/>
        </w:rPr>
        <w:footnoteReference w:id="33"/>
      </w:r>
      <w:r>
        <w:t xml:space="preserve">  Accordingly, the deadline for the Bureau to “approve or deny” the submitted applications is extended from May 1, 2022 to June 15, 2022. </w:t>
      </w:r>
    </w:p>
    <w:p w:rsidR="00BD701F" w:rsidP="00BD701F" w14:paraId="6CA813F9" w14:textId="77777777">
      <w:pPr>
        <w:pStyle w:val="ParaNum"/>
        <w:numPr>
          <w:ilvl w:val="0"/>
          <w:numId w:val="0"/>
        </w:numPr>
        <w:ind w:firstLine="720"/>
      </w:pPr>
      <w:r w:rsidRPr="00BA5E8D">
        <w:rPr>
          <w:i/>
          <w:iCs/>
        </w:rPr>
        <w:t>Additional Information</w:t>
      </w:r>
      <w:r>
        <w:t xml:space="preserve">.  We encourage all applicants for the Reimbursement Program to review the </w:t>
      </w:r>
      <w:r w:rsidRPr="00A548C0">
        <w:rPr>
          <w:i/>
          <w:iCs/>
        </w:rPr>
        <w:t>Finalized Reimbursement Process Public Notice</w:t>
      </w:r>
      <w:r>
        <w:t>,</w:t>
      </w:r>
      <w:r>
        <w:rPr>
          <w:rStyle w:val="FootnoteReference"/>
        </w:rPr>
        <w:footnoteReference w:id="34"/>
      </w:r>
      <w:r>
        <w:t xml:space="preserve"> which adopts the final procedures for the Reimbursement Program application filing process.  Applicants with questions regarding its application may contact the Fund Administrator Help Desk by email at </w:t>
      </w:r>
      <w:hyperlink r:id="rId5" w:history="1">
        <w:r w:rsidRPr="00EF32C4">
          <w:rPr>
            <w:rStyle w:val="Hyperlink"/>
          </w:rPr>
          <w:t>SCRPFundAdmin@fcc.gov</w:t>
        </w:r>
      </w:hyperlink>
      <w:r>
        <w:t xml:space="preserve"> or by calling (202) 418-7540 from 9:00 AM ET to 5:00 PM ET, Monday through Friday, except for Federal holidays.  General information and Commission documents regarding the Reimbursement Program are available on the Reimbursement Program webpage, </w:t>
      </w:r>
      <w:hyperlink r:id="rId6" w:history="1">
        <w:r w:rsidRPr="00EF32C4">
          <w:rPr>
            <w:rStyle w:val="Hyperlink"/>
          </w:rPr>
          <w:t>https://www.fcc.gov/supplychain</w:t>
        </w:r>
      </w:hyperlink>
      <w:r>
        <w:t>.  A</w:t>
      </w:r>
      <w:r w:rsidRPr="00CF3CF2">
        <w:t xml:space="preserve">ll </w:t>
      </w:r>
      <w:r>
        <w:t xml:space="preserve">non-confidential </w:t>
      </w:r>
      <w:r w:rsidRPr="00CF3CF2">
        <w:t xml:space="preserve">filings </w:t>
      </w:r>
      <w:r w:rsidRPr="00CF3CF2">
        <w:t xml:space="preserve">submitted by participants in the </w:t>
      </w:r>
      <w:r>
        <w:t xml:space="preserve">Reimbursement Program are </w:t>
      </w:r>
      <w:r w:rsidRPr="00CF3CF2">
        <w:t xml:space="preserve">publicly available and searchable </w:t>
      </w:r>
      <w:r>
        <w:t xml:space="preserve">in the Public Search </w:t>
      </w:r>
      <w:r w:rsidRPr="00CF3CF2">
        <w:t>database</w:t>
      </w:r>
      <w:r>
        <w:t xml:space="preserve">, which is now available through the online portal at </w:t>
      </w:r>
      <w:hyperlink r:id="rId6" w:history="1">
        <w:r w:rsidRPr="00256B5A">
          <w:rPr>
            <w:rStyle w:val="Hyperlink"/>
          </w:rPr>
          <w:t>https://www.fcc.gov/supplychain</w:t>
        </w:r>
      </w:hyperlink>
      <w:r>
        <w:t>.</w:t>
      </w:r>
      <w:r>
        <w:rPr>
          <w:rStyle w:val="FootnoteReference"/>
        </w:rPr>
        <w:footnoteReference w:id="35"/>
      </w:r>
      <w:r>
        <w:t xml:space="preserve"> </w:t>
      </w:r>
    </w:p>
    <w:p w:rsidR="00F236D2" w:rsidP="00F236D2" w14:paraId="1F4CD508" w14:textId="1CE6331B">
      <w:pPr>
        <w:pStyle w:val="ParaNum"/>
        <w:numPr>
          <w:ilvl w:val="0"/>
          <w:numId w:val="0"/>
        </w:numPr>
      </w:pPr>
    </w:p>
    <w:p w:rsidR="001E1A58" w:rsidP="00F236D2" w14:paraId="46434D7A" w14:textId="49B371FB">
      <w:pPr>
        <w:pStyle w:val="ParaNum"/>
        <w:numPr>
          <w:ilvl w:val="0"/>
          <w:numId w:val="0"/>
        </w:numPr>
        <w:jc w:val="center"/>
        <w:rPr>
          <w:b/>
          <w:bCs/>
        </w:rPr>
      </w:pPr>
      <w:r w:rsidRPr="00F236D2">
        <w:rPr>
          <w:b/>
          <w:bCs/>
        </w:rPr>
        <w:t>-FCC-</w:t>
      </w:r>
    </w:p>
    <w:p w:rsidR="00BD701F" w:rsidP="001E1A58" w14:paraId="64B0D10F" w14:textId="04289423">
      <w:pPr>
        <w:pStyle w:val="ParaNum"/>
        <w:numPr>
          <w:ilvl w:val="0"/>
          <w:numId w:val="0"/>
        </w:numPr>
        <w:jc w:val="center"/>
        <w:rPr>
          <w:b/>
          <w:bCs/>
        </w:rPr>
      </w:pPr>
      <w:r>
        <w:rPr>
          <w:b/>
          <w:bCs/>
        </w:rPr>
        <w:br w:type="page"/>
      </w:r>
      <w:r>
        <w:rPr>
          <w:b/>
          <w:bCs/>
        </w:rPr>
        <w:t>APPENDIX</w:t>
      </w:r>
    </w:p>
    <w:p w:rsidR="00BD701F" w:rsidRPr="000D15B7" w:rsidP="00BD701F" w14:paraId="6E510802" w14:textId="77777777">
      <w:pPr>
        <w:jc w:val="center"/>
        <w:rPr>
          <w:b/>
          <w:bCs/>
        </w:rPr>
      </w:pPr>
    </w:p>
    <w:p w:rsidR="00BD701F" w:rsidP="00BD701F" w14:paraId="35AD3395" w14:textId="77777777">
      <w:pPr>
        <w:jc w:val="center"/>
        <w:rPr>
          <w:b/>
          <w:bCs/>
        </w:rPr>
      </w:pPr>
      <w:r>
        <w:rPr>
          <w:b/>
          <w:bCs/>
        </w:rPr>
        <w:t>FCC Secure and Trusted Communications Networks Program</w:t>
      </w:r>
    </w:p>
    <w:p w:rsidR="00BD701F" w:rsidP="00BD701F" w14:paraId="50A0A289" w14:textId="77777777">
      <w:pPr>
        <w:jc w:val="center"/>
        <w:rPr>
          <w:b/>
          <w:bCs/>
        </w:rPr>
      </w:pPr>
      <w:r w:rsidRPr="000D15B7">
        <w:rPr>
          <w:b/>
          <w:bCs/>
        </w:rPr>
        <w:t>Applications Found Initially Eligible and Acceptable for Filing</w:t>
      </w:r>
    </w:p>
    <w:p w:rsidR="00BD701F" w:rsidRPr="00C27B55" w:rsidP="00BD701F" w14:paraId="3D883F95" w14:textId="77777777">
      <w:pPr>
        <w:jc w:val="center"/>
      </w:pPr>
    </w:p>
    <w:tbl>
      <w:tblPr>
        <w:tblW w:w="7784" w:type="dxa"/>
        <w:jc w:val="center"/>
        <w:tblLayout w:type="fixed"/>
        <w:tblCellMar>
          <w:left w:w="30" w:type="dxa"/>
          <w:right w:w="30" w:type="dxa"/>
        </w:tblCellMar>
        <w:tblLook w:val="0000"/>
      </w:tblPr>
      <w:tblGrid>
        <w:gridCol w:w="5734"/>
        <w:gridCol w:w="2050"/>
      </w:tblGrid>
      <w:tr w14:paraId="18C8E065" w14:textId="77777777" w:rsidTr="00BD701F">
        <w:tblPrEx>
          <w:tblW w:w="7784" w:type="dxa"/>
          <w:jc w:val="center"/>
          <w:tblLayout w:type="fixed"/>
          <w:tblCellMar>
            <w:left w:w="30" w:type="dxa"/>
            <w:right w:w="30" w:type="dxa"/>
          </w:tblCellMar>
          <w:tblLook w:val="0000"/>
        </w:tblPrEx>
        <w:trPr>
          <w:trHeight w:val="288"/>
          <w:tblHeader/>
          <w:jc w:val="center"/>
        </w:trPr>
        <w:tc>
          <w:tcPr>
            <w:tcW w:w="5734" w:type="dxa"/>
            <w:tcBorders>
              <w:top w:val="single" w:sz="6" w:space="0" w:color="auto"/>
              <w:left w:val="single" w:sz="6" w:space="0" w:color="auto"/>
              <w:bottom w:val="single" w:sz="6" w:space="0" w:color="auto"/>
              <w:right w:val="single" w:sz="6" w:space="0" w:color="auto"/>
            </w:tcBorders>
            <w:shd w:val="clear" w:color="auto" w:fill="BFBFBF"/>
          </w:tcPr>
          <w:p w:rsidR="00BD701F" w:rsidRPr="00363BF8" w:rsidP="000C64E1" w14:paraId="2EFBFA7E" w14:textId="77777777">
            <w:pPr>
              <w:autoSpaceDE w:val="0"/>
              <w:autoSpaceDN w:val="0"/>
              <w:adjustRightInd w:val="0"/>
              <w:jc w:val="center"/>
              <w:rPr>
                <w:b/>
                <w:bCs/>
                <w:color w:val="000000"/>
                <w:sz w:val="24"/>
                <w:szCs w:val="24"/>
              </w:rPr>
            </w:pPr>
            <w:r w:rsidRPr="00363BF8">
              <w:rPr>
                <w:b/>
                <w:bCs/>
                <w:color w:val="000000"/>
                <w:sz w:val="24"/>
                <w:szCs w:val="24"/>
              </w:rPr>
              <w:t>Applicant Name</w:t>
            </w:r>
          </w:p>
        </w:tc>
        <w:tc>
          <w:tcPr>
            <w:tcW w:w="2050" w:type="dxa"/>
            <w:tcBorders>
              <w:top w:val="single" w:sz="6" w:space="0" w:color="auto"/>
              <w:left w:val="single" w:sz="6" w:space="0" w:color="auto"/>
              <w:bottom w:val="single" w:sz="6" w:space="0" w:color="auto"/>
              <w:right w:val="single" w:sz="6" w:space="0" w:color="auto"/>
            </w:tcBorders>
            <w:shd w:val="clear" w:color="auto" w:fill="BFBFBF"/>
          </w:tcPr>
          <w:p w:rsidR="00BD701F" w:rsidRPr="00363BF8" w:rsidP="000C64E1" w14:paraId="13C57291" w14:textId="77777777">
            <w:pPr>
              <w:autoSpaceDE w:val="0"/>
              <w:autoSpaceDN w:val="0"/>
              <w:adjustRightInd w:val="0"/>
              <w:jc w:val="center"/>
              <w:rPr>
                <w:b/>
                <w:bCs/>
                <w:color w:val="000000"/>
                <w:sz w:val="24"/>
                <w:szCs w:val="24"/>
              </w:rPr>
            </w:pPr>
            <w:r w:rsidRPr="00363BF8">
              <w:rPr>
                <w:b/>
                <w:bCs/>
                <w:color w:val="000000"/>
                <w:sz w:val="24"/>
                <w:szCs w:val="24"/>
              </w:rPr>
              <w:t>File Number</w:t>
            </w:r>
          </w:p>
        </w:tc>
      </w:tr>
      <w:tr w14:paraId="21E762BE"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6" w:space="0" w:color="auto"/>
              <w:left w:val="single" w:sz="6" w:space="0" w:color="auto"/>
              <w:bottom w:val="single" w:sz="6" w:space="0" w:color="auto"/>
              <w:right w:val="single" w:sz="6" w:space="0" w:color="auto"/>
            </w:tcBorders>
          </w:tcPr>
          <w:p w:rsidR="00BD701F" w:rsidRPr="002661A8" w:rsidP="000C64E1" w14:paraId="6D55539D" w14:textId="77777777">
            <w:pPr>
              <w:autoSpaceDE w:val="0"/>
              <w:autoSpaceDN w:val="0"/>
              <w:adjustRightInd w:val="0"/>
              <w:rPr>
                <w:color w:val="000000"/>
              </w:rPr>
            </w:pPr>
            <w:r w:rsidRPr="002661A8">
              <w:rPr>
                <w:color w:val="000000"/>
              </w:rPr>
              <w:t>Angeles Enterprises</w:t>
            </w:r>
          </w:p>
        </w:tc>
        <w:tc>
          <w:tcPr>
            <w:tcW w:w="2050" w:type="dxa"/>
            <w:tcBorders>
              <w:top w:val="single" w:sz="6" w:space="0" w:color="auto"/>
              <w:left w:val="single" w:sz="6" w:space="0" w:color="auto"/>
              <w:bottom w:val="single" w:sz="6" w:space="0" w:color="auto"/>
              <w:right w:val="single" w:sz="6" w:space="0" w:color="auto"/>
            </w:tcBorders>
          </w:tcPr>
          <w:p w:rsidR="00BD701F" w:rsidRPr="002661A8" w:rsidP="000C64E1" w14:paraId="7D758E77" w14:textId="77777777">
            <w:pPr>
              <w:autoSpaceDE w:val="0"/>
              <w:autoSpaceDN w:val="0"/>
              <w:adjustRightInd w:val="0"/>
              <w:rPr>
                <w:color w:val="000000"/>
              </w:rPr>
            </w:pPr>
            <w:r w:rsidRPr="002661A8">
              <w:rPr>
                <w:color w:val="000000"/>
              </w:rPr>
              <w:t>SCRP0001009</w:t>
            </w:r>
          </w:p>
        </w:tc>
      </w:tr>
      <w:tr w14:paraId="7BD01F22"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6" w:space="0" w:color="auto"/>
              <w:left w:val="single" w:sz="6" w:space="0" w:color="auto"/>
              <w:bottom w:val="single" w:sz="6" w:space="0" w:color="auto"/>
              <w:right w:val="single" w:sz="6" w:space="0" w:color="auto"/>
            </w:tcBorders>
          </w:tcPr>
          <w:p w:rsidR="00BD701F" w:rsidRPr="002661A8" w:rsidP="000C64E1" w14:paraId="44C3E213" w14:textId="77777777">
            <w:pPr>
              <w:autoSpaceDE w:val="0"/>
              <w:autoSpaceDN w:val="0"/>
              <w:adjustRightInd w:val="0"/>
              <w:rPr>
                <w:color w:val="000000"/>
              </w:rPr>
            </w:pPr>
            <w:r w:rsidRPr="002661A8">
              <w:rPr>
                <w:color w:val="000000"/>
              </w:rPr>
              <w:t xml:space="preserve">AST Telecom, LLC d/b/a </w:t>
            </w:r>
            <w:r w:rsidRPr="002661A8">
              <w:rPr>
                <w:color w:val="000000"/>
              </w:rPr>
              <w:t>Bluesky</w:t>
            </w:r>
          </w:p>
        </w:tc>
        <w:tc>
          <w:tcPr>
            <w:tcW w:w="2050" w:type="dxa"/>
            <w:tcBorders>
              <w:top w:val="single" w:sz="6" w:space="0" w:color="auto"/>
              <w:left w:val="single" w:sz="6" w:space="0" w:color="auto"/>
              <w:bottom w:val="single" w:sz="6" w:space="0" w:color="auto"/>
              <w:right w:val="single" w:sz="6" w:space="0" w:color="auto"/>
            </w:tcBorders>
          </w:tcPr>
          <w:p w:rsidR="00BD701F" w:rsidRPr="002661A8" w:rsidP="000C64E1" w14:paraId="29C4BE95" w14:textId="77777777">
            <w:pPr>
              <w:autoSpaceDE w:val="0"/>
              <w:autoSpaceDN w:val="0"/>
              <w:adjustRightInd w:val="0"/>
              <w:rPr>
                <w:color w:val="000000"/>
              </w:rPr>
            </w:pPr>
            <w:r w:rsidRPr="002661A8">
              <w:rPr>
                <w:color w:val="000000"/>
              </w:rPr>
              <w:t>SCRP0001076</w:t>
            </w:r>
          </w:p>
        </w:tc>
      </w:tr>
      <w:tr w14:paraId="4A60E726"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6" w:space="0" w:color="auto"/>
              <w:left w:val="single" w:sz="6" w:space="0" w:color="auto"/>
              <w:bottom w:val="single" w:sz="6" w:space="0" w:color="auto"/>
              <w:right w:val="single" w:sz="6" w:space="0" w:color="auto"/>
            </w:tcBorders>
          </w:tcPr>
          <w:p w:rsidR="00BD701F" w:rsidRPr="002661A8" w:rsidP="000C64E1" w14:paraId="7A4766B7" w14:textId="77777777">
            <w:pPr>
              <w:autoSpaceDE w:val="0"/>
              <w:autoSpaceDN w:val="0"/>
              <w:adjustRightInd w:val="0"/>
              <w:rPr>
                <w:color w:val="000000"/>
              </w:rPr>
            </w:pPr>
            <w:r w:rsidRPr="002661A8">
              <w:rPr>
                <w:color w:val="000000"/>
              </w:rPr>
              <w:t>Beamspeed</w:t>
            </w:r>
            <w:r w:rsidRPr="002661A8">
              <w:rPr>
                <w:color w:val="000000"/>
              </w:rPr>
              <w:t>, L.L.C.</w:t>
            </w:r>
          </w:p>
        </w:tc>
        <w:tc>
          <w:tcPr>
            <w:tcW w:w="2050" w:type="dxa"/>
            <w:tcBorders>
              <w:top w:val="single" w:sz="6" w:space="0" w:color="auto"/>
              <w:left w:val="single" w:sz="6" w:space="0" w:color="auto"/>
              <w:bottom w:val="single" w:sz="6" w:space="0" w:color="auto"/>
              <w:right w:val="single" w:sz="6" w:space="0" w:color="auto"/>
            </w:tcBorders>
          </w:tcPr>
          <w:p w:rsidR="00BD701F" w:rsidRPr="002661A8" w:rsidP="000C64E1" w14:paraId="203C74FE" w14:textId="77777777">
            <w:pPr>
              <w:autoSpaceDE w:val="0"/>
              <w:autoSpaceDN w:val="0"/>
              <w:adjustRightInd w:val="0"/>
              <w:rPr>
                <w:color w:val="000000"/>
              </w:rPr>
            </w:pPr>
            <w:r w:rsidRPr="002661A8">
              <w:rPr>
                <w:color w:val="000000"/>
              </w:rPr>
              <w:t>SCRP0001010</w:t>
            </w:r>
          </w:p>
        </w:tc>
      </w:tr>
      <w:tr w14:paraId="67FD40BA"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6" w:space="0" w:color="auto"/>
              <w:left w:val="single" w:sz="6" w:space="0" w:color="auto"/>
              <w:bottom w:val="single" w:sz="6" w:space="0" w:color="auto"/>
              <w:right w:val="single" w:sz="6" w:space="0" w:color="auto"/>
            </w:tcBorders>
          </w:tcPr>
          <w:p w:rsidR="00BD701F" w:rsidRPr="002661A8" w:rsidP="000C64E1" w14:paraId="02908376" w14:textId="77777777">
            <w:pPr>
              <w:autoSpaceDE w:val="0"/>
              <w:autoSpaceDN w:val="0"/>
              <w:adjustRightInd w:val="0"/>
              <w:rPr>
                <w:color w:val="000000"/>
              </w:rPr>
            </w:pPr>
            <w:r w:rsidRPr="002661A8">
              <w:rPr>
                <w:color w:val="000000"/>
              </w:rPr>
              <w:t>Board of Trustees, Northern Michigan University</w:t>
            </w:r>
          </w:p>
        </w:tc>
        <w:tc>
          <w:tcPr>
            <w:tcW w:w="2050" w:type="dxa"/>
            <w:tcBorders>
              <w:top w:val="single" w:sz="6" w:space="0" w:color="auto"/>
              <w:left w:val="single" w:sz="6" w:space="0" w:color="auto"/>
              <w:bottom w:val="single" w:sz="6" w:space="0" w:color="auto"/>
              <w:right w:val="single" w:sz="6" w:space="0" w:color="auto"/>
            </w:tcBorders>
          </w:tcPr>
          <w:p w:rsidR="00BD701F" w:rsidRPr="002661A8" w:rsidP="000C64E1" w14:paraId="7D0FF37F" w14:textId="77777777">
            <w:pPr>
              <w:autoSpaceDE w:val="0"/>
              <w:autoSpaceDN w:val="0"/>
              <w:adjustRightInd w:val="0"/>
              <w:rPr>
                <w:color w:val="000000"/>
              </w:rPr>
            </w:pPr>
            <w:r w:rsidRPr="002661A8">
              <w:rPr>
                <w:color w:val="000000"/>
              </w:rPr>
              <w:t>SCRP0001040</w:t>
            </w:r>
          </w:p>
        </w:tc>
      </w:tr>
      <w:tr w14:paraId="66670F3B"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6" w:space="0" w:color="auto"/>
              <w:left w:val="single" w:sz="6" w:space="0" w:color="auto"/>
              <w:bottom w:val="single" w:sz="6" w:space="0" w:color="auto"/>
              <w:right w:val="single" w:sz="6" w:space="0" w:color="auto"/>
            </w:tcBorders>
          </w:tcPr>
          <w:p w:rsidR="00BD701F" w:rsidRPr="002661A8" w:rsidP="000C64E1" w14:paraId="79A91E92" w14:textId="77777777">
            <w:pPr>
              <w:autoSpaceDE w:val="0"/>
              <w:autoSpaceDN w:val="0"/>
              <w:adjustRightInd w:val="0"/>
              <w:rPr>
                <w:color w:val="000000"/>
              </w:rPr>
            </w:pPr>
            <w:r w:rsidRPr="002661A8">
              <w:rPr>
                <w:color w:val="000000"/>
              </w:rPr>
              <w:t>Central Louisiana Cellular, LLC</w:t>
            </w:r>
          </w:p>
        </w:tc>
        <w:tc>
          <w:tcPr>
            <w:tcW w:w="2050" w:type="dxa"/>
            <w:tcBorders>
              <w:top w:val="single" w:sz="6" w:space="0" w:color="auto"/>
              <w:left w:val="single" w:sz="6" w:space="0" w:color="auto"/>
              <w:bottom w:val="single" w:sz="6" w:space="0" w:color="auto"/>
              <w:right w:val="single" w:sz="6" w:space="0" w:color="auto"/>
            </w:tcBorders>
          </w:tcPr>
          <w:p w:rsidR="00BD701F" w:rsidRPr="002661A8" w:rsidP="000C64E1" w14:paraId="6806C2AB" w14:textId="77777777">
            <w:pPr>
              <w:autoSpaceDE w:val="0"/>
              <w:autoSpaceDN w:val="0"/>
              <w:adjustRightInd w:val="0"/>
              <w:rPr>
                <w:color w:val="000000"/>
              </w:rPr>
            </w:pPr>
            <w:r w:rsidRPr="002661A8">
              <w:rPr>
                <w:color w:val="000000"/>
              </w:rPr>
              <w:t>SCRP0001042</w:t>
            </w:r>
          </w:p>
        </w:tc>
      </w:tr>
      <w:tr w14:paraId="20F4FAAC" w14:textId="77777777" w:rsidTr="000C64E1">
        <w:tblPrEx>
          <w:tblW w:w="7784" w:type="dxa"/>
          <w:jc w:val="center"/>
          <w:tblLayout w:type="fixed"/>
          <w:tblCellMar>
            <w:left w:w="30" w:type="dxa"/>
            <w:right w:w="30" w:type="dxa"/>
          </w:tblCellMar>
          <w:tblLook w:val="0000"/>
        </w:tblPrEx>
        <w:trPr>
          <w:trHeight w:val="1080"/>
          <w:jc w:val="center"/>
        </w:trPr>
        <w:tc>
          <w:tcPr>
            <w:tcW w:w="5734" w:type="dxa"/>
            <w:tcBorders>
              <w:top w:val="single" w:sz="6" w:space="0" w:color="auto"/>
              <w:left w:val="single" w:sz="6" w:space="0" w:color="auto"/>
              <w:right w:val="single" w:sz="6" w:space="0" w:color="auto"/>
            </w:tcBorders>
          </w:tcPr>
          <w:p w:rsidR="00BD701F" w:rsidRPr="002661A8" w:rsidP="000C64E1" w14:paraId="1AC046F8" w14:textId="77777777">
            <w:pPr>
              <w:autoSpaceDE w:val="0"/>
              <w:autoSpaceDN w:val="0"/>
              <w:adjustRightInd w:val="0"/>
              <w:rPr>
                <w:color w:val="000000"/>
              </w:rPr>
            </w:pPr>
            <w:r w:rsidRPr="002661A8">
              <w:rPr>
                <w:color w:val="000000"/>
              </w:rPr>
              <w:t>Commnet</w:t>
            </w:r>
            <w:r w:rsidRPr="002661A8">
              <w:rPr>
                <w:color w:val="000000"/>
              </w:rPr>
              <w:t xml:space="preserve"> Wireless, LLC</w:t>
            </w:r>
          </w:p>
          <w:p w:rsidR="00BD701F" w:rsidRPr="002661A8" w:rsidP="000C64E1" w14:paraId="5D6F4739" w14:textId="77777777">
            <w:pPr>
              <w:autoSpaceDE w:val="0"/>
              <w:autoSpaceDN w:val="0"/>
              <w:adjustRightInd w:val="0"/>
              <w:rPr>
                <w:color w:val="000000"/>
              </w:rPr>
            </w:pPr>
          </w:p>
        </w:tc>
        <w:tc>
          <w:tcPr>
            <w:tcW w:w="2050" w:type="dxa"/>
            <w:tcBorders>
              <w:top w:val="single" w:sz="6" w:space="0" w:color="auto"/>
              <w:left w:val="single" w:sz="6" w:space="0" w:color="auto"/>
              <w:right w:val="single" w:sz="6" w:space="0" w:color="auto"/>
            </w:tcBorders>
          </w:tcPr>
          <w:p w:rsidR="00BD701F" w:rsidP="000C64E1" w14:paraId="110C3937" w14:textId="77777777">
            <w:pPr>
              <w:autoSpaceDE w:val="0"/>
              <w:autoSpaceDN w:val="0"/>
              <w:adjustRightInd w:val="0"/>
              <w:rPr>
                <w:color w:val="000000"/>
              </w:rPr>
            </w:pPr>
            <w:r w:rsidRPr="002661A8">
              <w:rPr>
                <w:color w:val="000000"/>
              </w:rPr>
              <w:t>SCRP0001026</w:t>
            </w:r>
          </w:p>
          <w:p w:rsidR="00BD701F" w:rsidRPr="002661A8" w:rsidP="000C64E1" w14:paraId="1CFBAEDA" w14:textId="77777777">
            <w:pPr>
              <w:autoSpaceDE w:val="0"/>
              <w:autoSpaceDN w:val="0"/>
              <w:adjustRightInd w:val="0"/>
              <w:rPr>
                <w:color w:val="000000"/>
              </w:rPr>
            </w:pPr>
            <w:r w:rsidRPr="002661A8">
              <w:rPr>
                <w:color w:val="000000"/>
              </w:rPr>
              <w:t>SCRP0001027</w:t>
            </w:r>
          </w:p>
          <w:p w:rsidR="00BD701F" w:rsidRPr="002661A8" w:rsidP="000C64E1" w14:paraId="7E6F99B0" w14:textId="77777777">
            <w:pPr>
              <w:autoSpaceDE w:val="0"/>
              <w:autoSpaceDN w:val="0"/>
              <w:adjustRightInd w:val="0"/>
              <w:rPr>
                <w:color w:val="000000"/>
              </w:rPr>
            </w:pPr>
            <w:r w:rsidRPr="002661A8">
              <w:rPr>
                <w:color w:val="000000"/>
              </w:rPr>
              <w:t>SCRP0001028</w:t>
            </w:r>
          </w:p>
          <w:p w:rsidR="00BD701F" w:rsidP="000C64E1" w14:paraId="1A67F37E" w14:textId="77777777">
            <w:pPr>
              <w:autoSpaceDE w:val="0"/>
              <w:autoSpaceDN w:val="0"/>
              <w:adjustRightInd w:val="0"/>
              <w:rPr>
                <w:color w:val="000000"/>
              </w:rPr>
            </w:pPr>
            <w:r w:rsidRPr="002661A8">
              <w:rPr>
                <w:color w:val="000000"/>
              </w:rPr>
              <w:t>SCRP0001029</w:t>
            </w:r>
          </w:p>
        </w:tc>
      </w:tr>
      <w:tr w14:paraId="0ACEBB40"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6" w:space="0" w:color="auto"/>
              <w:left w:val="single" w:sz="6" w:space="0" w:color="auto"/>
              <w:bottom w:val="single" w:sz="6" w:space="0" w:color="auto"/>
              <w:right w:val="single" w:sz="6" w:space="0" w:color="auto"/>
            </w:tcBorders>
          </w:tcPr>
          <w:p w:rsidR="00BD701F" w:rsidRPr="002661A8" w:rsidP="000C64E1" w14:paraId="7141606A" w14:textId="77777777">
            <w:pPr>
              <w:autoSpaceDE w:val="0"/>
              <w:autoSpaceDN w:val="0"/>
              <w:adjustRightInd w:val="0"/>
              <w:rPr>
                <w:color w:val="000000"/>
              </w:rPr>
            </w:pPr>
            <w:r w:rsidRPr="002661A8">
              <w:rPr>
                <w:color w:val="000000"/>
              </w:rPr>
              <w:t>Copper Valley Wireless, LLC</w:t>
            </w:r>
          </w:p>
        </w:tc>
        <w:tc>
          <w:tcPr>
            <w:tcW w:w="2050" w:type="dxa"/>
            <w:tcBorders>
              <w:top w:val="single" w:sz="6" w:space="0" w:color="auto"/>
              <w:left w:val="single" w:sz="6" w:space="0" w:color="auto"/>
              <w:bottom w:val="single" w:sz="6" w:space="0" w:color="auto"/>
              <w:right w:val="single" w:sz="6" w:space="0" w:color="auto"/>
            </w:tcBorders>
          </w:tcPr>
          <w:p w:rsidR="00BD701F" w:rsidRPr="002661A8" w:rsidP="000C64E1" w14:paraId="741CAABB" w14:textId="77777777">
            <w:pPr>
              <w:autoSpaceDE w:val="0"/>
              <w:autoSpaceDN w:val="0"/>
              <w:adjustRightInd w:val="0"/>
              <w:rPr>
                <w:color w:val="000000"/>
              </w:rPr>
            </w:pPr>
            <w:r w:rsidRPr="002661A8">
              <w:rPr>
                <w:color w:val="000000"/>
              </w:rPr>
              <w:t>SCRP0001157</w:t>
            </w:r>
          </w:p>
        </w:tc>
      </w:tr>
      <w:tr w14:paraId="686C034C"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6" w:space="0" w:color="auto"/>
              <w:left w:val="single" w:sz="6" w:space="0" w:color="auto"/>
              <w:bottom w:val="single" w:sz="6" w:space="0" w:color="auto"/>
              <w:right w:val="single" w:sz="6" w:space="0" w:color="auto"/>
            </w:tcBorders>
          </w:tcPr>
          <w:p w:rsidR="00BD701F" w:rsidRPr="002661A8" w:rsidP="000C64E1" w14:paraId="37F24EB5" w14:textId="77777777">
            <w:pPr>
              <w:autoSpaceDE w:val="0"/>
              <w:autoSpaceDN w:val="0"/>
              <w:adjustRightInd w:val="0"/>
              <w:rPr>
                <w:color w:val="000000"/>
              </w:rPr>
            </w:pPr>
            <w:r w:rsidRPr="002661A8">
              <w:rPr>
                <w:color w:val="000000"/>
              </w:rPr>
              <w:t>Country Wireless LLC</w:t>
            </w:r>
          </w:p>
        </w:tc>
        <w:tc>
          <w:tcPr>
            <w:tcW w:w="2050" w:type="dxa"/>
            <w:tcBorders>
              <w:top w:val="single" w:sz="6" w:space="0" w:color="auto"/>
              <w:left w:val="single" w:sz="6" w:space="0" w:color="auto"/>
              <w:bottom w:val="single" w:sz="6" w:space="0" w:color="auto"/>
              <w:right w:val="single" w:sz="6" w:space="0" w:color="auto"/>
            </w:tcBorders>
          </w:tcPr>
          <w:p w:rsidR="00BD701F" w:rsidRPr="002661A8" w:rsidP="000C64E1" w14:paraId="65C24207" w14:textId="77777777">
            <w:pPr>
              <w:autoSpaceDE w:val="0"/>
              <w:autoSpaceDN w:val="0"/>
              <w:adjustRightInd w:val="0"/>
              <w:rPr>
                <w:color w:val="000000"/>
              </w:rPr>
            </w:pPr>
            <w:r w:rsidRPr="002661A8">
              <w:rPr>
                <w:color w:val="000000"/>
              </w:rPr>
              <w:t>SCRP0001017</w:t>
            </w:r>
          </w:p>
        </w:tc>
      </w:tr>
      <w:tr w14:paraId="31452C01"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6" w:space="0" w:color="auto"/>
              <w:left w:val="single" w:sz="6" w:space="0" w:color="auto"/>
              <w:bottom w:val="single" w:sz="6" w:space="0" w:color="auto"/>
              <w:right w:val="single" w:sz="6" w:space="0" w:color="auto"/>
            </w:tcBorders>
          </w:tcPr>
          <w:p w:rsidR="00BD701F" w:rsidRPr="002661A8" w:rsidP="000C64E1" w14:paraId="12C76503" w14:textId="77777777">
            <w:pPr>
              <w:autoSpaceDE w:val="0"/>
              <w:autoSpaceDN w:val="0"/>
              <w:adjustRightInd w:val="0"/>
              <w:rPr>
                <w:color w:val="000000"/>
              </w:rPr>
            </w:pPr>
            <w:r w:rsidRPr="002661A8">
              <w:rPr>
                <w:color w:val="000000"/>
              </w:rPr>
              <w:t>Eastern Oregon Telecom, LLC</w:t>
            </w:r>
          </w:p>
        </w:tc>
        <w:tc>
          <w:tcPr>
            <w:tcW w:w="2050" w:type="dxa"/>
            <w:tcBorders>
              <w:top w:val="single" w:sz="6" w:space="0" w:color="auto"/>
              <w:left w:val="single" w:sz="6" w:space="0" w:color="auto"/>
              <w:bottom w:val="single" w:sz="6" w:space="0" w:color="auto"/>
              <w:right w:val="single" w:sz="6" w:space="0" w:color="auto"/>
            </w:tcBorders>
          </w:tcPr>
          <w:p w:rsidR="00BD701F" w:rsidRPr="002661A8" w:rsidP="000C64E1" w14:paraId="067AD4DF" w14:textId="77777777">
            <w:pPr>
              <w:autoSpaceDE w:val="0"/>
              <w:autoSpaceDN w:val="0"/>
              <w:adjustRightInd w:val="0"/>
              <w:rPr>
                <w:color w:val="000000"/>
              </w:rPr>
            </w:pPr>
            <w:r w:rsidRPr="002661A8">
              <w:rPr>
                <w:color w:val="000000"/>
              </w:rPr>
              <w:t>SCRP0001037</w:t>
            </w:r>
          </w:p>
        </w:tc>
      </w:tr>
      <w:tr w14:paraId="3B5B59CB"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6" w:space="0" w:color="auto"/>
              <w:left w:val="single" w:sz="6" w:space="0" w:color="auto"/>
              <w:bottom w:val="single" w:sz="6" w:space="0" w:color="auto"/>
              <w:right w:val="single" w:sz="6" w:space="0" w:color="auto"/>
            </w:tcBorders>
          </w:tcPr>
          <w:p w:rsidR="00BD701F" w:rsidRPr="002661A8" w:rsidP="000C64E1" w14:paraId="45B5F6A8" w14:textId="77777777">
            <w:pPr>
              <w:autoSpaceDE w:val="0"/>
              <w:autoSpaceDN w:val="0"/>
              <w:adjustRightInd w:val="0"/>
              <w:rPr>
                <w:color w:val="000000"/>
              </w:rPr>
            </w:pPr>
            <w:r w:rsidRPr="002661A8">
              <w:rPr>
                <w:color w:val="000000"/>
              </w:rPr>
              <w:t>Eltopia</w:t>
            </w:r>
            <w:r w:rsidRPr="002661A8">
              <w:rPr>
                <w:color w:val="000000"/>
              </w:rPr>
              <w:t xml:space="preserve"> Communications, LLC</w:t>
            </w:r>
          </w:p>
        </w:tc>
        <w:tc>
          <w:tcPr>
            <w:tcW w:w="2050" w:type="dxa"/>
            <w:tcBorders>
              <w:top w:val="single" w:sz="6" w:space="0" w:color="auto"/>
              <w:left w:val="single" w:sz="6" w:space="0" w:color="auto"/>
              <w:bottom w:val="single" w:sz="6" w:space="0" w:color="auto"/>
              <w:right w:val="single" w:sz="6" w:space="0" w:color="auto"/>
            </w:tcBorders>
          </w:tcPr>
          <w:p w:rsidR="00BD701F" w:rsidRPr="002661A8" w:rsidP="000C64E1" w14:paraId="70C47221" w14:textId="77777777">
            <w:pPr>
              <w:autoSpaceDE w:val="0"/>
              <w:autoSpaceDN w:val="0"/>
              <w:adjustRightInd w:val="0"/>
              <w:rPr>
                <w:color w:val="000000"/>
              </w:rPr>
            </w:pPr>
            <w:r w:rsidRPr="002661A8">
              <w:rPr>
                <w:color w:val="000000"/>
              </w:rPr>
              <w:t>SCRP0001167</w:t>
            </w:r>
          </w:p>
        </w:tc>
      </w:tr>
      <w:tr w14:paraId="2C1BB3F6"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6" w:space="0" w:color="auto"/>
              <w:left w:val="single" w:sz="6" w:space="0" w:color="auto"/>
              <w:bottom w:val="single" w:sz="6" w:space="0" w:color="auto"/>
              <w:right w:val="single" w:sz="6" w:space="0" w:color="auto"/>
            </w:tcBorders>
          </w:tcPr>
          <w:p w:rsidR="00BD701F" w:rsidRPr="002661A8" w:rsidP="000C64E1" w14:paraId="3A9099B0" w14:textId="77777777">
            <w:pPr>
              <w:autoSpaceDE w:val="0"/>
              <w:autoSpaceDN w:val="0"/>
              <w:adjustRightInd w:val="0"/>
              <w:rPr>
                <w:color w:val="000000"/>
              </w:rPr>
            </w:pPr>
            <w:r w:rsidRPr="002661A8">
              <w:rPr>
                <w:color w:val="000000"/>
              </w:rPr>
              <w:t>FIF Utah LLC</w:t>
            </w:r>
          </w:p>
        </w:tc>
        <w:tc>
          <w:tcPr>
            <w:tcW w:w="2050" w:type="dxa"/>
            <w:tcBorders>
              <w:top w:val="single" w:sz="6" w:space="0" w:color="auto"/>
              <w:left w:val="single" w:sz="6" w:space="0" w:color="auto"/>
              <w:bottom w:val="single" w:sz="6" w:space="0" w:color="auto"/>
              <w:right w:val="single" w:sz="6" w:space="0" w:color="auto"/>
            </w:tcBorders>
          </w:tcPr>
          <w:p w:rsidR="00BD701F" w:rsidRPr="002661A8" w:rsidP="000C64E1" w14:paraId="5864BFB7" w14:textId="77777777">
            <w:pPr>
              <w:autoSpaceDE w:val="0"/>
              <w:autoSpaceDN w:val="0"/>
              <w:adjustRightInd w:val="0"/>
              <w:rPr>
                <w:color w:val="000000"/>
              </w:rPr>
            </w:pPr>
            <w:r w:rsidRPr="002661A8">
              <w:rPr>
                <w:color w:val="000000"/>
              </w:rPr>
              <w:t>SCRP0001006</w:t>
            </w:r>
          </w:p>
        </w:tc>
      </w:tr>
      <w:tr w14:paraId="09EA1700"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6" w:space="0" w:color="auto"/>
              <w:left w:val="single" w:sz="6" w:space="0" w:color="auto"/>
              <w:bottom w:val="single" w:sz="6" w:space="0" w:color="auto"/>
              <w:right w:val="single" w:sz="6" w:space="0" w:color="auto"/>
            </w:tcBorders>
          </w:tcPr>
          <w:p w:rsidR="00BD701F" w:rsidRPr="002661A8" w:rsidP="000C64E1" w14:paraId="3DD3AE19" w14:textId="77777777">
            <w:pPr>
              <w:autoSpaceDE w:val="0"/>
              <w:autoSpaceDN w:val="0"/>
              <w:adjustRightInd w:val="0"/>
              <w:rPr>
                <w:color w:val="000000"/>
              </w:rPr>
            </w:pPr>
            <w:r w:rsidRPr="002661A8">
              <w:rPr>
                <w:color w:val="000000"/>
              </w:rPr>
              <w:t>FirstLight</w:t>
            </w:r>
            <w:r w:rsidRPr="002661A8">
              <w:rPr>
                <w:color w:val="000000"/>
              </w:rPr>
              <w:t xml:space="preserve"> Fiber, Inc.</w:t>
            </w:r>
          </w:p>
        </w:tc>
        <w:tc>
          <w:tcPr>
            <w:tcW w:w="2050" w:type="dxa"/>
            <w:tcBorders>
              <w:top w:val="single" w:sz="6" w:space="0" w:color="auto"/>
              <w:left w:val="single" w:sz="6" w:space="0" w:color="auto"/>
              <w:bottom w:val="single" w:sz="6" w:space="0" w:color="auto"/>
              <w:right w:val="single" w:sz="6" w:space="0" w:color="auto"/>
            </w:tcBorders>
          </w:tcPr>
          <w:p w:rsidR="00BD701F" w:rsidRPr="002661A8" w:rsidP="000C64E1" w14:paraId="7CCAC4BA" w14:textId="77777777">
            <w:pPr>
              <w:autoSpaceDE w:val="0"/>
              <w:autoSpaceDN w:val="0"/>
              <w:adjustRightInd w:val="0"/>
              <w:rPr>
                <w:color w:val="000000"/>
              </w:rPr>
            </w:pPr>
            <w:r w:rsidRPr="002661A8">
              <w:rPr>
                <w:color w:val="000000"/>
              </w:rPr>
              <w:t>SCRP0001005</w:t>
            </w:r>
          </w:p>
        </w:tc>
      </w:tr>
      <w:tr w14:paraId="65C29B1E"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6" w:space="0" w:color="auto"/>
              <w:left w:val="single" w:sz="6" w:space="0" w:color="auto"/>
              <w:bottom w:val="single" w:sz="6" w:space="0" w:color="auto"/>
              <w:right w:val="single" w:sz="6" w:space="0" w:color="auto"/>
            </w:tcBorders>
          </w:tcPr>
          <w:p w:rsidR="00BD701F" w:rsidRPr="002661A8" w:rsidP="000C64E1" w14:paraId="7480FF30" w14:textId="77777777">
            <w:pPr>
              <w:autoSpaceDE w:val="0"/>
              <w:autoSpaceDN w:val="0"/>
              <w:adjustRightInd w:val="0"/>
              <w:rPr>
                <w:color w:val="000000"/>
              </w:rPr>
            </w:pPr>
            <w:r w:rsidRPr="002661A8">
              <w:rPr>
                <w:color w:val="000000"/>
              </w:rPr>
              <w:t>Flat Wireless, LLC</w:t>
            </w:r>
          </w:p>
        </w:tc>
        <w:tc>
          <w:tcPr>
            <w:tcW w:w="2050" w:type="dxa"/>
            <w:tcBorders>
              <w:top w:val="single" w:sz="6" w:space="0" w:color="auto"/>
              <w:left w:val="single" w:sz="6" w:space="0" w:color="auto"/>
              <w:bottom w:val="single" w:sz="6" w:space="0" w:color="auto"/>
              <w:right w:val="single" w:sz="6" w:space="0" w:color="auto"/>
            </w:tcBorders>
          </w:tcPr>
          <w:p w:rsidR="00BD701F" w:rsidRPr="002661A8" w:rsidP="000C64E1" w14:paraId="13CACA61" w14:textId="77777777">
            <w:pPr>
              <w:autoSpaceDE w:val="0"/>
              <w:autoSpaceDN w:val="0"/>
              <w:adjustRightInd w:val="0"/>
              <w:rPr>
                <w:color w:val="000000"/>
              </w:rPr>
            </w:pPr>
            <w:r w:rsidRPr="002661A8">
              <w:rPr>
                <w:color w:val="000000"/>
              </w:rPr>
              <w:t>SCRP0001103</w:t>
            </w:r>
          </w:p>
        </w:tc>
      </w:tr>
      <w:tr w14:paraId="257F4385"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6" w:space="0" w:color="auto"/>
              <w:left w:val="single" w:sz="6" w:space="0" w:color="auto"/>
              <w:bottom w:val="single" w:sz="6" w:space="0" w:color="auto"/>
              <w:right w:val="single" w:sz="6" w:space="0" w:color="auto"/>
            </w:tcBorders>
          </w:tcPr>
          <w:p w:rsidR="00BD701F" w:rsidRPr="002661A8" w:rsidP="000C64E1" w14:paraId="75C5AA5B" w14:textId="77777777">
            <w:pPr>
              <w:autoSpaceDE w:val="0"/>
              <w:autoSpaceDN w:val="0"/>
              <w:adjustRightInd w:val="0"/>
              <w:rPr>
                <w:color w:val="000000"/>
              </w:rPr>
            </w:pPr>
            <w:r w:rsidRPr="002661A8">
              <w:rPr>
                <w:color w:val="000000"/>
              </w:rPr>
              <w:t>Gallatin Wireless Internet, LLC</w:t>
            </w:r>
          </w:p>
        </w:tc>
        <w:tc>
          <w:tcPr>
            <w:tcW w:w="2050" w:type="dxa"/>
            <w:tcBorders>
              <w:top w:val="single" w:sz="6" w:space="0" w:color="auto"/>
              <w:left w:val="single" w:sz="6" w:space="0" w:color="auto"/>
              <w:bottom w:val="single" w:sz="6" w:space="0" w:color="auto"/>
              <w:right w:val="single" w:sz="6" w:space="0" w:color="auto"/>
            </w:tcBorders>
          </w:tcPr>
          <w:p w:rsidR="00BD701F" w:rsidRPr="002661A8" w:rsidP="000C64E1" w14:paraId="3B256ACE" w14:textId="77777777">
            <w:pPr>
              <w:autoSpaceDE w:val="0"/>
              <w:autoSpaceDN w:val="0"/>
              <w:adjustRightInd w:val="0"/>
              <w:rPr>
                <w:color w:val="000000"/>
              </w:rPr>
            </w:pPr>
            <w:r w:rsidRPr="002661A8">
              <w:rPr>
                <w:color w:val="000000"/>
              </w:rPr>
              <w:t>SCRP0001039</w:t>
            </w:r>
          </w:p>
        </w:tc>
      </w:tr>
      <w:tr w14:paraId="754480E7"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6" w:space="0" w:color="auto"/>
              <w:left w:val="single" w:sz="6" w:space="0" w:color="auto"/>
              <w:bottom w:val="single" w:sz="6" w:space="0" w:color="auto"/>
              <w:right w:val="single" w:sz="6" w:space="0" w:color="auto"/>
            </w:tcBorders>
          </w:tcPr>
          <w:p w:rsidR="00BD701F" w:rsidRPr="002661A8" w:rsidP="000C64E1" w14:paraId="1E4E0143" w14:textId="77777777">
            <w:pPr>
              <w:autoSpaceDE w:val="0"/>
              <w:autoSpaceDN w:val="0"/>
              <w:adjustRightInd w:val="0"/>
              <w:rPr>
                <w:color w:val="000000"/>
              </w:rPr>
            </w:pPr>
            <w:r w:rsidRPr="002661A8">
              <w:rPr>
                <w:color w:val="000000"/>
              </w:rPr>
              <w:t>Gigsky</w:t>
            </w:r>
            <w:r w:rsidRPr="002661A8">
              <w:rPr>
                <w:color w:val="000000"/>
              </w:rPr>
              <w:t>, Inc.</w:t>
            </w:r>
          </w:p>
        </w:tc>
        <w:tc>
          <w:tcPr>
            <w:tcW w:w="2050" w:type="dxa"/>
            <w:tcBorders>
              <w:top w:val="single" w:sz="6" w:space="0" w:color="auto"/>
              <w:left w:val="single" w:sz="6" w:space="0" w:color="auto"/>
              <w:bottom w:val="single" w:sz="6" w:space="0" w:color="auto"/>
              <w:right w:val="single" w:sz="6" w:space="0" w:color="auto"/>
            </w:tcBorders>
          </w:tcPr>
          <w:p w:rsidR="00BD701F" w:rsidRPr="002661A8" w:rsidP="000C64E1" w14:paraId="319326CE" w14:textId="77777777">
            <w:pPr>
              <w:autoSpaceDE w:val="0"/>
              <w:autoSpaceDN w:val="0"/>
              <w:adjustRightInd w:val="0"/>
              <w:rPr>
                <w:color w:val="000000"/>
              </w:rPr>
            </w:pPr>
            <w:r w:rsidRPr="002661A8">
              <w:rPr>
                <w:color w:val="000000"/>
              </w:rPr>
              <w:t>SCRP0001143</w:t>
            </w:r>
          </w:p>
        </w:tc>
      </w:tr>
      <w:tr w14:paraId="4860C53D"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6" w:space="0" w:color="auto"/>
              <w:left w:val="single" w:sz="6" w:space="0" w:color="auto"/>
              <w:bottom w:val="single" w:sz="6" w:space="0" w:color="auto"/>
              <w:right w:val="single" w:sz="6" w:space="0" w:color="auto"/>
            </w:tcBorders>
          </w:tcPr>
          <w:p w:rsidR="00BD701F" w:rsidRPr="002661A8" w:rsidP="000C64E1" w14:paraId="6012167A" w14:textId="77777777">
            <w:pPr>
              <w:autoSpaceDE w:val="0"/>
              <w:autoSpaceDN w:val="0"/>
              <w:adjustRightInd w:val="0"/>
              <w:rPr>
                <w:color w:val="000000"/>
              </w:rPr>
            </w:pPr>
            <w:r w:rsidRPr="002661A8">
              <w:rPr>
                <w:color w:val="000000"/>
              </w:rPr>
              <w:t>Gogo</w:t>
            </w:r>
            <w:r w:rsidRPr="002661A8">
              <w:rPr>
                <w:color w:val="000000"/>
              </w:rPr>
              <w:t xml:space="preserve"> Business Aviation LLC</w:t>
            </w:r>
          </w:p>
        </w:tc>
        <w:tc>
          <w:tcPr>
            <w:tcW w:w="2050" w:type="dxa"/>
            <w:tcBorders>
              <w:top w:val="single" w:sz="6" w:space="0" w:color="auto"/>
              <w:left w:val="single" w:sz="6" w:space="0" w:color="auto"/>
              <w:bottom w:val="single" w:sz="6" w:space="0" w:color="auto"/>
              <w:right w:val="single" w:sz="6" w:space="0" w:color="auto"/>
            </w:tcBorders>
          </w:tcPr>
          <w:p w:rsidR="00BD701F" w:rsidRPr="002661A8" w:rsidP="000C64E1" w14:paraId="30F52A33" w14:textId="77777777">
            <w:pPr>
              <w:autoSpaceDE w:val="0"/>
              <w:autoSpaceDN w:val="0"/>
              <w:adjustRightInd w:val="0"/>
              <w:rPr>
                <w:color w:val="000000"/>
              </w:rPr>
            </w:pPr>
            <w:r w:rsidRPr="002661A8">
              <w:rPr>
                <w:color w:val="000000"/>
              </w:rPr>
              <w:t>SCRP0001134</w:t>
            </w:r>
          </w:p>
        </w:tc>
      </w:tr>
      <w:tr w14:paraId="2234CA9E"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6" w:space="0" w:color="auto"/>
              <w:left w:val="single" w:sz="6" w:space="0" w:color="auto"/>
              <w:bottom w:val="single" w:sz="6" w:space="0" w:color="auto"/>
              <w:right w:val="single" w:sz="6" w:space="0" w:color="auto"/>
            </w:tcBorders>
          </w:tcPr>
          <w:p w:rsidR="00BD701F" w:rsidRPr="002661A8" w:rsidP="000C64E1" w14:paraId="437B7F6A" w14:textId="77777777">
            <w:pPr>
              <w:autoSpaceDE w:val="0"/>
              <w:autoSpaceDN w:val="0"/>
              <w:adjustRightInd w:val="0"/>
              <w:rPr>
                <w:color w:val="000000"/>
              </w:rPr>
            </w:pPr>
            <w:r w:rsidRPr="002661A8">
              <w:rPr>
                <w:color w:val="000000"/>
              </w:rPr>
              <w:t>Hargray</w:t>
            </w:r>
            <w:r w:rsidRPr="002661A8">
              <w:rPr>
                <w:color w:val="000000"/>
              </w:rPr>
              <w:t xml:space="preserve"> Communications Group, Inc.</w:t>
            </w:r>
          </w:p>
        </w:tc>
        <w:tc>
          <w:tcPr>
            <w:tcW w:w="2050" w:type="dxa"/>
            <w:tcBorders>
              <w:top w:val="single" w:sz="6" w:space="0" w:color="auto"/>
              <w:left w:val="single" w:sz="6" w:space="0" w:color="auto"/>
              <w:bottom w:val="single" w:sz="6" w:space="0" w:color="auto"/>
              <w:right w:val="single" w:sz="6" w:space="0" w:color="auto"/>
            </w:tcBorders>
          </w:tcPr>
          <w:p w:rsidR="00BD701F" w:rsidRPr="002661A8" w:rsidP="000C64E1" w14:paraId="73D3DF92" w14:textId="77777777">
            <w:pPr>
              <w:autoSpaceDE w:val="0"/>
              <w:autoSpaceDN w:val="0"/>
              <w:adjustRightInd w:val="0"/>
              <w:rPr>
                <w:color w:val="000000"/>
              </w:rPr>
            </w:pPr>
            <w:r w:rsidRPr="002661A8">
              <w:rPr>
                <w:color w:val="000000"/>
              </w:rPr>
              <w:t>SCRP0001101</w:t>
            </w:r>
          </w:p>
        </w:tc>
      </w:tr>
      <w:tr w14:paraId="4199AA6C" w14:textId="77777777" w:rsidTr="000C64E1">
        <w:tblPrEx>
          <w:tblW w:w="7784" w:type="dxa"/>
          <w:jc w:val="center"/>
          <w:tblLayout w:type="fixed"/>
          <w:tblCellMar>
            <w:left w:w="30" w:type="dxa"/>
            <w:right w:w="30" w:type="dxa"/>
          </w:tblCellMar>
          <w:tblLook w:val="0000"/>
        </w:tblPrEx>
        <w:trPr>
          <w:trHeight w:val="792"/>
          <w:jc w:val="center"/>
        </w:trPr>
        <w:tc>
          <w:tcPr>
            <w:tcW w:w="5734" w:type="dxa"/>
            <w:tcBorders>
              <w:top w:val="single" w:sz="6" w:space="0" w:color="auto"/>
              <w:left w:val="single" w:sz="6" w:space="0" w:color="auto"/>
              <w:right w:val="single" w:sz="6" w:space="0" w:color="auto"/>
            </w:tcBorders>
          </w:tcPr>
          <w:p w:rsidR="00BD701F" w:rsidRPr="002661A8" w:rsidP="000C64E1" w14:paraId="5E4DDC80" w14:textId="77777777">
            <w:pPr>
              <w:autoSpaceDE w:val="0"/>
              <w:autoSpaceDN w:val="0"/>
              <w:adjustRightInd w:val="0"/>
              <w:rPr>
                <w:color w:val="000000"/>
              </w:rPr>
            </w:pPr>
            <w:r w:rsidRPr="002661A8">
              <w:rPr>
                <w:color w:val="000000"/>
              </w:rPr>
              <w:t>Hotwire Communications, Ltd.</w:t>
            </w:r>
          </w:p>
          <w:p w:rsidR="00BD701F" w:rsidRPr="002661A8" w:rsidP="000C64E1" w14:paraId="6C10F0D1" w14:textId="77777777">
            <w:pPr>
              <w:autoSpaceDE w:val="0"/>
              <w:autoSpaceDN w:val="0"/>
              <w:adjustRightInd w:val="0"/>
              <w:rPr>
                <w:color w:val="000000"/>
              </w:rPr>
            </w:pPr>
          </w:p>
        </w:tc>
        <w:tc>
          <w:tcPr>
            <w:tcW w:w="2050" w:type="dxa"/>
            <w:tcBorders>
              <w:top w:val="single" w:sz="6" w:space="0" w:color="auto"/>
              <w:left w:val="single" w:sz="6" w:space="0" w:color="auto"/>
              <w:right w:val="single" w:sz="6" w:space="0" w:color="auto"/>
            </w:tcBorders>
          </w:tcPr>
          <w:p w:rsidR="00BD701F" w:rsidP="000C64E1" w14:paraId="60F3655B" w14:textId="77777777">
            <w:pPr>
              <w:autoSpaceDE w:val="0"/>
              <w:autoSpaceDN w:val="0"/>
              <w:adjustRightInd w:val="0"/>
              <w:rPr>
                <w:color w:val="000000"/>
              </w:rPr>
            </w:pPr>
            <w:r w:rsidRPr="002661A8">
              <w:rPr>
                <w:color w:val="000000"/>
              </w:rPr>
              <w:t>SCRP0001146</w:t>
            </w:r>
          </w:p>
          <w:p w:rsidR="00BD701F" w:rsidRPr="002661A8" w:rsidP="000C64E1" w14:paraId="74842F65" w14:textId="77777777">
            <w:pPr>
              <w:autoSpaceDE w:val="0"/>
              <w:autoSpaceDN w:val="0"/>
              <w:adjustRightInd w:val="0"/>
              <w:rPr>
                <w:color w:val="000000"/>
              </w:rPr>
            </w:pPr>
            <w:r w:rsidRPr="002661A8">
              <w:rPr>
                <w:color w:val="000000"/>
              </w:rPr>
              <w:t>SCRP0001147</w:t>
            </w:r>
          </w:p>
          <w:p w:rsidR="00BD701F" w:rsidP="000C64E1" w14:paraId="0E1B1FA5" w14:textId="77777777">
            <w:pPr>
              <w:autoSpaceDE w:val="0"/>
              <w:autoSpaceDN w:val="0"/>
              <w:adjustRightInd w:val="0"/>
              <w:rPr>
                <w:color w:val="000000"/>
              </w:rPr>
            </w:pPr>
            <w:r w:rsidRPr="002661A8">
              <w:rPr>
                <w:color w:val="000000"/>
              </w:rPr>
              <w:t>SCRP0001148</w:t>
            </w:r>
          </w:p>
        </w:tc>
      </w:tr>
      <w:tr w14:paraId="14593579"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6" w:space="0" w:color="auto"/>
              <w:left w:val="single" w:sz="6" w:space="0" w:color="auto"/>
              <w:bottom w:val="single" w:sz="6" w:space="0" w:color="auto"/>
              <w:right w:val="single" w:sz="6" w:space="0" w:color="auto"/>
            </w:tcBorders>
          </w:tcPr>
          <w:p w:rsidR="00BD701F" w:rsidRPr="002661A8" w:rsidP="000C64E1" w14:paraId="3F2BD4E4" w14:textId="77777777">
            <w:pPr>
              <w:autoSpaceDE w:val="0"/>
              <w:autoSpaceDN w:val="0"/>
              <w:adjustRightInd w:val="0"/>
              <w:rPr>
                <w:color w:val="000000"/>
              </w:rPr>
            </w:pPr>
            <w:r w:rsidRPr="002661A8">
              <w:rPr>
                <w:color w:val="000000"/>
              </w:rPr>
              <w:t>Hunter Communications &amp; Technologies LLC</w:t>
            </w:r>
          </w:p>
        </w:tc>
        <w:tc>
          <w:tcPr>
            <w:tcW w:w="2050" w:type="dxa"/>
            <w:tcBorders>
              <w:top w:val="single" w:sz="6" w:space="0" w:color="auto"/>
              <w:left w:val="single" w:sz="6" w:space="0" w:color="auto"/>
              <w:bottom w:val="single" w:sz="6" w:space="0" w:color="auto"/>
              <w:right w:val="single" w:sz="6" w:space="0" w:color="auto"/>
            </w:tcBorders>
          </w:tcPr>
          <w:p w:rsidR="00BD701F" w:rsidRPr="002661A8" w:rsidP="000C64E1" w14:paraId="0F92F8A3" w14:textId="77777777">
            <w:pPr>
              <w:autoSpaceDE w:val="0"/>
              <w:autoSpaceDN w:val="0"/>
              <w:adjustRightInd w:val="0"/>
              <w:rPr>
                <w:color w:val="000000"/>
              </w:rPr>
            </w:pPr>
            <w:r w:rsidRPr="002661A8">
              <w:rPr>
                <w:color w:val="000000"/>
              </w:rPr>
              <w:t>SCRP0001133</w:t>
            </w:r>
          </w:p>
        </w:tc>
      </w:tr>
      <w:tr w14:paraId="68472656"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6" w:space="0" w:color="auto"/>
              <w:left w:val="single" w:sz="6" w:space="0" w:color="auto"/>
              <w:bottom w:val="single" w:sz="6" w:space="0" w:color="auto"/>
              <w:right w:val="single" w:sz="6" w:space="0" w:color="auto"/>
            </w:tcBorders>
          </w:tcPr>
          <w:p w:rsidR="00BD701F" w:rsidRPr="002661A8" w:rsidP="000C64E1" w14:paraId="3D651589" w14:textId="77777777">
            <w:pPr>
              <w:autoSpaceDE w:val="0"/>
              <w:autoSpaceDN w:val="0"/>
              <w:adjustRightInd w:val="0"/>
              <w:rPr>
                <w:color w:val="000000"/>
              </w:rPr>
            </w:pPr>
            <w:r w:rsidRPr="002661A8">
              <w:rPr>
                <w:color w:val="000000"/>
              </w:rPr>
              <w:t>IdeaTek</w:t>
            </w:r>
            <w:r w:rsidRPr="002661A8">
              <w:rPr>
                <w:color w:val="000000"/>
              </w:rPr>
              <w:t xml:space="preserve"> Telcom, LLC</w:t>
            </w:r>
          </w:p>
        </w:tc>
        <w:tc>
          <w:tcPr>
            <w:tcW w:w="2050" w:type="dxa"/>
            <w:tcBorders>
              <w:top w:val="single" w:sz="6" w:space="0" w:color="auto"/>
              <w:left w:val="single" w:sz="6" w:space="0" w:color="auto"/>
              <w:bottom w:val="single" w:sz="6" w:space="0" w:color="auto"/>
              <w:right w:val="single" w:sz="6" w:space="0" w:color="auto"/>
            </w:tcBorders>
          </w:tcPr>
          <w:p w:rsidR="00BD701F" w:rsidRPr="002661A8" w:rsidP="000C64E1" w14:paraId="69F7F38C" w14:textId="77777777">
            <w:pPr>
              <w:autoSpaceDE w:val="0"/>
              <w:autoSpaceDN w:val="0"/>
              <w:adjustRightInd w:val="0"/>
              <w:rPr>
                <w:color w:val="000000"/>
              </w:rPr>
            </w:pPr>
            <w:r w:rsidRPr="002661A8">
              <w:rPr>
                <w:color w:val="000000"/>
              </w:rPr>
              <w:t>SCRP0001139</w:t>
            </w:r>
          </w:p>
        </w:tc>
      </w:tr>
      <w:tr w14:paraId="7A121AE3"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6" w:space="0" w:color="auto"/>
              <w:left w:val="single" w:sz="6" w:space="0" w:color="auto"/>
              <w:bottom w:val="single" w:sz="6" w:space="0" w:color="auto"/>
              <w:right w:val="single" w:sz="6" w:space="0" w:color="auto"/>
            </w:tcBorders>
          </w:tcPr>
          <w:p w:rsidR="00BD701F" w:rsidRPr="002661A8" w:rsidP="000C64E1" w14:paraId="0C96A157" w14:textId="77777777">
            <w:pPr>
              <w:autoSpaceDE w:val="0"/>
              <w:autoSpaceDN w:val="0"/>
              <w:adjustRightInd w:val="0"/>
              <w:rPr>
                <w:color w:val="000000"/>
              </w:rPr>
            </w:pPr>
            <w:r w:rsidRPr="002661A8">
              <w:rPr>
                <w:color w:val="000000"/>
              </w:rPr>
              <w:t>Inland Cellular LLC</w:t>
            </w:r>
          </w:p>
        </w:tc>
        <w:tc>
          <w:tcPr>
            <w:tcW w:w="2050" w:type="dxa"/>
            <w:tcBorders>
              <w:top w:val="single" w:sz="6" w:space="0" w:color="auto"/>
              <w:left w:val="single" w:sz="6" w:space="0" w:color="auto"/>
              <w:bottom w:val="single" w:sz="6" w:space="0" w:color="auto"/>
              <w:right w:val="single" w:sz="6" w:space="0" w:color="auto"/>
            </w:tcBorders>
          </w:tcPr>
          <w:p w:rsidR="00BD701F" w:rsidRPr="002661A8" w:rsidP="000C64E1" w14:paraId="09B82FE5" w14:textId="77777777">
            <w:pPr>
              <w:autoSpaceDE w:val="0"/>
              <w:autoSpaceDN w:val="0"/>
              <w:adjustRightInd w:val="0"/>
              <w:rPr>
                <w:color w:val="000000"/>
              </w:rPr>
            </w:pPr>
            <w:r w:rsidRPr="002661A8">
              <w:rPr>
                <w:color w:val="000000"/>
              </w:rPr>
              <w:t>SCRP0001144</w:t>
            </w:r>
          </w:p>
        </w:tc>
      </w:tr>
      <w:tr w14:paraId="6ECAA287"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6" w:space="0" w:color="auto"/>
              <w:left w:val="single" w:sz="6" w:space="0" w:color="auto"/>
              <w:bottom w:val="single" w:sz="6" w:space="0" w:color="auto"/>
              <w:right w:val="single" w:sz="6" w:space="0" w:color="auto"/>
            </w:tcBorders>
          </w:tcPr>
          <w:p w:rsidR="00BD701F" w:rsidRPr="002661A8" w:rsidP="000C64E1" w14:paraId="239E673C" w14:textId="77777777">
            <w:pPr>
              <w:autoSpaceDE w:val="0"/>
              <w:autoSpaceDN w:val="0"/>
              <w:adjustRightInd w:val="0"/>
              <w:rPr>
                <w:color w:val="000000"/>
              </w:rPr>
            </w:pPr>
            <w:r w:rsidRPr="002661A8">
              <w:rPr>
                <w:color w:val="000000"/>
              </w:rPr>
              <w:t>Interoute</w:t>
            </w:r>
            <w:r w:rsidRPr="002661A8">
              <w:rPr>
                <w:color w:val="000000"/>
              </w:rPr>
              <w:t xml:space="preserve"> US LLC</w:t>
            </w:r>
          </w:p>
        </w:tc>
        <w:tc>
          <w:tcPr>
            <w:tcW w:w="2050" w:type="dxa"/>
            <w:tcBorders>
              <w:top w:val="single" w:sz="6" w:space="0" w:color="auto"/>
              <w:left w:val="single" w:sz="6" w:space="0" w:color="auto"/>
              <w:bottom w:val="single" w:sz="6" w:space="0" w:color="auto"/>
              <w:right w:val="single" w:sz="6" w:space="0" w:color="auto"/>
            </w:tcBorders>
          </w:tcPr>
          <w:p w:rsidR="00BD701F" w:rsidRPr="002661A8" w:rsidP="000C64E1" w14:paraId="0EEB2A83" w14:textId="77777777">
            <w:pPr>
              <w:autoSpaceDE w:val="0"/>
              <w:autoSpaceDN w:val="0"/>
              <w:adjustRightInd w:val="0"/>
              <w:rPr>
                <w:color w:val="000000"/>
              </w:rPr>
            </w:pPr>
            <w:r w:rsidRPr="002661A8">
              <w:rPr>
                <w:color w:val="000000"/>
              </w:rPr>
              <w:t>SCRP0001030</w:t>
            </w:r>
          </w:p>
        </w:tc>
      </w:tr>
      <w:tr w14:paraId="0DC945E8"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6" w:space="0" w:color="auto"/>
              <w:left w:val="single" w:sz="6" w:space="0" w:color="auto"/>
              <w:bottom w:val="single" w:sz="6" w:space="0" w:color="auto"/>
              <w:right w:val="single" w:sz="6" w:space="0" w:color="auto"/>
            </w:tcBorders>
          </w:tcPr>
          <w:p w:rsidR="00BD701F" w:rsidRPr="002661A8" w:rsidP="000C64E1" w14:paraId="6ECA050F" w14:textId="77777777">
            <w:pPr>
              <w:autoSpaceDE w:val="0"/>
              <w:autoSpaceDN w:val="0"/>
              <w:adjustRightInd w:val="0"/>
              <w:rPr>
                <w:color w:val="000000"/>
              </w:rPr>
            </w:pPr>
            <w:r w:rsidRPr="002661A8">
              <w:rPr>
                <w:color w:val="000000"/>
              </w:rPr>
              <w:t>James Valley Cooperative Telephone Company</w:t>
            </w:r>
          </w:p>
        </w:tc>
        <w:tc>
          <w:tcPr>
            <w:tcW w:w="2050" w:type="dxa"/>
            <w:tcBorders>
              <w:top w:val="single" w:sz="6" w:space="0" w:color="auto"/>
              <w:left w:val="single" w:sz="6" w:space="0" w:color="auto"/>
              <w:bottom w:val="single" w:sz="6" w:space="0" w:color="auto"/>
              <w:right w:val="single" w:sz="6" w:space="0" w:color="auto"/>
            </w:tcBorders>
          </w:tcPr>
          <w:p w:rsidR="00BD701F" w:rsidRPr="002661A8" w:rsidP="000C64E1" w14:paraId="5730FF91" w14:textId="77777777">
            <w:pPr>
              <w:autoSpaceDE w:val="0"/>
              <w:autoSpaceDN w:val="0"/>
              <w:adjustRightInd w:val="0"/>
              <w:rPr>
                <w:color w:val="000000"/>
              </w:rPr>
            </w:pPr>
            <w:r w:rsidRPr="002661A8">
              <w:rPr>
                <w:color w:val="000000"/>
              </w:rPr>
              <w:t>SCRP0001105</w:t>
            </w:r>
          </w:p>
        </w:tc>
      </w:tr>
      <w:tr w14:paraId="3982982F"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6" w:space="0" w:color="auto"/>
              <w:left w:val="single" w:sz="6" w:space="0" w:color="auto"/>
              <w:bottom w:val="single" w:sz="6" w:space="0" w:color="auto"/>
              <w:right w:val="single" w:sz="6" w:space="0" w:color="auto"/>
            </w:tcBorders>
          </w:tcPr>
          <w:p w:rsidR="00BD701F" w:rsidRPr="002661A8" w:rsidP="000C64E1" w14:paraId="7D8B7BCA" w14:textId="77777777">
            <w:pPr>
              <w:autoSpaceDE w:val="0"/>
              <w:autoSpaceDN w:val="0"/>
              <w:adjustRightInd w:val="0"/>
              <w:rPr>
                <w:color w:val="000000"/>
              </w:rPr>
            </w:pPr>
            <w:r w:rsidRPr="002661A8">
              <w:rPr>
                <w:color w:val="000000"/>
              </w:rPr>
              <w:t>Kings County Office of Education</w:t>
            </w:r>
          </w:p>
        </w:tc>
        <w:tc>
          <w:tcPr>
            <w:tcW w:w="2050" w:type="dxa"/>
            <w:tcBorders>
              <w:top w:val="single" w:sz="6" w:space="0" w:color="auto"/>
              <w:left w:val="single" w:sz="6" w:space="0" w:color="auto"/>
              <w:bottom w:val="single" w:sz="6" w:space="0" w:color="auto"/>
              <w:right w:val="single" w:sz="6" w:space="0" w:color="auto"/>
            </w:tcBorders>
          </w:tcPr>
          <w:p w:rsidR="00BD701F" w:rsidRPr="002661A8" w:rsidP="000C64E1" w14:paraId="6B190285" w14:textId="77777777">
            <w:pPr>
              <w:autoSpaceDE w:val="0"/>
              <w:autoSpaceDN w:val="0"/>
              <w:adjustRightInd w:val="0"/>
              <w:rPr>
                <w:color w:val="000000"/>
              </w:rPr>
            </w:pPr>
            <w:r w:rsidRPr="002661A8">
              <w:rPr>
                <w:color w:val="000000"/>
              </w:rPr>
              <w:t>SCRP0001142</w:t>
            </w:r>
          </w:p>
        </w:tc>
      </w:tr>
      <w:tr w14:paraId="4A4B8BE3"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6" w:space="0" w:color="auto"/>
              <w:left w:val="single" w:sz="6" w:space="0" w:color="auto"/>
              <w:bottom w:val="single" w:sz="6" w:space="0" w:color="auto"/>
              <w:right w:val="single" w:sz="6" w:space="0" w:color="auto"/>
            </w:tcBorders>
          </w:tcPr>
          <w:p w:rsidR="00BD701F" w:rsidRPr="002661A8" w:rsidP="000C64E1" w14:paraId="62152441" w14:textId="77777777">
            <w:pPr>
              <w:autoSpaceDE w:val="0"/>
              <w:autoSpaceDN w:val="0"/>
              <w:adjustRightInd w:val="0"/>
              <w:rPr>
                <w:color w:val="000000"/>
              </w:rPr>
            </w:pPr>
            <w:r w:rsidRPr="002661A8">
              <w:rPr>
                <w:color w:val="000000"/>
              </w:rPr>
              <w:t>LakeNet</w:t>
            </w:r>
            <w:r w:rsidRPr="002661A8">
              <w:rPr>
                <w:color w:val="000000"/>
              </w:rPr>
              <w:t xml:space="preserve"> LLC</w:t>
            </w:r>
          </w:p>
        </w:tc>
        <w:tc>
          <w:tcPr>
            <w:tcW w:w="2050" w:type="dxa"/>
            <w:tcBorders>
              <w:top w:val="single" w:sz="6" w:space="0" w:color="auto"/>
              <w:left w:val="single" w:sz="6" w:space="0" w:color="auto"/>
              <w:bottom w:val="single" w:sz="6" w:space="0" w:color="auto"/>
              <w:right w:val="single" w:sz="6" w:space="0" w:color="auto"/>
            </w:tcBorders>
          </w:tcPr>
          <w:p w:rsidR="00BD701F" w:rsidRPr="002661A8" w:rsidP="000C64E1" w14:paraId="601CC201" w14:textId="77777777">
            <w:pPr>
              <w:autoSpaceDE w:val="0"/>
              <w:autoSpaceDN w:val="0"/>
              <w:adjustRightInd w:val="0"/>
              <w:rPr>
                <w:color w:val="000000"/>
              </w:rPr>
            </w:pPr>
            <w:r w:rsidRPr="002661A8">
              <w:rPr>
                <w:color w:val="000000"/>
              </w:rPr>
              <w:t>SCRP0001145</w:t>
            </w:r>
          </w:p>
        </w:tc>
      </w:tr>
      <w:tr w14:paraId="74552E77"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6" w:space="0" w:color="auto"/>
              <w:left w:val="single" w:sz="6" w:space="0" w:color="auto"/>
              <w:bottom w:val="single" w:sz="6" w:space="0" w:color="auto"/>
              <w:right w:val="single" w:sz="6" w:space="0" w:color="auto"/>
            </w:tcBorders>
          </w:tcPr>
          <w:p w:rsidR="00BD701F" w:rsidRPr="002661A8" w:rsidP="000C64E1" w14:paraId="4F42500A" w14:textId="77777777">
            <w:pPr>
              <w:autoSpaceDE w:val="0"/>
              <w:autoSpaceDN w:val="0"/>
              <w:adjustRightInd w:val="0"/>
              <w:rPr>
                <w:color w:val="000000"/>
              </w:rPr>
            </w:pPr>
            <w:r w:rsidRPr="002661A8">
              <w:rPr>
                <w:color w:val="000000"/>
              </w:rPr>
              <w:t>Latam</w:t>
            </w:r>
            <w:r w:rsidRPr="002661A8">
              <w:rPr>
                <w:color w:val="000000"/>
              </w:rPr>
              <w:t xml:space="preserve"> Telecommunications, L.L.C.</w:t>
            </w:r>
          </w:p>
        </w:tc>
        <w:tc>
          <w:tcPr>
            <w:tcW w:w="2050" w:type="dxa"/>
            <w:tcBorders>
              <w:top w:val="single" w:sz="6" w:space="0" w:color="auto"/>
              <w:left w:val="single" w:sz="6" w:space="0" w:color="auto"/>
              <w:bottom w:val="single" w:sz="6" w:space="0" w:color="auto"/>
              <w:right w:val="single" w:sz="6" w:space="0" w:color="auto"/>
            </w:tcBorders>
          </w:tcPr>
          <w:p w:rsidR="00BD701F" w:rsidRPr="002661A8" w:rsidP="000C64E1" w14:paraId="3E0581E6" w14:textId="77777777">
            <w:pPr>
              <w:autoSpaceDE w:val="0"/>
              <w:autoSpaceDN w:val="0"/>
              <w:adjustRightInd w:val="0"/>
              <w:rPr>
                <w:color w:val="000000"/>
              </w:rPr>
            </w:pPr>
            <w:r w:rsidRPr="002661A8">
              <w:rPr>
                <w:color w:val="000000"/>
              </w:rPr>
              <w:t>SCRP0001168</w:t>
            </w:r>
          </w:p>
        </w:tc>
      </w:tr>
      <w:tr w14:paraId="24A43BA7"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6" w:space="0" w:color="auto"/>
              <w:left w:val="single" w:sz="6" w:space="0" w:color="auto"/>
              <w:bottom w:val="single" w:sz="6" w:space="0" w:color="auto"/>
              <w:right w:val="single" w:sz="6" w:space="0" w:color="auto"/>
            </w:tcBorders>
          </w:tcPr>
          <w:p w:rsidR="00BD701F" w:rsidRPr="002661A8" w:rsidP="000C64E1" w14:paraId="02E48A3D" w14:textId="77777777">
            <w:pPr>
              <w:autoSpaceDE w:val="0"/>
              <w:autoSpaceDN w:val="0"/>
              <w:adjustRightInd w:val="0"/>
              <w:rPr>
                <w:color w:val="000000"/>
              </w:rPr>
            </w:pPr>
            <w:r w:rsidRPr="002661A8">
              <w:rPr>
                <w:color w:val="000000"/>
              </w:rPr>
              <w:t>Leaco</w:t>
            </w:r>
            <w:r w:rsidRPr="002661A8">
              <w:rPr>
                <w:color w:val="000000"/>
              </w:rPr>
              <w:t xml:space="preserve"> Rural Telephone Cooperative, Inc.</w:t>
            </w:r>
          </w:p>
        </w:tc>
        <w:tc>
          <w:tcPr>
            <w:tcW w:w="2050" w:type="dxa"/>
            <w:tcBorders>
              <w:top w:val="single" w:sz="6" w:space="0" w:color="auto"/>
              <w:left w:val="single" w:sz="6" w:space="0" w:color="auto"/>
              <w:bottom w:val="single" w:sz="6" w:space="0" w:color="auto"/>
              <w:right w:val="single" w:sz="6" w:space="0" w:color="auto"/>
            </w:tcBorders>
          </w:tcPr>
          <w:p w:rsidR="00BD701F" w:rsidRPr="002661A8" w:rsidP="000C64E1" w14:paraId="1497F525" w14:textId="77777777">
            <w:pPr>
              <w:autoSpaceDE w:val="0"/>
              <w:autoSpaceDN w:val="0"/>
              <w:adjustRightInd w:val="0"/>
              <w:rPr>
                <w:color w:val="000000"/>
              </w:rPr>
            </w:pPr>
            <w:r w:rsidRPr="002661A8">
              <w:rPr>
                <w:color w:val="000000"/>
              </w:rPr>
              <w:t>SCRP0001175</w:t>
            </w:r>
          </w:p>
        </w:tc>
      </w:tr>
      <w:tr w14:paraId="2E253E81" w14:textId="77777777" w:rsidTr="000C64E1">
        <w:tblPrEx>
          <w:tblW w:w="7784" w:type="dxa"/>
          <w:jc w:val="center"/>
          <w:tblLayout w:type="fixed"/>
          <w:tblCellMar>
            <w:left w:w="30" w:type="dxa"/>
            <w:right w:w="30" w:type="dxa"/>
          </w:tblCellMar>
          <w:tblLook w:val="0000"/>
        </w:tblPrEx>
        <w:trPr>
          <w:trHeight w:val="11232"/>
          <w:jc w:val="center"/>
        </w:trPr>
        <w:tc>
          <w:tcPr>
            <w:tcW w:w="5734" w:type="dxa"/>
            <w:tcBorders>
              <w:top w:val="single" w:sz="6" w:space="0" w:color="auto"/>
              <w:left w:val="single" w:sz="6" w:space="0" w:color="auto"/>
              <w:bottom w:val="single" w:sz="4" w:space="0" w:color="auto"/>
              <w:right w:val="single" w:sz="6" w:space="0" w:color="auto"/>
            </w:tcBorders>
          </w:tcPr>
          <w:p w:rsidR="00BD701F" w:rsidRPr="002661A8" w:rsidP="000C64E1" w14:paraId="4B912A6B" w14:textId="77777777">
            <w:pPr>
              <w:autoSpaceDE w:val="0"/>
              <w:autoSpaceDN w:val="0"/>
              <w:adjustRightInd w:val="0"/>
              <w:rPr>
                <w:color w:val="000000"/>
              </w:rPr>
            </w:pPr>
            <w:r w:rsidRPr="002661A8">
              <w:rPr>
                <w:color w:val="000000"/>
              </w:rPr>
              <w:t>Level 3 Communications, LLC</w:t>
            </w:r>
          </w:p>
          <w:p w:rsidR="00BD701F" w:rsidP="000C64E1" w14:paraId="1B151FEB" w14:textId="77777777">
            <w:pPr>
              <w:autoSpaceDE w:val="0"/>
              <w:autoSpaceDN w:val="0"/>
              <w:adjustRightInd w:val="0"/>
              <w:rPr>
                <w:color w:val="000000"/>
              </w:rPr>
            </w:pPr>
          </w:p>
          <w:p w:rsidR="00BD701F" w:rsidRPr="007B53E4" w:rsidP="000C64E1" w14:paraId="14763412" w14:textId="77777777"/>
          <w:p w:rsidR="00BD701F" w:rsidRPr="007B53E4" w:rsidP="000C64E1" w14:paraId="15B844C6" w14:textId="77777777"/>
          <w:p w:rsidR="00BD701F" w:rsidRPr="007B53E4" w:rsidP="000C64E1" w14:paraId="5933162D" w14:textId="77777777"/>
          <w:p w:rsidR="00BD701F" w:rsidRPr="007B53E4" w:rsidP="000C64E1" w14:paraId="17E6A9AC" w14:textId="77777777"/>
          <w:p w:rsidR="00BD701F" w:rsidRPr="007B53E4" w:rsidP="000C64E1" w14:paraId="0707DF7D" w14:textId="77777777"/>
          <w:p w:rsidR="00BD701F" w:rsidRPr="007B53E4" w:rsidP="000C64E1" w14:paraId="54157422" w14:textId="77777777"/>
          <w:p w:rsidR="00BD701F" w:rsidRPr="007B53E4" w:rsidP="000C64E1" w14:paraId="56151F42" w14:textId="77777777"/>
          <w:p w:rsidR="00BD701F" w:rsidRPr="007B53E4" w:rsidP="000C64E1" w14:paraId="035CF7D4" w14:textId="77777777"/>
          <w:p w:rsidR="00BD701F" w:rsidRPr="007B53E4" w:rsidP="000C64E1" w14:paraId="209C331E" w14:textId="77777777"/>
          <w:p w:rsidR="00BD701F" w:rsidRPr="007B53E4" w:rsidP="000C64E1" w14:paraId="2361DB18" w14:textId="77777777"/>
          <w:p w:rsidR="00BD701F" w:rsidRPr="007B53E4" w:rsidP="000C64E1" w14:paraId="7C1EEF59" w14:textId="77777777"/>
          <w:p w:rsidR="00BD701F" w:rsidRPr="007B53E4" w:rsidP="000C64E1" w14:paraId="49D11C0C" w14:textId="77777777"/>
          <w:p w:rsidR="00BD701F" w:rsidRPr="007B53E4" w:rsidP="000C64E1" w14:paraId="762DD5CB" w14:textId="77777777"/>
          <w:p w:rsidR="00BD701F" w:rsidRPr="007B53E4" w:rsidP="000C64E1" w14:paraId="576FB9FE" w14:textId="77777777"/>
          <w:p w:rsidR="00BD701F" w:rsidRPr="007B53E4" w:rsidP="000C64E1" w14:paraId="743F18D1" w14:textId="77777777"/>
          <w:p w:rsidR="00BD701F" w:rsidRPr="007B53E4" w:rsidP="000C64E1" w14:paraId="33A7F812" w14:textId="77777777"/>
          <w:p w:rsidR="00BD701F" w:rsidRPr="007B53E4" w:rsidP="000C64E1" w14:paraId="4DE4A4FA" w14:textId="77777777"/>
          <w:p w:rsidR="00BD701F" w:rsidRPr="007B53E4" w:rsidP="000C64E1" w14:paraId="5799EDE0" w14:textId="77777777"/>
          <w:p w:rsidR="00BD701F" w:rsidRPr="007B53E4" w:rsidP="000C64E1" w14:paraId="47478929" w14:textId="77777777"/>
          <w:p w:rsidR="00BD701F" w:rsidRPr="007B53E4" w:rsidP="000C64E1" w14:paraId="1E65BB1F" w14:textId="77777777"/>
          <w:p w:rsidR="00BD701F" w:rsidRPr="007B53E4" w:rsidP="000C64E1" w14:paraId="3FC843D7" w14:textId="77777777"/>
          <w:p w:rsidR="00BD701F" w:rsidRPr="007B53E4" w:rsidP="000C64E1" w14:paraId="00DF7610" w14:textId="77777777"/>
          <w:p w:rsidR="00BD701F" w:rsidRPr="007B53E4" w:rsidP="000C64E1" w14:paraId="17C0E6F5" w14:textId="77777777"/>
          <w:p w:rsidR="00BD701F" w:rsidRPr="007B53E4" w:rsidP="000C64E1" w14:paraId="5E68FFBF" w14:textId="77777777"/>
        </w:tc>
        <w:tc>
          <w:tcPr>
            <w:tcW w:w="2050" w:type="dxa"/>
            <w:tcBorders>
              <w:top w:val="single" w:sz="6" w:space="0" w:color="auto"/>
              <w:left w:val="single" w:sz="6" w:space="0" w:color="auto"/>
              <w:bottom w:val="single" w:sz="4" w:space="0" w:color="auto"/>
              <w:right w:val="single" w:sz="6" w:space="0" w:color="auto"/>
            </w:tcBorders>
          </w:tcPr>
          <w:p w:rsidR="00BD701F" w:rsidP="000C64E1" w14:paraId="7D28374F" w14:textId="77777777">
            <w:pPr>
              <w:autoSpaceDE w:val="0"/>
              <w:autoSpaceDN w:val="0"/>
              <w:adjustRightInd w:val="0"/>
              <w:rPr>
                <w:color w:val="000000"/>
              </w:rPr>
            </w:pPr>
            <w:r w:rsidRPr="002661A8">
              <w:rPr>
                <w:color w:val="000000"/>
              </w:rPr>
              <w:t>SCRP0001043</w:t>
            </w:r>
          </w:p>
          <w:p w:rsidR="00BD701F" w:rsidRPr="002661A8" w:rsidP="000C64E1" w14:paraId="0ADED008" w14:textId="77777777">
            <w:pPr>
              <w:autoSpaceDE w:val="0"/>
              <w:autoSpaceDN w:val="0"/>
              <w:adjustRightInd w:val="0"/>
              <w:rPr>
                <w:color w:val="000000"/>
              </w:rPr>
            </w:pPr>
            <w:r w:rsidRPr="00B77CCC">
              <w:rPr>
                <w:color w:val="000000"/>
              </w:rPr>
              <w:t>SCRP0001044</w:t>
            </w:r>
          </w:p>
          <w:p w:rsidR="00BD701F" w:rsidRPr="002661A8" w:rsidP="000C64E1" w14:paraId="20DF7FFA" w14:textId="77777777">
            <w:pPr>
              <w:autoSpaceDE w:val="0"/>
              <w:autoSpaceDN w:val="0"/>
              <w:adjustRightInd w:val="0"/>
              <w:rPr>
                <w:color w:val="000000"/>
              </w:rPr>
            </w:pPr>
            <w:r w:rsidRPr="00B77CCC">
              <w:rPr>
                <w:color w:val="000000"/>
              </w:rPr>
              <w:t>SCRP0001045</w:t>
            </w:r>
          </w:p>
          <w:p w:rsidR="00BD701F" w:rsidRPr="002661A8" w:rsidP="000C64E1" w14:paraId="393D4EB8" w14:textId="77777777">
            <w:pPr>
              <w:autoSpaceDE w:val="0"/>
              <w:autoSpaceDN w:val="0"/>
              <w:adjustRightInd w:val="0"/>
              <w:rPr>
                <w:color w:val="000000"/>
              </w:rPr>
            </w:pPr>
            <w:r w:rsidRPr="00B77CCC">
              <w:rPr>
                <w:color w:val="000000"/>
              </w:rPr>
              <w:t>SCRP0001047</w:t>
            </w:r>
          </w:p>
          <w:p w:rsidR="00BD701F" w:rsidRPr="002661A8" w:rsidP="000C64E1" w14:paraId="0001CBD4" w14:textId="77777777">
            <w:pPr>
              <w:autoSpaceDE w:val="0"/>
              <w:autoSpaceDN w:val="0"/>
              <w:adjustRightInd w:val="0"/>
              <w:rPr>
                <w:color w:val="000000"/>
              </w:rPr>
            </w:pPr>
            <w:r w:rsidRPr="00B77CCC">
              <w:rPr>
                <w:color w:val="000000"/>
              </w:rPr>
              <w:t>SCRP0001050</w:t>
            </w:r>
          </w:p>
          <w:p w:rsidR="00BD701F" w:rsidRPr="002661A8" w:rsidP="000C64E1" w14:paraId="5FF53577" w14:textId="77777777">
            <w:pPr>
              <w:autoSpaceDE w:val="0"/>
              <w:autoSpaceDN w:val="0"/>
              <w:adjustRightInd w:val="0"/>
              <w:rPr>
                <w:color w:val="000000"/>
              </w:rPr>
            </w:pPr>
            <w:r w:rsidRPr="00B77CCC">
              <w:rPr>
                <w:color w:val="000000"/>
              </w:rPr>
              <w:t>SCRP0001051</w:t>
            </w:r>
          </w:p>
          <w:p w:rsidR="00BD701F" w:rsidRPr="002661A8" w:rsidP="000C64E1" w14:paraId="5D1111F0" w14:textId="77777777">
            <w:pPr>
              <w:autoSpaceDE w:val="0"/>
              <w:autoSpaceDN w:val="0"/>
              <w:adjustRightInd w:val="0"/>
              <w:rPr>
                <w:color w:val="000000"/>
              </w:rPr>
            </w:pPr>
            <w:r w:rsidRPr="00B77CCC">
              <w:rPr>
                <w:color w:val="000000"/>
              </w:rPr>
              <w:t>SCRP0001052</w:t>
            </w:r>
          </w:p>
          <w:p w:rsidR="00BD701F" w:rsidRPr="002661A8" w:rsidP="000C64E1" w14:paraId="72EA079D" w14:textId="77777777">
            <w:pPr>
              <w:autoSpaceDE w:val="0"/>
              <w:autoSpaceDN w:val="0"/>
              <w:adjustRightInd w:val="0"/>
              <w:rPr>
                <w:color w:val="000000"/>
              </w:rPr>
            </w:pPr>
            <w:r w:rsidRPr="00B77CCC">
              <w:rPr>
                <w:color w:val="000000"/>
              </w:rPr>
              <w:t>SCRP0001053</w:t>
            </w:r>
          </w:p>
          <w:p w:rsidR="00BD701F" w:rsidRPr="002661A8" w:rsidP="000C64E1" w14:paraId="173313AA" w14:textId="77777777">
            <w:pPr>
              <w:autoSpaceDE w:val="0"/>
              <w:autoSpaceDN w:val="0"/>
              <w:adjustRightInd w:val="0"/>
              <w:rPr>
                <w:color w:val="000000"/>
              </w:rPr>
            </w:pPr>
            <w:r w:rsidRPr="00B77CCC">
              <w:rPr>
                <w:color w:val="000000"/>
              </w:rPr>
              <w:t>SCRP0001054</w:t>
            </w:r>
          </w:p>
          <w:p w:rsidR="00BD701F" w:rsidRPr="002661A8" w:rsidP="000C64E1" w14:paraId="1D861D87" w14:textId="77777777">
            <w:pPr>
              <w:autoSpaceDE w:val="0"/>
              <w:autoSpaceDN w:val="0"/>
              <w:adjustRightInd w:val="0"/>
              <w:rPr>
                <w:color w:val="000000"/>
              </w:rPr>
            </w:pPr>
            <w:r w:rsidRPr="00B77CCC">
              <w:rPr>
                <w:color w:val="000000"/>
              </w:rPr>
              <w:t>SCRP0001055</w:t>
            </w:r>
          </w:p>
          <w:p w:rsidR="00BD701F" w:rsidRPr="002661A8" w:rsidP="000C64E1" w14:paraId="3D27836F" w14:textId="77777777">
            <w:pPr>
              <w:autoSpaceDE w:val="0"/>
              <w:autoSpaceDN w:val="0"/>
              <w:adjustRightInd w:val="0"/>
              <w:rPr>
                <w:color w:val="000000"/>
              </w:rPr>
            </w:pPr>
            <w:r w:rsidRPr="00B77CCC">
              <w:rPr>
                <w:color w:val="000000"/>
              </w:rPr>
              <w:t>SCRP0001056</w:t>
            </w:r>
          </w:p>
          <w:p w:rsidR="00BD701F" w:rsidRPr="002661A8" w:rsidP="000C64E1" w14:paraId="2FEA066D" w14:textId="77777777">
            <w:pPr>
              <w:autoSpaceDE w:val="0"/>
              <w:autoSpaceDN w:val="0"/>
              <w:adjustRightInd w:val="0"/>
              <w:rPr>
                <w:color w:val="000000"/>
              </w:rPr>
            </w:pPr>
            <w:r w:rsidRPr="00B77CCC">
              <w:rPr>
                <w:color w:val="000000"/>
              </w:rPr>
              <w:t>SCRP0001057</w:t>
            </w:r>
          </w:p>
          <w:p w:rsidR="00BD701F" w:rsidRPr="002661A8" w:rsidP="000C64E1" w14:paraId="400559EA" w14:textId="77777777">
            <w:pPr>
              <w:autoSpaceDE w:val="0"/>
              <w:autoSpaceDN w:val="0"/>
              <w:adjustRightInd w:val="0"/>
              <w:rPr>
                <w:color w:val="000000"/>
              </w:rPr>
            </w:pPr>
            <w:r w:rsidRPr="00B77CCC">
              <w:rPr>
                <w:color w:val="000000"/>
              </w:rPr>
              <w:t>SCRP0001058</w:t>
            </w:r>
          </w:p>
          <w:p w:rsidR="00BD701F" w:rsidRPr="002661A8" w:rsidP="000C64E1" w14:paraId="28574970" w14:textId="77777777">
            <w:pPr>
              <w:autoSpaceDE w:val="0"/>
              <w:autoSpaceDN w:val="0"/>
              <w:adjustRightInd w:val="0"/>
              <w:rPr>
                <w:color w:val="000000"/>
              </w:rPr>
            </w:pPr>
            <w:r w:rsidRPr="00B77CCC">
              <w:rPr>
                <w:color w:val="000000"/>
              </w:rPr>
              <w:t>SCRP0001059</w:t>
            </w:r>
          </w:p>
          <w:p w:rsidR="00BD701F" w:rsidRPr="002661A8" w:rsidP="000C64E1" w14:paraId="37A928F3" w14:textId="77777777">
            <w:pPr>
              <w:autoSpaceDE w:val="0"/>
              <w:autoSpaceDN w:val="0"/>
              <w:adjustRightInd w:val="0"/>
              <w:rPr>
                <w:color w:val="000000"/>
              </w:rPr>
            </w:pPr>
            <w:r w:rsidRPr="00B77CCC">
              <w:rPr>
                <w:color w:val="000000"/>
              </w:rPr>
              <w:t>SCRP0001060</w:t>
            </w:r>
          </w:p>
          <w:p w:rsidR="00BD701F" w:rsidRPr="002661A8" w:rsidP="000C64E1" w14:paraId="6F94D541" w14:textId="77777777">
            <w:pPr>
              <w:autoSpaceDE w:val="0"/>
              <w:autoSpaceDN w:val="0"/>
              <w:adjustRightInd w:val="0"/>
              <w:rPr>
                <w:color w:val="000000"/>
              </w:rPr>
            </w:pPr>
            <w:r w:rsidRPr="00B77CCC">
              <w:rPr>
                <w:color w:val="000000"/>
              </w:rPr>
              <w:t>SCRP0001061</w:t>
            </w:r>
          </w:p>
          <w:p w:rsidR="00BD701F" w:rsidRPr="002661A8" w:rsidP="000C64E1" w14:paraId="3BC61CCB" w14:textId="77777777">
            <w:pPr>
              <w:autoSpaceDE w:val="0"/>
              <w:autoSpaceDN w:val="0"/>
              <w:adjustRightInd w:val="0"/>
              <w:rPr>
                <w:color w:val="000000"/>
              </w:rPr>
            </w:pPr>
            <w:r w:rsidRPr="00B77CCC">
              <w:rPr>
                <w:color w:val="000000"/>
              </w:rPr>
              <w:t>SCRP0001062</w:t>
            </w:r>
          </w:p>
          <w:p w:rsidR="00BD701F" w:rsidRPr="002661A8" w:rsidP="000C64E1" w14:paraId="3A4B6D17" w14:textId="77777777">
            <w:pPr>
              <w:autoSpaceDE w:val="0"/>
              <w:autoSpaceDN w:val="0"/>
              <w:adjustRightInd w:val="0"/>
              <w:rPr>
                <w:color w:val="000000"/>
              </w:rPr>
            </w:pPr>
            <w:r w:rsidRPr="00B77CCC">
              <w:rPr>
                <w:color w:val="000000"/>
              </w:rPr>
              <w:t>SCRP0001063</w:t>
            </w:r>
          </w:p>
          <w:p w:rsidR="00BD701F" w:rsidRPr="002661A8" w:rsidP="000C64E1" w14:paraId="7AA4E0EC" w14:textId="77777777">
            <w:pPr>
              <w:autoSpaceDE w:val="0"/>
              <w:autoSpaceDN w:val="0"/>
              <w:adjustRightInd w:val="0"/>
              <w:rPr>
                <w:color w:val="000000"/>
              </w:rPr>
            </w:pPr>
            <w:r w:rsidRPr="00B77CCC">
              <w:rPr>
                <w:color w:val="000000"/>
              </w:rPr>
              <w:t>SCRP0001064</w:t>
            </w:r>
          </w:p>
          <w:p w:rsidR="00BD701F" w:rsidRPr="002661A8" w:rsidP="000C64E1" w14:paraId="2255A836" w14:textId="77777777">
            <w:pPr>
              <w:autoSpaceDE w:val="0"/>
              <w:autoSpaceDN w:val="0"/>
              <w:adjustRightInd w:val="0"/>
              <w:rPr>
                <w:color w:val="000000"/>
              </w:rPr>
            </w:pPr>
            <w:r w:rsidRPr="00B77CCC">
              <w:rPr>
                <w:color w:val="000000"/>
              </w:rPr>
              <w:t>SCRP0001065</w:t>
            </w:r>
          </w:p>
          <w:p w:rsidR="00BD701F" w:rsidRPr="002661A8" w:rsidP="000C64E1" w14:paraId="4B22D770" w14:textId="77777777">
            <w:pPr>
              <w:autoSpaceDE w:val="0"/>
              <w:autoSpaceDN w:val="0"/>
              <w:adjustRightInd w:val="0"/>
              <w:rPr>
                <w:color w:val="000000"/>
              </w:rPr>
            </w:pPr>
            <w:r w:rsidRPr="00B77CCC">
              <w:rPr>
                <w:color w:val="000000"/>
              </w:rPr>
              <w:t>SCRP0001066</w:t>
            </w:r>
          </w:p>
          <w:p w:rsidR="00BD701F" w:rsidRPr="002661A8" w:rsidP="000C64E1" w14:paraId="12AFC9E5" w14:textId="77777777">
            <w:pPr>
              <w:autoSpaceDE w:val="0"/>
              <w:autoSpaceDN w:val="0"/>
              <w:adjustRightInd w:val="0"/>
              <w:rPr>
                <w:color w:val="000000"/>
              </w:rPr>
            </w:pPr>
            <w:r w:rsidRPr="00B77CCC">
              <w:rPr>
                <w:color w:val="000000"/>
              </w:rPr>
              <w:t>SCRP0001067</w:t>
            </w:r>
          </w:p>
          <w:p w:rsidR="00BD701F" w:rsidRPr="002661A8" w:rsidP="000C64E1" w14:paraId="7CE1005F" w14:textId="77777777">
            <w:pPr>
              <w:autoSpaceDE w:val="0"/>
              <w:autoSpaceDN w:val="0"/>
              <w:adjustRightInd w:val="0"/>
              <w:rPr>
                <w:color w:val="000000"/>
              </w:rPr>
            </w:pPr>
            <w:r w:rsidRPr="00B77CCC">
              <w:rPr>
                <w:color w:val="000000"/>
              </w:rPr>
              <w:t>SCRP0001068</w:t>
            </w:r>
          </w:p>
          <w:p w:rsidR="00BD701F" w:rsidRPr="002661A8" w:rsidP="000C64E1" w14:paraId="5ED846D4" w14:textId="77777777">
            <w:pPr>
              <w:autoSpaceDE w:val="0"/>
              <w:autoSpaceDN w:val="0"/>
              <w:adjustRightInd w:val="0"/>
              <w:rPr>
                <w:color w:val="000000"/>
              </w:rPr>
            </w:pPr>
            <w:r w:rsidRPr="00B77CCC">
              <w:rPr>
                <w:color w:val="000000"/>
              </w:rPr>
              <w:t>SCRP0001069</w:t>
            </w:r>
          </w:p>
          <w:p w:rsidR="00BD701F" w:rsidRPr="002661A8" w:rsidP="000C64E1" w14:paraId="2A2218D8" w14:textId="77777777">
            <w:pPr>
              <w:autoSpaceDE w:val="0"/>
              <w:autoSpaceDN w:val="0"/>
              <w:adjustRightInd w:val="0"/>
              <w:rPr>
                <w:color w:val="000000"/>
              </w:rPr>
            </w:pPr>
            <w:r w:rsidRPr="00B77CCC">
              <w:rPr>
                <w:color w:val="000000"/>
              </w:rPr>
              <w:t>SCRP0001070</w:t>
            </w:r>
          </w:p>
          <w:p w:rsidR="00BD701F" w:rsidRPr="002661A8" w:rsidP="000C64E1" w14:paraId="791FEA89" w14:textId="77777777">
            <w:pPr>
              <w:autoSpaceDE w:val="0"/>
              <w:autoSpaceDN w:val="0"/>
              <w:adjustRightInd w:val="0"/>
              <w:rPr>
                <w:color w:val="000000"/>
              </w:rPr>
            </w:pPr>
            <w:r w:rsidRPr="00B77CCC">
              <w:rPr>
                <w:color w:val="000000"/>
              </w:rPr>
              <w:t>SCRP0001071</w:t>
            </w:r>
          </w:p>
          <w:p w:rsidR="00BD701F" w:rsidRPr="002661A8" w:rsidP="000C64E1" w14:paraId="58758254" w14:textId="77777777">
            <w:pPr>
              <w:autoSpaceDE w:val="0"/>
              <w:autoSpaceDN w:val="0"/>
              <w:adjustRightInd w:val="0"/>
              <w:rPr>
                <w:color w:val="000000"/>
              </w:rPr>
            </w:pPr>
            <w:r w:rsidRPr="00B77CCC">
              <w:rPr>
                <w:color w:val="000000"/>
              </w:rPr>
              <w:t>SCRP0001072</w:t>
            </w:r>
          </w:p>
          <w:p w:rsidR="00BD701F" w:rsidRPr="002661A8" w:rsidP="000C64E1" w14:paraId="2F15B465" w14:textId="77777777">
            <w:pPr>
              <w:autoSpaceDE w:val="0"/>
              <w:autoSpaceDN w:val="0"/>
              <w:adjustRightInd w:val="0"/>
              <w:rPr>
                <w:color w:val="000000"/>
              </w:rPr>
            </w:pPr>
            <w:r w:rsidRPr="00B77CCC">
              <w:rPr>
                <w:color w:val="000000"/>
              </w:rPr>
              <w:t>SCRP0001073</w:t>
            </w:r>
          </w:p>
          <w:p w:rsidR="00BD701F" w:rsidRPr="002661A8" w:rsidP="000C64E1" w14:paraId="6EB66566" w14:textId="77777777">
            <w:pPr>
              <w:autoSpaceDE w:val="0"/>
              <w:autoSpaceDN w:val="0"/>
              <w:adjustRightInd w:val="0"/>
              <w:rPr>
                <w:color w:val="000000"/>
              </w:rPr>
            </w:pPr>
            <w:r w:rsidRPr="00B77CCC">
              <w:rPr>
                <w:color w:val="000000"/>
              </w:rPr>
              <w:t>SCRP0001074</w:t>
            </w:r>
          </w:p>
          <w:p w:rsidR="00BD701F" w:rsidRPr="002661A8" w:rsidP="000C64E1" w14:paraId="665CEAAB" w14:textId="77777777">
            <w:pPr>
              <w:autoSpaceDE w:val="0"/>
              <w:autoSpaceDN w:val="0"/>
              <w:adjustRightInd w:val="0"/>
              <w:rPr>
                <w:color w:val="000000"/>
              </w:rPr>
            </w:pPr>
            <w:r w:rsidRPr="00B77CCC">
              <w:rPr>
                <w:color w:val="000000"/>
              </w:rPr>
              <w:t>SCRP0001075</w:t>
            </w:r>
          </w:p>
          <w:p w:rsidR="00BD701F" w:rsidRPr="002661A8" w:rsidP="000C64E1" w14:paraId="15A3A2A0" w14:textId="77777777">
            <w:pPr>
              <w:autoSpaceDE w:val="0"/>
              <w:autoSpaceDN w:val="0"/>
              <w:adjustRightInd w:val="0"/>
              <w:rPr>
                <w:color w:val="000000"/>
              </w:rPr>
            </w:pPr>
            <w:r w:rsidRPr="00B77CCC">
              <w:rPr>
                <w:color w:val="000000"/>
              </w:rPr>
              <w:t>SCRP0001077</w:t>
            </w:r>
          </w:p>
          <w:p w:rsidR="00BD701F" w:rsidRPr="002661A8" w:rsidP="000C64E1" w14:paraId="41A29B4F" w14:textId="77777777">
            <w:pPr>
              <w:autoSpaceDE w:val="0"/>
              <w:autoSpaceDN w:val="0"/>
              <w:adjustRightInd w:val="0"/>
              <w:rPr>
                <w:color w:val="000000"/>
              </w:rPr>
            </w:pPr>
            <w:r w:rsidRPr="00B77CCC">
              <w:rPr>
                <w:color w:val="000000"/>
              </w:rPr>
              <w:t>SCRP0001078</w:t>
            </w:r>
          </w:p>
          <w:p w:rsidR="00BD701F" w:rsidRPr="002661A8" w:rsidP="000C64E1" w14:paraId="162CEE9B" w14:textId="77777777">
            <w:pPr>
              <w:autoSpaceDE w:val="0"/>
              <w:autoSpaceDN w:val="0"/>
              <w:adjustRightInd w:val="0"/>
              <w:rPr>
                <w:color w:val="000000"/>
              </w:rPr>
            </w:pPr>
            <w:r w:rsidRPr="00B77CCC">
              <w:rPr>
                <w:color w:val="000000"/>
              </w:rPr>
              <w:t>SCRP0001079</w:t>
            </w:r>
          </w:p>
          <w:p w:rsidR="00BD701F" w:rsidRPr="002661A8" w:rsidP="000C64E1" w14:paraId="54CA8008" w14:textId="77777777">
            <w:pPr>
              <w:autoSpaceDE w:val="0"/>
              <w:autoSpaceDN w:val="0"/>
              <w:adjustRightInd w:val="0"/>
              <w:rPr>
                <w:color w:val="000000"/>
              </w:rPr>
            </w:pPr>
            <w:r w:rsidRPr="00B77CCC">
              <w:rPr>
                <w:color w:val="000000"/>
              </w:rPr>
              <w:t>SCRP0001080</w:t>
            </w:r>
          </w:p>
          <w:p w:rsidR="00BD701F" w:rsidRPr="002661A8" w:rsidP="000C64E1" w14:paraId="779E96EF" w14:textId="77777777">
            <w:pPr>
              <w:autoSpaceDE w:val="0"/>
              <w:autoSpaceDN w:val="0"/>
              <w:adjustRightInd w:val="0"/>
              <w:rPr>
                <w:color w:val="000000"/>
              </w:rPr>
            </w:pPr>
            <w:r w:rsidRPr="00B77CCC">
              <w:rPr>
                <w:color w:val="000000"/>
              </w:rPr>
              <w:t>SCRP0001081</w:t>
            </w:r>
          </w:p>
          <w:p w:rsidR="00BD701F" w:rsidRPr="002661A8" w:rsidP="000C64E1" w14:paraId="1A113B79" w14:textId="77777777">
            <w:pPr>
              <w:autoSpaceDE w:val="0"/>
              <w:autoSpaceDN w:val="0"/>
              <w:adjustRightInd w:val="0"/>
              <w:rPr>
                <w:color w:val="000000"/>
              </w:rPr>
            </w:pPr>
            <w:r w:rsidRPr="00B77CCC">
              <w:rPr>
                <w:color w:val="000000"/>
              </w:rPr>
              <w:t>SCRP0001082</w:t>
            </w:r>
          </w:p>
          <w:p w:rsidR="00BD701F" w:rsidRPr="002661A8" w:rsidP="000C64E1" w14:paraId="2223531F" w14:textId="77777777">
            <w:pPr>
              <w:autoSpaceDE w:val="0"/>
              <w:autoSpaceDN w:val="0"/>
              <w:adjustRightInd w:val="0"/>
              <w:rPr>
                <w:color w:val="000000"/>
              </w:rPr>
            </w:pPr>
            <w:r w:rsidRPr="00B77CCC">
              <w:rPr>
                <w:color w:val="000000"/>
              </w:rPr>
              <w:t>SCRP0001083</w:t>
            </w:r>
          </w:p>
          <w:p w:rsidR="00BD701F" w:rsidRPr="002661A8" w:rsidP="000C64E1" w14:paraId="40388EA6" w14:textId="77777777">
            <w:pPr>
              <w:autoSpaceDE w:val="0"/>
              <w:autoSpaceDN w:val="0"/>
              <w:adjustRightInd w:val="0"/>
              <w:rPr>
                <w:color w:val="000000"/>
              </w:rPr>
            </w:pPr>
            <w:r w:rsidRPr="00B77CCC">
              <w:rPr>
                <w:color w:val="000000"/>
              </w:rPr>
              <w:t>SCRP0001085</w:t>
            </w:r>
          </w:p>
          <w:p w:rsidR="00BD701F" w:rsidRPr="002661A8" w:rsidP="000C64E1" w14:paraId="54C54D98" w14:textId="77777777">
            <w:pPr>
              <w:autoSpaceDE w:val="0"/>
              <w:autoSpaceDN w:val="0"/>
              <w:adjustRightInd w:val="0"/>
              <w:rPr>
                <w:color w:val="000000"/>
              </w:rPr>
            </w:pPr>
            <w:r w:rsidRPr="00B77CCC">
              <w:rPr>
                <w:color w:val="000000"/>
              </w:rPr>
              <w:t>SCRP0001086</w:t>
            </w:r>
          </w:p>
          <w:p w:rsidR="00BD701F" w:rsidRPr="002661A8" w:rsidP="000C64E1" w14:paraId="303EB183" w14:textId="77777777">
            <w:pPr>
              <w:autoSpaceDE w:val="0"/>
              <w:autoSpaceDN w:val="0"/>
              <w:adjustRightInd w:val="0"/>
              <w:rPr>
                <w:color w:val="000000"/>
              </w:rPr>
            </w:pPr>
            <w:r w:rsidRPr="00B77CCC">
              <w:rPr>
                <w:color w:val="000000"/>
              </w:rPr>
              <w:t>SCRP0001088</w:t>
            </w:r>
          </w:p>
          <w:p w:rsidR="00BD701F" w:rsidRPr="002661A8" w:rsidP="000C64E1" w14:paraId="702CBAA4" w14:textId="77777777">
            <w:pPr>
              <w:autoSpaceDE w:val="0"/>
              <w:autoSpaceDN w:val="0"/>
              <w:adjustRightInd w:val="0"/>
              <w:rPr>
                <w:color w:val="000000"/>
              </w:rPr>
            </w:pPr>
            <w:r w:rsidRPr="00B77CCC">
              <w:rPr>
                <w:color w:val="000000"/>
              </w:rPr>
              <w:t>SCRP0001091</w:t>
            </w:r>
          </w:p>
          <w:p w:rsidR="00BD701F" w:rsidRPr="002661A8" w:rsidP="000C64E1" w14:paraId="7F010D6D" w14:textId="77777777">
            <w:pPr>
              <w:autoSpaceDE w:val="0"/>
              <w:autoSpaceDN w:val="0"/>
              <w:adjustRightInd w:val="0"/>
              <w:rPr>
                <w:color w:val="000000"/>
              </w:rPr>
            </w:pPr>
            <w:r w:rsidRPr="00B77CCC">
              <w:rPr>
                <w:color w:val="000000"/>
              </w:rPr>
              <w:t>SCRP0001093</w:t>
            </w:r>
          </w:p>
          <w:p w:rsidR="00BD701F" w:rsidRPr="002661A8" w:rsidP="000C64E1" w14:paraId="666D0582" w14:textId="77777777">
            <w:pPr>
              <w:autoSpaceDE w:val="0"/>
              <w:autoSpaceDN w:val="0"/>
              <w:adjustRightInd w:val="0"/>
              <w:rPr>
                <w:color w:val="000000"/>
              </w:rPr>
            </w:pPr>
            <w:r w:rsidRPr="00B77CCC">
              <w:rPr>
                <w:color w:val="000000"/>
              </w:rPr>
              <w:t>SCRP0001094</w:t>
            </w:r>
          </w:p>
          <w:p w:rsidR="00BD701F" w:rsidRPr="002661A8" w:rsidP="000C64E1" w14:paraId="7F793041" w14:textId="77777777">
            <w:pPr>
              <w:autoSpaceDE w:val="0"/>
              <w:autoSpaceDN w:val="0"/>
              <w:adjustRightInd w:val="0"/>
              <w:rPr>
                <w:color w:val="000000"/>
              </w:rPr>
            </w:pPr>
            <w:r w:rsidRPr="00B77CCC">
              <w:rPr>
                <w:color w:val="000000"/>
              </w:rPr>
              <w:t>SCRP0001095</w:t>
            </w:r>
          </w:p>
          <w:p w:rsidR="00BD701F" w:rsidP="000C64E1" w14:paraId="673D1A42" w14:textId="77777777">
            <w:pPr>
              <w:autoSpaceDE w:val="0"/>
              <w:autoSpaceDN w:val="0"/>
              <w:adjustRightInd w:val="0"/>
              <w:rPr>
                <w:color w:val="000000"/>
              </w:rPr>
            </w:pPr>
            <w:r w:rsidRPr="00B77CCC">
              <w:rPr>
                <w:color w:val="000000"/>
              </w:rPr>
              <w:t>SCRP0001097</w:t>
            </w:r>
          </w:p>
        </w:tc>
      </w:tr>
      <w:tr w14:paraId="05F2DA6E"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4" w:space="0" w:color="auto"/>
              <w:left w:val="single" w:sz="6" w:space="0" w:color="auto"/>
              <w:bottom w:val="single" w:sz="6" w:space="0" w:color="auto"/>
              <w:right w:val="single" w:sz="6" w:space="0" w:color="auto"/>
            </w:tcBorders>
          </w:tcPr>
          <w:p w:rsidR="00BD701F" w:rsidRPr="002661A8" w:rsidP="000C64E1" w14:paraId="65DB9D3F" w14:textId="77777777">
            <w:pPr>
              <w:autoSpaceDE w:val="0"/>
              <w:autoSpaceDN w:val="0"/>
              <w:adjustRightInd w:val="0"/>
              <w:rPr>
                <w:color w:val="000000"/>
              </w:rPr>
            </w:pPr>
            <w:r w:rsidRPr="002661A8">
              <w:rPr>
                <w:color w:val="000000"/>
              </w:rPr>
              <w:t>LIGTEL C</w:t>
            </w:r>
            <w:r>
              <w:rPr>
                <w:color w:val="000000"/>
              </w:rPr>
              <w:t>ommunications Inc.</w:t>
            </w:r>
          </w:p>
        </w:tc>
        <w:tc>
          <w:tcPr>
            <w:tcW w:w="2050" w:type="dxa"/>
            <w:tcBorders>
              <w:top w:val="single" w:sz="4" w:space="0" w:color="auto"/>
              <w:left w:val="single" w:sz="6" w:space="0" w:color="auto"/>
              <w:bottom w:val="single" w:sz="6" w:space="0" w:color="auto"/>
              <w:right w:val="single" w:sz="6" w:space="0" w:color="auto"/>
            </w:tcBorders>
          </w:tcPr>
          <w:p w:rsidR="00BD701F" w:rsidRPr="002661A8" w:rsidP="000C64E1" w14:paraId="352C778B" w14:textId="77777777">
            <w:pPr>
              <w:autoSpaceDE w:val="0"/>
              <w:autoSpaceDN w:val="0"/>
              <w:adjustRightInd w:val="0"/>
              <w:rPr>
                <w:color w:val="000000"/>
              </w:rPr>
            </w:pPr>
            <w:r w:rsidRPr="002661A8">
              <w:rPr>
                <w:color w:val="000000"/>
              </w:rPr>
              <w:t>SCRP0001155</w:t>
            </w:r>
          </w:p>
        </w:tc>
      </w:tr>
      <w:tr w14:paraId="03C6A1EF"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6" w:space="0" w:color="auto"/>
              <w:left w:val="single" w:sz="6" w:space="0" w:color="auto"/>
              <w:bottom w:val="single" w:sz="6" w:space="0" w:color="auto"/>
              <w:right w:val="single" w:sz="6" w:space="0" w:color="auto"/>
            </w:tcBorders>
          </w:tcPr>
          <w:p w:rsidR="00BD701F" w:rsidRPr="002661A8" w:rsidP="000C64E1" w14:paraId="50B253A6" w14:textId="77777777">
            <w:pPr>
              <w:autoSpaceDE w:val="0"/>
              <w:autoSpaceDN w:val="0"/>
              <w:adjustRightInd w:val="0"/>
              <w:rPr>
                <w:color w:val="000000"/>
              </w:rPr>
            </w:pPr>
            <w:r w:rsidRPr="002661A8">
              <w:rPr>
                <w:color w:val="000000"/>
              </w:rPr>
              <w:t>Mark Twain Communications Company</w:t>
            </w:r>
          </w:p>
        </w:tc>
        <w:tc>
          <w:tcPr>
            <w:tcW w:w="2050" w:type="dxa"/>
            <w:tcBorders>
              <w:top w:val="single" w:sz="6" w:space="0" w:color="auto"/>
              <w:left w:val="single" w:sz="6" w:space="0" w:color="auto"/>
              <w:bottom w:val="single" w:sz="6" w:space="0" w:color="auto"/>
              <w:right w:val="single" w:sz="6" w:space="0" w:color="auto"/>
            </w:tcBorders>
          </w:tcPr>
          <w:p w:rsidR="00BD701F" w:rsidRPr="002661A8" w:rsidP="000C64E1" w14:paraId="643FEF27" w14:textId="77777777">
            <w:pPr>
              <w:autoSpaceDE w:val="0"/>
              <w:autoSpaceDN w:val="0"/>
              <w:adjustRightInd w:val="0"/>
              <w:rPr>
                <w:color w:val="000000"/>
              </w:rPr>
            </w:pPr>
            <w:r w:rsidRPr="002661A8">
              <w:rPr>
                <w:color w:val="000000"/>
              </w:rPr>
              <w:t>SCRP0001021</w:t>
            </w:r>
          </w:p>
        </w:tc>
      </w:tr>
      <w:tr w14:paraId="32AE52FC"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6" w:space="0" w:color="auto"/>
              <w:left w:val="single" w:sz="6" w:space="0" w:color="auto"/>
              <w:bottom w:val="single" w:sz="6" w:space="0" w:color="auto"/>
              <w:right w:val="single" w:sz="6" w:space="0" w:color="auto"/>
            </w:tcBorders>
          </w:tcPr>
          <w:p w:rsidR="00BD701F" w:rsidRPr="002661A8" w:rsidP="000C64E1" w14:paraId="763EFD7A" w14:textId="77777777">
            <w:pPr>
              <w:autoSpaceDE w:val="0"/>
              <w:autoSpaceDN w:val="0"/>
              <w:adjustRightInd w:val="0"/>
              <w:rPr>
                <w:color w:val="000000"/>
              </w:rPr>
            </w:pPr>
            <w:r w:rsidRPr="002661A8">
              <w:rPr>
                <w:color w:val="000000"/>
              </w:rPr>
              <w:t>Mediacom Communications Corporation</w:t>
            </w:r>
          </w:p>
        </w:tc>
        <w:tc>
          <w:tcPr>
            <w:tcW w:w="2050" w:type="dxa"/>
            <w:tcBorders>
              <w:top w:val="single" w:sz="6" w:space="0" w:color="auto"/>
              <w:left w:val="single" w:sz="6" w:space="0" w:color="auto"/>
              <w:bottom w:val="single" w:sz="6" w:space="0" w:color="auto"/>
              <w:right w:val="single" w:sz="6" w:space="0" w:color="auto"/>
            </w:tcBorders>
          </w:tcPr>
          <w:p w:rsidR="00BD701F" w:rsidRPr="002661A8" w:rsidP="000C64E1" w14:paraId="698F1F3D" w14:textId="77777777">
            <w:pPr>
              <w:autoSpaceDE w:val="0"/>
              <w:autoSpaceDN w:val="0"/>
              <w:adjustRightInd w:val="0"/>
              <w:rPr>
                <w:color w:val="000000"/>
              </w:rPr>
            </w:pPr>
            <w:r w:rsidRPr="002661A8">
              <w:rPr>
                <w:color w:val="000000"/>
              </w:rPr>
              <w:t>SCRP0001140</w:t>
            </w:r>
          </w:p>
        </w:tc>
      </w:tr>
      <w:tr w14:paraId="20E7B144"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6" w:space="0" w:color="auto"/>
              <w:left w:val="single" w:sz="6" w:space="0" w:color="auto"/>
              <w:bottom w:val="single" w:sz="6" w:space="0" w:color="auto"/>
              <w:right w:val="single" w:sz="6" w:space="0" w:color="auto"/>
            </w:tcBorders>
          </w:tcPr>
          <w:p w:rsidR="00BD701F" w:rsidRPr="002661A8" w:rsidP="000C64E1" w14:paraId="64B24FA2" w14:textId="77777777">
            <w:pPr>
              <w:autoSpaceDE w:val="0"/>
              <w:autoSpaceDN w:val="0"/>
              <w:adjustRightInd w:val="0"/>
              <w:rPr>
                <w:color w:val="000000"/>
              </w:rPr>
            </w:pPr>
            <w:r w:rsidRPr="002661A8">
              <w:rPr>
                <w:color w:val="000000"/>
              </w:rPr>
              <w:t>Metro Fibernet, LLC</w:t>
            </w:r>
          </w:p>
        </w:tc>
        <w:tc>
          <w:tcPr>
            <w:tcW w:w="2050" w:type="dxa"/>
            <w:tcBorders>
              <w:top w:val="single" w:sz="6" w:space="0" w:color="auto"/>
              <w:left w:val="single" w:sz="6" w:space="0" w:color="auto"/>
              <w:bottom w:val="single" w:sz="6" w:space="0" w:color="auto"/>
              <w:right w:val="single" w:sz="6" w:space="0" w:color="auto"/>
            </w:tcBorders>
          </w:tcPr>
          <w:p w:rsidR="00BD701F" w:rsidRPr="002661A8" w:rsidP="000C64E1" w14:paraId="27A5DBA3" w14:textId="77777777">
            <w:pPr>
              <w:autoSpaceDE w:val="0"/>
              <w:autoSpaceDN w:val="0"/>
              <w:adjustRightInd w:val="0"/>
              <w:rPr>
                <w:color w:val="000000"/>
              </w:rPr>
            </w:pPr>
            <w:r w:rsidRPr="002661A8">
              <w:rPr>
                <w:color w:val="000000"/>
              </w:rPr>
              <w:t>SCRP0001016</w:t>
            </w:r>
          </w:p>
        </w:tc>
      </w:tr>
      <w:tr w14:paraId="5C1B8677"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6" w:space="0" w:color="auto"/>
              <w:left w:val="single" w:sz="6" w:space="0" w:color="auto"/>
              <w:bottom w:val="single" w:sz="6" w:space="0" w:color="auto"/>
              <w:right w:val="single" w:sz="6" w:space="0" w:color="auto"/>
            </w:tcBorders>
          </w:tcPr>
          <w:p w:rsidR="00BD701F" w:rsidRPr="002661A8" w:rsidP="000C64E1" w14:paraId="73884841" w14:textId="77777777">
            <w:pPr>
              <w:autoSpaceDE w:val="0"/>
              <w:autoSpaceDN w:val="0"/>
              <w:adjustRightInd w:val="0"/>
              <w:rPr>
                <w:color w:val="000000"/>
              </w:rPr>
            </w:pPr>
            <w:r w:rsidRPr="002661A8">
              <w:rPr>
                <w:color w:val="000000"/>
              </w:rPr>
              <w:t>MHG Telco LLC</w:t>
            </w:r>
          </w:p>
        </w:tc>
        <w:tc>
          <w:tcPr>
            <w:tcW w:w="2050" w:type="dxa"/>
            <w:tcBorders>
              <w:top w:val="single" w:sz="6" w:space="0" w:color="auto"/>
              <w:left w:val="single" w:sz="6" w:space="0" w:color="auto"/>
              <w:bottom w:val="single" w:sz="6" w:space="0" w:color="auto"/>
              <w:right w:val="single" w:sz="6" w:space="0" w:color="auto"/>
            </w:tcBorders>
          </w:tcPr>
          <w:p w:rsidR="00BD701F" w:rsidRPr="002661A8" w:rsidP="000C64E1" w14:paraId="4E48DB8D" w14:textId="77777777">
            <w:pPr>
              <w:autoSpaceDE w:val="0"/>
              <w:autoSpaceDN w:val="0"/>
              <w:adjustRightInd w:val="0"/>
              <w:rPr>
                <w:color w:val="000000"/>
              </w:rPr>
            </w:pPr>
            <w:r w:rsidRPr="002661A8">
              <w:rPr>
                <w:color w:val="000000"/>
              </w:rPr>
              <w:t>SCRP0001023</w:t>
            </w:r>
          </w:p>
        </w:tc>
      </w:tr>
      <w:tr w14:paraId="1374642F"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6" w:space="0" w:color="auto"/>
              <w:left w:val="single" w:sz="6" w:space="0" w:color="auto"/>
              <w:bottom w:val="single" w:sz="6" w:space="0" w:color="auto"/>
              <w:right w:val="single" w:sz="6" w:space="0" w:color="auto"/>
            </w:tcBorders>
          </w:tcPr>
          <w:p w:rsidR="00BD701F" w:rsidRPr="002661A8" w:rsidP="000C64E1" w14:paraId="27025FB2" w14:textId="77777777">
            <w:pPr>
              <w:autoSpaceDE w:val="0"/>
              <w:autoSpaceDN w:val="0"/>
              <w:adjustRightInd w:val="0"/>
              <w:rPr>
                <w:color w:val="000000"/>
              </w:rPr>
            </w:pPr>
            <w:r w:rsidRPr="002661A8">
              <w:rPr>
                <w:color w:val="000000"/>
              </w:rPr>
              <w:t>Millennium Telcom, L.L.C., dba OneSource Communications</w:t>
            </w:r>
          </w:p>
        </w:tc>
        <w:tc>
          <w:tcPr>
            <w:tcW w:w="2050" w:type="dxa"/>
            <w:tcBorders>
              <w:top w:val="single" w:sz="6" w:space="0" w:color="auto"/>
              <w:left w:val="single" w:sz="6" w:space="0" w:color="auto"/>
              <w:bottom w:val="single" w:sz="6" w:space="0" w:color="auto"/>
              <w:right w:val="single" w:sz="6" w:space="0" w:color="auto"/>
            </w:tcBorders>
          </w:tcPr>
          <w:p w:rsidR="00BD701F" w:rsidRPr="002661A8" w:rsidP="000C64E1" w14:paraId="211DE8B0" w14:textId="77777777">
            <w:pPr>
              <w:autoSpaceDE w:val="0"/>
              <w:autoSpaceDN w:val="0"/>
              <w:adjustRightInd w:val="0"/>
              <w:rPr>
                <w:color w:val="000000"/>
              </w:rPr>
            </w:pPr>
            <w:r w:rsidRPr="002661A8">
              <w:rPr>
                <w:color w:val="000000"/>
              </w:rPr>
              <w:t>SCRP0001152</w:t>
            </w:r>
          </w:p>
        </w:tc>
      </w:tr>
      <w:tr w14:paraId="711C7C8B"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6" w:space="0" w:color="auto"/>
              <w:left w:val="single" w:sz="6" w:space="0" w:color="auto"/>
              <w:bottom w:val="single" w:sz="6" w:space="0" w:color="auto"/>
              <w:right w:val="single" w:sz="6" w:space="0" w:color="auto"/>
            </w:tcBorders>
          </w:tcPr>
          <w:p w:rsidR="00BD701F" w:rsidRPr="002661A8" w:rsidP="000C64E1" w14:paraId="7334140C" w14:textId="77777777">
            <w:pPr>
              <w:autoSpaceDE w:val="0"/>
              <w:autoSpaceDN w:val="0"/>
              <w:adjustRightInd w:val="0"/>
              <w:rPr>
                <w:color w:val="000000"/>
              </w:rPr>
            </w:pPr>
            <w:r w:rsidRPr="002661A8">
              <w:rPr>
                <w:color w:val="000000"/>
              </w:rPr>
              <w:t>Monmouth Telephone &amp; Telegraph</w:t>
            </w:r>
          </w:p>
        </w:tc>
        <w:tc>
          <w:tcPr>
            <w:tcW w:w="2050" w:type="dxa"/>
            <w:tcBorders>
              <w:top w:val="single" w:sz="6" w:space="0" w:color="auto"/>
              <w:left w:val="single" w:sz="6" w:space="0" w:color="auto"/>
              <w:bottom w:val="single" w:sz="6" w:space="0" w:color="auto"/>
              <w:right w:val="single" w:sz="6" w:space="0" w:color="auto"/>
            </w:tcBorders>
          </w:tcPr>
          <w:p w:rsidR="00BD701F" w:rsidRPr="002661A8" w:rsidP="000C64E1" w14:paraId="2FF1FA4F" w14:textId="77777777">
            <w:pPr>
              <w:autoSpaceDE w:val="0"/>
              <w:autoSpaceDN w:val="0"/>
              <w:adjustRightInd w:val="0"/>
              <w:rPr>
                <w:color w:val="000000"/>
              </w:rPr>
            </w:pPr>
            <w:r w:rsidRPr="002661A8">
              <w:rPr>
                <w:color w:val="000000"/>
              </w:rPr>
              <w:t>SCRP0001032</w:t>
            </w:r>
          </w:p>
        </w:tc>
      </w:tr>
      <w:tr w14:paraId="59A247E4"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6" w:space="0" w:color="auto"/>
              <w:left w:val="single" w:sz="6" w:space="0" w:color="auto"/>
              <w:bottom w:val="single" w:sz="6" w:space="0" w:color="auto"/>
              <w:right w:val="single" w:sz="6" w:space="0" w:color="auto"/>
            </w:tcBorders>
          </w:tcPr>
          <w:p w:rsidR="00BD701F" w:rsidRPr="002661A8" w:rsidP="000C64E1" w14:paraId="6CE2C426" w14:textId="77777777">
            <w:pPr>
              <w:autoSpaceDE w:val="0"/>
              <w:autoSpaceDN w:val="0"/>
              <w:adjustRightInd w:val="0"/>
              <w:rPr>
                <w:color w:val="000000"/>
              </w:rPr>
            </w:pPr>
            <w:r w:rsidRPr="002661A8">
              <w:rPr>
                <w:color w:val="000000"/>
              </w:rPr>
              <w:t>Natural G.C. Inc.</w:t>
            </w:r>
          </w:p>
        </w:tc>
        <w:tc>
          <w:tcPr>
            <w:tcW w:w="2050" w:type="dxa"/>
            <w:tcBorders>
              <w:top w:val="single" w:sz="6" w:space="0" w:color="auto"/>
              <w:left w:val="single" w:sz="6" w:space="0" w:color="auto"/>
              <w:bottom w:val="single" w:sz="6" w:space="0" w:color="auto"/>
              <w:right w:val="single" w:sz="6" w:space="0" w:color="auto"/>
            </w:tcBorders>
          </w:tcPr>
          <w:p w:rsidR="00BD701F" w:rsidRPr="002661A8" w:rsidP="000C64E1" w14:paraId="528BD61F" w14:textId="77777777">
            <w:pPr>
              <w:autoSpaceDE w:val="0"/>
              <w:autoSpaceDN w:val="0"/>
              <w:adjustRightInd w:val="0"/>
              <w:rPr>
                <w:color w:val="000000"/>
              </w:rPr>
            </w:pPr>
            <w:r w:rsidRPr="002661A8">
              <w:rPr>
                <w:color w:val="000000"/>
              </w:rPr>
              <w:t>SCRP0001008</w:t>
            </w:r>
          </w:p>
        </w:tc>
      </w:tr>
      <w:tr w14:paraId="1BDBC10B" w14:textId="77777777" w:rsidTr="000C64E1">
        <w:tblPrEx>
          <w:tblW w:w="7784" w:type="dxa"/>
          <w:jc w:val="center"/>
          <w:tblLayout w:type="fixed"/>
          <w:tblCellMar>
            <w:left w:w="30" w:type="dxa"/>
            <w:right w:w="30" w:type="dxa"/>
          </w:tblCellMar>
          <w:tblLook w:val="0000"/>
        </w:tblPrEx>
        <w:trPr>
          <w:trHeight w:val="5637"/>
          <w:jc w:val="center"/>
        </w:trPr>
        <w:tc>
          <w:tcPr>
            <w:tcW w:w="5734" w:type="dxa"/>
            <w:tcBorders>
              <w:top w:val="single" w:sz="6" w:space="0" w:color="auto"/>
              <w:left w:val="single" w:sz="6" w:space="0" w:color="auto"/>
              <w:right w:val="single" w:sz="6" w:space="0" w:color="auto"/>
            </w:tcBorders>
          </w:tcPr>
          <w:p w:rsidR="00BD701F" w:rsidRPr="002661A8" w:rsidP="000C64E1" w14:paraId="41ACCD7F" w14:textId="77777777">
            <w:pPr>
              <w:autoSpaceDE w:val="0"/>
              <w:autoSpaceDN w:val="0"/>
              <w:adjustRightInd w:val="0"/>
              <w:rPr>
                <w:color w:val="000000"/>
              </w:rPr>
            </w:pPr>
            <w:r w:rsidRPr="002661A8">
              <w:rPr>
                <w:color w:val="000000"/>
              </w:rPr>
              <w:t>NE Colorado Cellular Inc</w:t>
            </w:r>
          </w:p>
          <w:p w:rsidR="00BD701F" w:rsidRPr="002661A8" w:rsidP="000C64E1" w14:paraId="1D54488C" w14:textId="77777777">
            <w:pPr>
              <w:autoSpaceDE w:val="0"/>
              <w:autoSpaceDN w:val="0"/>
              <w:adjustRightInd w:val="0"/>
              <w:rPr>
                <w:color w:val="000000"/>
              </w:rPr>
            </w:pPr>
          </w:p>
        </w:tc>
        <w:tc>
          <w:tcPr>
            <w:tcW w:w="2050" w:type="dxa"/>
            <w:tcBorders>
              <w:top w:val="single" w:sz="6" w:space="0" w:color="auto"/>
              <w:left w:val="single" w:sz="6" w:space="0" w:color="auto"/>
              <w:right w:val="single" w:sz="6" w:space="0" w:color="auto"/>
            </w:tcBorders>
          </w:tcPr>
          <w:p w:rsidR="00BD701F" w:rsidRPr="002661A8" w:rsidP="000C64E1" w14:paraId="456FDA4E" w14:textId="77777777">
            <w:pPr>
              <w:autoSpaceDE w:val="0"/>
              <w:autoSpaceDN w:val="0"/>
              <w:adjustRightInd w:val="0"/>
              <w:rPr>
                <w:color w:val="000000"/>
              </w:rPr>
            </w:pPr>
            <w:r w:rsidRPr="002661A8">
              <w:rPr>
                <w:color w:val="000000"/>
              </w:rPr>
              <w:t>SCRP0001106</w:t>
            </w:r>
          </w:p>
          <w:p w:rsidR="00BD701F" w:rsidRPr="002661A8" w:rsidP="000C64E1" w14:paraId="6F16CC0F" w14:textId="77777777">
            <w:pPr>
              <w:autoSpaceDE w:val="0"/>
              <w:autoSpaceDN w:val="0"/>
              <w:adjustRightInd w:val="0"/>
              <w:rPr>
                <w:color w:val="000000"/>
              </w:rPr>
            </w:pPr>
            <w:r w:rsidRPr="002661A8">
              <w:rPr>
                <w:color w:val="000000"/>
              </w:rPr>
              <w:t>SCRP0001107</w:t>
            </w:r>
          </w:p>
          <w:p w:rsidR="00BD701F" w:rsidRPr="002661A8" w:rsidP="000C64E1" w14:paraId="589F409A" w14:textId="77777777">
            <w:pPr>
              <w:autoSpaceDE w:val="0"/>
              <w:autoSpaceDN w:val="0"/>
              <w:adjustRightInd w:val="0"/>
              <w:rPr>
                <w:color w:val="000000"/>
              </w:rPr>
            </w:pPr>
            <w:r w:rsidRPr="002661A8">
              <w:rPr>
                <w:color w:val="000000"/>
              </w:rPr>
              <w:t>SCRP0001108</w:t>
            </w:r>
          </w:p>
          <w:p w:rsidR="00BD701F" w:rsidRPr="002661A8" w:rsidP="000C64E1" w14:paraId="707E362C" w14:textId="77777777">
            <w:pPr>
              <w:autoSpaceDE w:val="0"/>
              <w:autoSpaceDN w:val="0"/>
              <w:adjustRightInd w:val="0"/>
              <w:rPr>
                <w:color w:val="000000"/>
              </w:rPr>
            </w:pPr>
            <w:r w:rsidRPr="002661A8">
              <w:rPr>
                <w:color w:val="000000"/>
              </w:rPr>
              <w:t>SCRP0001109</w:t>
            </w:r>
          </w:p>
          <w:p w:rsidR="00BD701F" w:rsidRPr="002661A8" w:rsidP="000C64E1" w14:paraId="34F13B35" w14:textId="77777777">
            <w:pPr>
              <w:autoSpaceDE w:val="0"/>
              <w:autoSpaceDN w:val="0"/>
              <w:adjustRightInd w:val="0"/>
              <w:rPr>
                <w:color w:val="000000"/>
              </w:rPr>
            </w:pPr>
            <w:r w:rsidRPr="002661A8">
              <w:rPr>
                <w:color w:val="000000"/>
              </w:rPr>
              <w:t>SCRP0001110</w:t>
            </w:r>
          </w:p>
          <w:p w:rsidR="00BD701F" w:rsidRPr="002661A8" w:rsidP="000C64E1" w14:paraId="25793899" w14:textId="77777777">
            <w:pPr>
              <w:autoSpaceDE w:val="0"/>
              <w:autoSpaceDN w:val="0"/>
              <w:adjustRightInd w:val="0"/>
              <w:rPr>
                <w:color w:val="000000"/>
              </w:rPr>
            </w:pPr>
            <w:r w:rsidRPr="002661A8">
              <w:rPr>
                <w:color w:val="000000"/>
              </w:rPr>
              <w:t>SCRP0001111</w:t>
            </w:r>
          </w:p>
          <w:p w:rsidR="00BD701F" w:rsidRPr="002661A8" w:rsidP="000C64E1" w14:paraId="367CFEFA" w14:textId="77777777">
            <w:pPr>
              <w:autoSpaceDE w:val="0"/>
              <w:autoSpaceDN w:val="0"/>
              <w:adjustRightInd w:val="0"/>
              <w:rPr>
                <w:color w:val="000000"/>
              </w:rPr>
            </w:pPr>
            <w:r w:rsidRPr="002661A8">
              <w:rPr>
                <w:color w:val="000000"/>
              </w:rPr>
              <w:t>SCRP0001113</w:t>
            </w:r>
          </w:p>
          <w:p w:rsidR="00BD701F" w:rsidRPr="002661A8" w:rsidP="000C64E1" w14:paraId="744E9BE7" w14:textId="77777777">
            <w:pPr>
              <w:autoSpaceDE w:val="0"/>
              <w:autoSpaceDN w:val="0"/>
              <w:adjustRightInd w:val="0"/>
              <w:rPr>
                <w:color w:val="000000"/>
              </w:rPr>
            </w:pPr>
            <w:r w:rsidRPr="002661A8">
              <w:rPr>
                <w:color w:val="000000"/>
              </w:rPr>
              <w:t>SCRP0001114</w:t>
            </w:r>
          </w:p>
          <w:p w:rsidR="00BD701F" w:rsidRPr="002661A8" w:rsidP="000C64E1" w14:paraId="06BFDA04" w14:textId="77777777">
            <w:pPr>
              <w:autoSpaceDE w:val="0"/>
              <w:autoSpaceDN w:val="0"/>
              <w:adjustRightInd w:val="0"/>
              <w:rPr>
                <w:color w:val="000000"/>
              </w:rPr>
            </w:pPr>
            <w:r w:rsidRPr="002661A8">
              <w:rPr>
                <w:color w:val="000000"/>
              </w:rPr>
              <w:t>SCRP0001115</w:t>
            </w:r>
          </w:p>
          <w:p w:rsidR="00BD701F" w:rsidRPr="002661A8" w:rsidP="000C64E1" w14:paraId="091B90EA" w14:textId="77777777">
            <w:pPr>
              <w:autoSpaceDE w:val="0"/>
              <w:autoSpaceDN w:val="0"/>
              <w:adjustRightInd w:val="0"/>
              <w:rPr>
                <w:color w:val="000000"/>
              </w:rPr>
            </w:pPr>
            <w:r w:rsidRPr="002661A8">
              <w:rPr>
                <w:color w:val="000000"/>
              </w:rPr>
              <w:t>SCRP0001116</w:t>
            </w:r>
          </w:p>
          <w:p w:rsidR="00BD701F" w:rsidRPr="002661A8" w:rsidP="000C64E1" w14:paraId="01932319" w14:textId="77777777">
            <w:pPr>
              <w:autoSpaceDE w:val="0"/>
              <w:autoSpaceDN w:val="0"/>
              <w:adjustRightInd w:val="0"/>
              <w:rPr>
                <w:color w:val="000000"/>
              </w:rPr>
            </w:pPr>
            <w:r w:rsidRPr="002661A8">
              <w:rPr>
                <w:color w:val="000000"/>
              </w:rPr>
              <w:t>SCRP0001117</w:t>
            </w:r>
          </w:p>
          <w:p w:rsidR="00BD701F" w:rsidRPr="002661A8" w:rsidP="000C64E1" w14:paraId="04B63181" w14:textId="77777777">
            <w:pPr>
              <w:autoSpaceDE w:val="0"/>
              <w:autoSpaceDN w:val="0"/>
              <w:adjustRightInd w:val="0"/>
              <w:rPr>
                <w:color w:val="000000"/>
              </w:rPr>
            </w:pPr>
            <w:r w:rsidRPr="002661A8">
              <w:rPr>
                <w:color w:val="000000"/>
              </w:rPr>
              <w:t>SCRP0001118</w:t>
            </w:r>
          </w:p>
          <w:p w:rsidR="00BD701F" w:rsidRPr="002661A8" w:rsidP="000C64E1" w14:paraId="5C95D6EA" w14:textId="77777777">
            <w:pPr>
              <w:autoSpaceDE w:val="0"/>
              <w:autoSpaceDN w:val="0"/>
              <w:adjustRightInd w:val="0"/>
              <w:rPr>
                <w:color w:val="000000"/>
              </w:rPr>
            </w:pPr>
            <w:r w:rsidRPr="002661A8">
              <w:rPr>
                <w:color w:val="000000"/>
              </w:rPr>
              <w:t>SCRP0001119</w:t>
            </w:r>
          </w:p>
          <w:p w:rsidR="00BD701F" w:rsidRPr="002661A8" w:rsidP="000C64E1" w14:paraId="7B62A50E" w14:textId="77777777">
            <w:pPr>
              <w:autoSpaceDE w:val="0"/>
              <w:autoSpaceDN w:val="0"/>
              <w:adjustRightInd w:val="0"/>
              <w:rPr>
                <w:color w:val="000000"/>
              </w:rPr>
            </w:pPr>
            <w:r w:rsidRPr="002661A8">
              <w:rPr>
                <w:color w:val="000000"/>
              </w:rPr>
              <w:t>SCRP0001120</w:t>
            </w:r>
          </w:p>
          <w:p w:rsidR="00BD701F" w:rsidRPr="002661A8" w:rsidP="000C64E1" w14:paraId="12630712" w14:textId="77777777">
            <w:pPr>
              <w:autoSpaceDE w:val="0"/>
              <w:autoSpaceDN w:val="0"/>
              <w:adjustRightInd w:val="0"/>
              <w:rPr>
                <w:color w:val="000000"/>
              </w:rPr>
            </w:pPr>
            <w:r w:rsidRPr="002661A8">
              <w:rPr>
                <w:color w:val="000000"/>
              </w:rPr>
              <w:t>SCRP0001121</w:t>
            </w:r>
          </w:p>
          <w:p w:rsidR="00BD701F" w:rsidRPr="002661A8" w:rsidP="000C64E1" w14:paraId="7C12F01D" w14:textId="77777777">
            <w:pPr>
              <w:autoSpaceDE w:val="0"/>
              <w:autoSpaceDN w:val="0"/>
              <w:adjustRightInd w:val="0"/>
              <w:rPr>
                <w:color w:val="000000"/>
              </w:rPr>
            </w:pPr>
            <w:r w:rsidRPr="002661A8">
              <w:rPr>
                <w:color w:val="000000"/>
              </w:rPr>
              <w:t>SCRP0001122</w:t>
            </w:r>
          </w:p>
          <w:p w:rsidR="00BD701F" w:rsidRPr="002661A8" w:rsidP="000C64E1" w14:paraId="7D9279AC" w14:textId="77777777">
            <w:pPr>
              <w:autoSpaceDE w:val="0"/>
              <w:autoSpaceDN w:val="0"/>
              <w:adjustRightInd w:val="0"/>
              <w:rPr>
                <w:color w:val="000000"/>
              </w:rPr>
            </w:pPr>
            <w:r w:rsidRPr="002661A8">
              <w:rPr>
                <w:color w:val="000000"/>
              </w:rPr>
              <w:t>SCRP0001123</w:t>
            </w:r>
          </w:p>
          <w:p w:rsidR="00BD701F" w:rsidRPr="002661A8" w:rsidP="000C64E1" w14:paraId="7752C679" w14:textId="77777777">
            <w:pPr>
              <w:autoSpaceDE w:val="0"/>
              <w:autoSpaceDN w:val="0"/>
              <w:adjustRightInd w:val="0"/>
              <w:rPr>
                <w:color w:val="000000"/>
              </w:rPr>
            </w:pPr>
            <w:r w:rsidRPr="002661A8">
              <w:rPr>
                <w:color w:val="000000"/>
              </w:rPr>
              <w:t>SCRP0001124</w:t>
            </w:r>
          </w:p>
          <w:p w:rsidR="00BD701F" w:rsidRPr="002661A8" w:rsidP="000C64E1" w14:paraId="3D950E10" w14:textId="77777777">
            <w:pPr>
              <w:autoSpaceDE w:val="0"/>
              <w:autoSpaceDN w:val="0"/>
              <w:adjustRightInd w:val="0"/>
              <w:rPr>
                <w:color w:val="000000"/>
              </w:rPr>
            </w:pPr>
            <w:r w:rsidRPr="002661A8">
              <w:rPr>
                <w:color w:val="000000"/>
              </w:rPr>
              <w:t>SCRP0001125</w:t>
            </w:r>
          </w:p>
          <w:p w:rsidR="00BD701F" w:rsidRPr="002661A8" w:rsidP="000C64E1" w14:paraId="1A494A44" w14:textId="77777777">
            <w:pPr>
              <w:autoSpaceDE w:val="0"/>
              <w:autoSpaceDN w:val="0"/>
              <w:adjustRightInd w:val="0"/>
              <w:rPr>
                <w:color w:val="000000"/>
              </w:rPr>
            </w:pPr>
            <w:r w:rsidRPr="002661A8">
              <w:rPr>
                <w:color w:val="000000"/>
              </w:rPr>
              <w:t>SCRP0001126</w:t>
            </w:r>
          </w:p>
          <w:p w:rsidR="00BD701F" w:rsidRPr="002661A8" w:rsidP="000C64E1" w14:paraId="08B2CD00" w14:textId="77777777">
            <w:pPr>
              <w:autoSpaceDE w:val="0"/>
              <w:autoSpaceDN w:val="0"/>
              <w:adjustRightInd w:val="0"/>
              <w:rPr>
                <w:color w:val="000000"/>
              </w:rPr>
            </w:pPr>
            <w:r w:rsidRPr="002661A8">
              <w:rPr>
                <w:color w:val="000000"/>
              </w:rPr>
              <w:t>SCRP0001135</w:t>
            </w:r>
          </w:p>
          <w:p w:rsidR="00BD701F" w:rsidRPr="002661A8" w:rsidP="000C64E1" w14:paraId="4E6F389D" w14:textId="77777777">
            <w:pPr>
              <w:autoSpaceDE w:val="0"/>
              <w:autoSpaceDN w:val="0"/>
              <w:adjustRightInd w:val="0"/>
              <w:rPr>
                <w:color w:val="000000"/>
              </w:rPr>
            </w:pPr>
            <w:r w:rsidRPr="002661A8">
              <w:rPr>
                <w:color w:val="000000"/>
              </w:rPr>
              <w:t>SCRP0001141</w:t>
            </w:r>
          </w:p>
        </w:tc>
      </w:tr>
      <w:tr w14:paraId="5204FE13"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6" w:space="0" w:color="auto"/>
              <w:left w:val="single" w:sz="6" w:space="0" w:color="auto"/>
              <w:bottom w:val="single" w:sz="6" w:space="0" w:color="auto"/>
              <w:right w:val="single" w:sz="6" w:space="0" w:color="auto"/>
            </w:tcBorders>
          </w:tcPr>
          <w:p w:rsidR="00BD701F" w:rsidRPr="002661A8" w:rsidP="000C64E1" w14:paraId="58898CF3" w14:textId="77777777">
            <w:pPr>
              <w:autoSpaceDE w:val="0"/>
              <w:autoSpaceDN w:val="0"/>
              <w:adjustRightInd w:val="0"/>
              <w:rPr>
                <w:color w:val="000000"/>
              </w:rPr>
            </w:pPr>
            <w:r w:rsidRPr="002661A8">
              <w:rPr>
                <w:color w:val="000000"/>
              </w:rPr>
              <w:t>N</w:t>
            </w:r>
            <w:r>
              <w:rPr>
                <w:color w:val="000000"/>
              </w:rPr>
              <w:t>emont</w:t>
            </w:r>
            <w:r>
              <w:rPr>
                <w:color w:val="000000"/>
              </w:rPr>
              <w:t xml:space="preserve"> Telephone Cooperative, Inc.</w:t>
            </w:r>
          </w:p>
        </w:tc>
        <w:tc>
          <w:tcPr>
            <w:tcW w:w="2050" w:type="dxa"/>
            <w:tcBorders>
              <w:top w:val="single" w:sz="6" w:space="0" w:color="auto"/>
              <w:left w:val="single" w:sz="6" w:space="0" w:color="auto"/>
              <w:bottom w:val="single" w:sz="6" w:space="0" w:color="auto"/>
              <w:right w:val="single" w:sz="6" w:space="0" w:color="auto"/>
            </w:tcBorders>
          </w:tcPr>
          <w:p w:rsidR="00BD701F" w:rsidRPr="002661A8" w:rsidP="000C64E1" w14:paraId="2FF12AD5" w14:textId="77777777">
            <w:pPr>
              <w:autoSpaceDE w:val="0"/>
              <w:autoSpaceDN w:val="0"/>
              <w:adjustRightInd w:val="0"/>
              <w:rPr>
                <w:color w:val="000000"/>
              </w:rPr>
            </w:pPr>
            <w:r w:rsidRPr="002661A8">
              <w:rPr>
                <w:color w:val="000000"/>
              </w:rPr>
              <w:t>SCRP0001084</w:t>
            </w:r>
          </w:p>
        </w:tc>
      </w:tr>
      <w:tr w14:paraId="5EB3E6F4"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6" w:space="0" w:color="auto"/>
              <w:left w:val="single" w:sz="6" w:space="0" w:color="auto"/>
              <w:bottom w:val="single" w:sz="6" w:space="0" w:color="auto"/>
              <w:right w:val="single" w:sz="6" w:space="0" w:color="auto"/>
            </w:tcBorders>
          </w:tcPr>
          <w:p w:rsidR="00BD701F" w:rsidRPr="002661A8" w:rsidP="000C64E1" w14:paraId="249410CC" w14:textId="77777777">
            <w:pPr>
              <w:autoSpaceDE w:val="0"/>
              <w:autoSpaceDN w:val="0"/>
              <w:adjustRightInd w:val="0"/>
              <w:rPr>
                <w:color w:val="000000"/>
              </w:rPr>
            </w:pPr>
            <w:r w:rsidRPr="002661A8">
              <w:rPr>
                <w:color w:val="000000"/>
              </w:rPr>
              <w:t>New Wave Net Corp</w:t>
            </w:r>
          </w:p>
        </w:tc>
        <w:tc>
          <w:tcPr>
            <w:tcW w:w="2050" w:type="dxa"/>
            <w:tcBorders>
              <w:top w:val="single" w:sz="6" w:space="0" w:color="auto"/>
              <w:left w:val="single" w:sz="6" w:space="0" w:color="auto"/>
              <w:bottom w:val="single" w:sz="6" w:space="0" w:color="auto"/>
              <w:right w:val="single" w:sz="6" w:space="0" w:color="auto"/>
            </w:tcBorders>
          </w:tcPr>
          <w:p w:rsidR="00BD701F" w:rsidRPr="002661A8" w:rsidP="000C64E1" w14:paraId="5F55192E" w14:textId="77777777">
            <w:pPr>
              <w:autoSpaceDE w:val="0"/>
              <w:autoSpaceDN w:val="0"/>
              <w:adjustRightInd w:val="0"/>
              <w:rPr>
                <w:color w:val="000000"/>
              </w:rPr>
            </w:pPr>
            <w:r w:rsidRPr="002661A8">
              <w:rPr>
                <w:color w:val="000000"/>
              </w:rPr>
              <w:t>SCRP0001012</w:t>
            </w:r>
          </w:p>
        </w:tc>
      </w:tr>
      <w:tr w14:paraId="7C62A9DE"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6" w:space="0" w:color="auto"/>
              <w:left w:val="single" w:sz="6" w:space="0" w:color="auto"/>
              <w:bottom w:val="single" w:sz="6" w:space="0" w:color="auto"/>
              <w:right w:val="single" w:sz="6" w:space="0" w:color="auto"/>
            </w:tcBorders>
          </w:tcPr>
          <w:p w:rsidR="00BD701F" w:rsidRPr="002661A8" w:rsidP="000C64E1" w14:paraId="36B01866" w14:textId="77777777">
            <w:pPr>
              <w:autoSpaceDE w:val="0"/>
              <w:autoSpaceDN w:val="0"/>
              <w:adjustRightInd w:val="0"/>
              <w:rPr>
                <w:color w:val="000000"/>
              </w:rPr>
            </w:pPr>
            <w:r w:rsidRPr="002661A8">
              <w:rPr>
                <w:color w:val="000000"/>
              </w:rPr>
              <w:t>NfinityLink</w:t>
            </w:r>
            <w:r w:rsidRPr="002661A8">
              <w:rPr>
                <w:color w:val="000000"/>
              </w:rPr>
              <w:t xml:space="preserve"> Communications, Inc.</w:t>
            </w:r>
          </w:p>
        </w:tc>
        <w:tc>
          <w:tcPr>
            <w:tcW w:w="2050" w:type="dxa"/>
            <w:tcBorders>
              <w:top w:val="single" w:sz="6" w:space="0" w:color="auto"/>
              <w:left w:val="single" w:sz="6" w:space="0" w:color="auto"/>
              <w:bottom w:val="single" w:sz="6" w:space="0" w:color="auto"/>
              <w:right w:val="single" w:sz="6" w:space="0" w:color="auto"/>
            </w:tcBorders>
          </w:tcPr>
          <w:p w:rsidR="00BD701F" w:rsidRPr="002661A8" w:rsidP="000C64E1" w14:paraId="1CA4E144" w14:textId="77777777">
            <w:pPr>
              <w:autoSpaceDE w:val="0"/>
              <w:autoSpaceDN w:val="0"/>
              <w:adjustRightInd w:val="0"/>
              <w:rPr>
                <w:color w:val="000000"/>
              </w:rPr>
            </w:pPr>
            <w:r w:rsidRPr="002661A8">
              <w:rPr>
                <w:color w:val="000000"/>
              </w:rPr>
              <w:t>SCRP0001173</w:t>
            </w:r>
          </w:p>
        </w:tc>
      </w:tr>
      <w:tr w14:paraId="518A68D6"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6" w:space="0" w:color="auto"/>
              <w:left w:val="single" w:sz="6" w:space="0" w:color="auto"/>
              <w:bottom w:val="single" w:sz="4" w:space="0" w:color="auto"/>
              <w:right w:val="single" w:sz="6" w:space="0" w:color="auto"/>
            </w:tcBorders>
          </w:tcPr>
          <w:p w:rsidR="00BD701F" w:rsidRPr="002661A8" w:rsidP="000C64E1" w14:paraId="701BA461" w14:textId="77777777">
            <w:pPr>
              <w:autoSpaceDE w:val="0"/>
              <w:autoSpaceDN w:val="0"/>
              <w:adjustRightInd w:val="0"/>
              <w:rPr>
                <w:color w:val="000000"/>
              </w:rPr>
            </w:pPr>
            <w:r w:rsidRPr="002661A8">
              <w:rPr>
                <w:color w:val="000000"/>
              </w:rPr>
              <w:t>NTInet</w:t>
            </w:r>
            <w:r w:rsidRPr="002661A8">
              <w:rPr>
                <w:color w:val="000000"/>
              </w:rPr>
              <w:t xml:space="preserve">, </w:t>
            </w:r>
            <w:r w:rsidRPr="002661A8">
              <w:rPr>
                <w:color w:val="000000"/>
              </w:rPr>
              <w:t>inc</w:t>
            </w:r>
          </w:p>
        </w:tc>
        <w:tc>
          <w:tcPr>
            <w:tcW w:w="2050" w:type="dxa"/>
            <w:tcBorders>
              <w:top w:val="single" w:sz="6" w:space="0" w:color="auto"/>
              <w:left w:val="single" w:sz="6" w:space="0" w:color="auto"/>
              <w:bottom w:val="single" w:sz="6" w:space="0" w:color="auto"/>
              <w:right w:val="single" w:sz="6" w:space="0" w:color="auto"/>
            </w:tcBorders>
          </w:tcPr>
          <w:p w:rsidR="00BD701F" w:rsidRPr="002661A8" w:rsidP="000C64E1" w14:paraId="6F7E0B75" w14:textId="77777777">
            <w:pPr>
              <w:autoSpaceDE w:val="0"/>
              <w:autoSpaceDN w:val="0"/>
              <w:adjustRightInd w:val="0"/>
              <w:rPr>
                <w:color w:val="000000"/>
              </w:rPr>
            </w:pPr>
            <w:r w:rsidRPr="002661A8">
              <w:rPr>
                <w:color w:val="000000"/>
              </w:rPr>
              <w:t>SCRP0001011</w:t>
            </w:r>
          </w:p>
        </w:tc>
      </w:tr>
      <w:tr w14:paraId="4A5A8D5B" w14:textId="77777777" w:rsidTr="000C64E1">
        <w:tblPrEx>
          <w:tblW w:w="7784" w:type="dxa"/>
          <w:jc w:val="center"/>
          <w:tblLayout w:type="fixed"/>
          <w:tblCellMar>
            <w:left w:w="30" w:type="dxa"/>
            <w:right w:w="30" w:type="dxa"/>
          </w:tblCellMar>
          <w:tblLook w:val="0000"/>
        </w:tblPrEx>
        <w:trPr>
          <w:trHeight w:val="591"/>
          <w:jc w:val="center"/>
        </w:trPr>
        <w:tc>
          <w:tcPr>
            <w:tcW w:w="5734" w:type="dxa"/>
            <w:tcBorders>
              <w:top w:val="single" w:sz="4" w:space="0" w:color="auto"/>
              <w:left w:val="single" w:sz="6" w:space="0" w:color="auto"/>
              <w:right w:val="single" w:sz="6" w:space="0" w:color="auto"/>
            </w:tcBorders>
          </w:tcPr>
          <w:p w:rsidR="00BD701F" w:rsidRPr="002661A8" w:rsidP="000C64E1" w14:paraId="45E4B1C8" w14:textId="77777777">
            <w:pPr>
              <w:autoSpaceDE w:val="0"/>
              <w:autoSpaceDN w:val="0"/>
              <w:adjustRightInd w:val="0"/>
              <w:rPr>
                <w:color w:val="000000"/>
              </w:rPr>
            </w:pPr>
            <w:r w:rsidRPr="002661A8">
              <w:rPr>
                <w:color w:val="000000"/>
              </w:rPr>
              <w:t>NTUA Wireless, LLC</w:t>
            </w:r>
          </w:p>
          <w:p w:rsidR="00BD701F" w:rsidRPr="002661A8" w:rsidP="000C64E1" w14:paraId="71852FE7" w14:textId="77777777">
            <w:pPr>
              <w:autoSpaceDE w:val="0"/>
              <w:autoSpaceDN w:val="0"/>
              <w:adjustRightInd w:val="0"/>
              <w:rPr>
                <w:color w:val="000000"/>
              </w:rPr>
            </w:pPr>
          </w:p>
        </w:tc>
        <w:tc>
          <w:tcPr>
            <w:tcW w:w="2050" w:type="dxa"/>
            <w:tcBorders>
              <w:top w:val="single" w:sz="6" w:space="0" w:color="auto"/>
              <w:left w:val="single" w:sz="6" w:space="0" w:color="auto"/>
              <w:right w:val="single" w:sz="6" w:space="0" w:color="auto"/>
            </w:tcBorders>
          </w:tcPr>
          <w:p w:rsidR="00BD701F" w:rsidRPr="002661A8" w:rsidP="000C64E1" w14:paraId="1D8BA07D" w14:textId="77777777">
            <w:pPr>
              <w:autoSpaceDE w:val="0"/>
              <w:autoSpaceDN w:val="0"/>
              <w:adjustRightInd w:val="0"/>
              <w:rPr>
                <w:color w:val="000000"/>
              </w:rPr>
            </w:pPr>
            <w:r w:rsidRPr="002661A8">
              <w:rPr>
                <w:color w:val="000000"/>
              </w:rPr>
              <w:t>SCRP0001024</w:t>
            </w:r>
          </w:p>
          <w:p w:rsidR="00BD701F" w:rsidRPr="002661A8" w:rsidP="000C64E1" w14:paraId="1098A0B9" w14:textId="77777777">
            <w:pPr>
              <w:autoSpaceDE w:val="0"/>
              <w:autoSpaceDN w:val="0"/>
              <w:adjustRightInd w:val="0"/>
              <w:rPr>
                <w:color w:val="000000"/>
              </w:rPr>
            </w:pPr>
            <w:r w:rsidRPr="002661A8">
              <w:rPr>
                <w:color w:val="000000"/>
              </w:rPr>
              <w:t>SCRP0001025</w:t>
            </w:r>
          </w:p>
        </w:tc>
      </w:tr>
      <w:tr w14:paraId="4DC684D8"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6" w:space="0" w:color="auto"/>
              <w:left w:val="single" w:sz="6" w:space="0" w:color="auto"/>
              <w:bottom w:val="single" w:sz="6" w:space="0" w:color="auto"/>
              <w:right w:val="single" w:sz="6" w:space="0" w:color="auto"/>
            </w:tcBorders>
          </w:tcPr>
          <w:p w:rsidR="00BD701F" w:rsidRPr="002661A8" w:rsidP="000C64E1" w14:paraId="0EEDC616" w14:textId="77777777">
            <w:pPr>
              <w:autoSpaceDE w:val="0"/>
              <w:autoSpaceDN w:val="0"/>
              <w:adjustRightInd w:val="0"/>
              <w:rPr>
                <w:color w:val="000000"/>
              </w:rPr>
            </w:pPr>
            <w:r w:rsidRPr="002661A8">
              <w:rPr>
                <w:color w:val="000000"/>
              </w:rPr>
              <w:t>One Ring Networks, Inc.</w:t>
            </w:r>
          </w:p>
        </w:tc>
        <w:tc>
          <w:tcPr>
            <w:tcW w:w="2050" w:type="dxa"/>
            <w:tcBorders>
              <w:top w:val="single" w:sz="6" w:space="0" w:color="auto"/>
              <w:left w:val="single" w:sz="6" w:space="0" w:color="auto"/>
              <w:bottom w:val="single" w:sz="6" w:space="0" w:color="auto"/>
              <w:right w:val="single" w:sz="6" w:space="0" w:color="auto"/>
            </w:tcBorders>
          </w:tcPr>
          <w:p w:rsidR="00BD701F" w:rsidRPr="002661A8" w:rsidP="000C64E1" w14:paraId="52D4EE4B" w14:textId="77777777">
            <w:pPr>
              <w:autoSpaceDE w:val="0"/>
              <w:autoSpaceDN w:val="0"/>
              <w:adjustRightInd w:val="0"/>
              <w:rPr>
                <w:color w:val="000000"/>
              </w:rPr>
            </w:pPr>
            <w:r w:rsidRPr="002661A8">
              <w:rPr>
                <w:color w:val="000000"/>
              </w:rPr>
              <w:t>SCRP0001001</w:t>
            </w:r>
          </w:p>
        </w:tc>
      </w:tr>
      <w:tr w14:paraId="5F9EB6B9"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6" w:space="0" w:color="auto"/>
              <w:left w:val="single" w:sz="6" w:space="0" w:color="auto"/>
              <w:bottom w:val="single" w:sz="6" w:space="0" w:color="auto"/>
              <w:right w:val="single" w:sz="6" w:space="0" w:color="auto"/>
            </w:tcBorders>
          </w:tcPr>
          <w:p w:rsidR="00BD701F" w:rsidRPr="002661A8" w:rsidP="000C64E1" w14:paraId="53E324E4" w14:textId="77777777">
            <w:pPr>
              <w:autoSpaceDE w:val="0"/>
              <w:autoSpaceDN w:val="0"/>
              <w:adjustRightInd w:val="0"/>
              <w:rPr>
                <w:color w:val="000000"/>
              </w:rPr>
            </w:pPr>
            <w:r w:rsidRPr="002661A8">
              <w:rPr>
                <w:color w:val="000000"/>
              </w:rPr>
              <w:t>Panhandle Telecommunication Systems Inc</w:t>
            </w:r>
          </w:p>
        </w:tc>
        <w:tc>
          <w:tcPr>
            <w:tcW w:w="2050" w:type="dxa"/>
            <w:tcBorders>
              <w:top w:val="single" w:sz="6" w:space="0" w:color="auto"/>
              <w:left w:val="single" w:sz="6" w:space="0" w:color="auto"/>
              <w:bottom w:val="single" w:sz="6" w:space="0" w:color="auto"/>
              <w:right w:val="single" w:sz="6" w:space="0" w:color="auto"/>
            </w:tcBorders>
          </w:tcPr>
          <w:p w:rsidR="00BD701F" w:rsidRPr="002661A8" w:rsidP="000C64E1" w14:paraId="4C0B112D" w14:textId="77777777">
            <w:pPr>
              <w:autoSpaceDE w:val="0"/>
              <w:autoSpaceDN w:val="0"/>
              <w:adjustRightInd w:val="0"/>
              <w:rPr>
                <w:color w:val="000000"/>
              </w:rPr>
            </w:pPr>
            <w:r w:rsidRPr="002661A8">
              <w:rPr>
                <w:color w:val="000000"/>
              </w:rPr>
              <w:t>SCRP0001033</w:t>
            </w:r>
          </w:p>
        </w:tc>
      </w:tr>
      <w:tr w14:paraId="085C1E68"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6" w:space="0" w:color="auto"/>
              <w:left w:val="single" w:sz="6" w:space="0" w:color="auto"/>
              <w:bottom w:val="single" w:sz="6" w:space="0" w:color="auto"/>
              <w:right w:val="single" w:sz="6" w:space="0" w:color="auto"/>
            </w:tcBorders>
          </w:tcPr>
          <w:p w:rsidR="00BD701F" w:rsidRPr="002661A8" w:rsidP="000C64E1" w14:paraId="66D4CD11" w14:textId="77777777">
            <w:pPr>
              <w:autoSpaceDE w:val="0"/>
              <w:autoSpaceDN w:val="0"/>
              <w:adjustRightInd w:val="0"/>
              <w:rPr>
                <w:color w:val="000000"/>
              </w:rPr>
            </w:pPr>
            <w:r w:rsidRPr="002661A8">
              <w:rPr>
                <w:color w:val="000000"/>
              </w:rPr>
              <w:t>Pine Belt Cellular, Inc.</w:t>
            </w:r>
          </w:p>
        </w:tc>
        <w:tc>
          <w:tcPr>
            <w:tcW w:w="2050" w:type="dxa"/>
            <w:tcBorders>
              <w:top w:val="single" w:sz="6" w:space="0" w:color="auto"/>
              <w:left w:val="single" w:sz="6" w:space="0" w:color="auto"/>
              <w:bottom w:val="single" w:sz="6" w:space="0" w:color="auto"/>
              <w:right w:val="single" w:sz="6" w:space="0" w:color="auto"/>
            </w:tcBorders>
          </w:tcPr>
          <w:p w:rsidR="00BD701F" w:rsidRPr="002661A8" w:rsidP="000C64E1" w14:paraId="0CCBFAAB" w14:textId="77777777">
            <w:pPr>
              <w:autoSpaceDE w:val="0"/>
              <w:autoSpaceDN w:val="0"/>
              <w:adjustRightInd w:val="0"/>
              <w:rPr>
                <w:color w:val="000000"/>
              </w:rPr>
            </w:pPr>
            <w:r w:rsidRPr="002661A8">
              <w:rPr>
                <w:color w:val="000000"/>
              </w:rPr>
              <w:t>SCRP0001038</w:t>
            </w:r>
          </w:p>
        </w:tc>
      </w:tr>
      <w:tr w14:paraId="2813F55C" w14:textId="77777777" w:rsidTr="000C64E1">
        <w:tblPrEx>
          <w:tblW w:w="7784" w:type="dxa"/>
          <w:jc w:val="center"/>
          <w:tblLayout w:type="fixed"/>
          <w:tblCellMar>
            <w:left w:w="30" w:type="dxa"/>
            <w:right w:w="30" w:type="dxa"/>
          </w:tblCellMar>
          <w:tblLook w:val="0000"/>
        </w:tblPrEx>
        <w:trPr>
          <w:trHeight w:val="792"/>
          <w:jc w:val="center"/>
        </w:trPr>
        <w:tc>
          <w:tcPr>
            <w:tcW w:w="5734" w:type="dxa"/>
            <w:tcBorders>
              <w:top w:val="single" w:sz="6" w:space="0" w:color="auto"/>
              <w:left w:val="single" w:sz="6" w:space="0" w:color="auto"/>
              <w:right w:val="single" w:sz="6" w:space="0" w:color="auto"/>
            </w:tcBorders>
          </w:tcPr>
          <w:p w:rsidR="00BD701F" w:rsidRPr="002661A8" w:rsidP="000C64E1" w14:paraId="51073CAB" w14:textId="77777777">
            <w:pPr>
              <w:autoSpaceDE w:val="0"/>
              <w:autoSpaceDN w:val="0"/>
              <w:adjustRightInd w:val="0"/>
              <w:rPr>
                <w:color w:val="000000"/>
              </w:rPr>
            </w:pPr>
            <w:r w:rsidRPr="002661A8">
              <w:rPr>
                <w:color w:val="000000"/>
              </w:rPr>
              <w:t>Pine Telephone Company</w:t>
            </w:r>
          </w:p>
          <w:p w:rsidR="00BD701F" w:rsidRPr="002661A8" w:rsidP="000C64E1" w14:paraId="1DAF5180" w14:textId="77777777">
            <w:pPr>
              <w:autoSpaceDE w:val="0"/>
              <w:autoSpaceDN w:val="0"/>
              <w:adjustRightInd w:val="0"/>
              <w:rPr>
                <w:color w:val="000000"/>
              </w:rPr>
            </w:pPr>
          </w:p>
        </w:tc>
        <w:tc>
          <w:tcPr>
            <w:tcW w:w="2050" w:type="dxa"/>
            <w:tcBorders>
              <w:top w:val="single" w:sz="6" w:space="0" w:color="auto"/>
              <w:left w:val="single" w:sz="6" w:space="0" w:color="auto"/>
              <w:right w:val="single" w:sz="6" w:space="0" w:color="auto"/>
            </w:tcBorders>
          </w:tcPr>
          <w:p w:rsidR="00BD701F" w:rsidRPr="002661A8" w:rsidP="000C64E1" w14:paraId="69D66C1F" w14:textId="77777777">
            <w:pPr>
              <w:autoSpaceDE w:val="0"/>
              <w:autoSpaceDN w:val="0"/>
              <w:adjustRightInd w:val="0"/>
              <w:rPr>
                <w:color w:val="000000"/>
              </w:rPr>
            </w:pPr>
            <w:r w:rsidRPr="002661A8">
              <w:rPr>
                <w:color w:val="000000"/>
              </w:rPr>
              <w:t>SCRP0001034</w:t>
            </w:r>
          </w:p>
          <w:p w:rsidR="00BD701F" w:rsidRPr="002661A8" w:rsidP="000C64E1" w14:paraId="61FECC2F" w14:textId="77777777">
            <w:pPr>
              <w:autoSpaceDE w:val="0"/>
              <w:autoSpaceDN w:val="0"/>
              <w:adjustRightInd w:val="0"/>
              <w:rPr>
                <w:color w:val="000000"/>
              </w:rPr>
            </w:pPr>
            <w:r w:rsidRPr="002661A8">
              <w:rPr>
                <w:color w:val="000000"/>
              </w:rPr>
              <w:t>SCRP0001035</w:t>
            </w:r>
          </w:p>
          <w:p w:rsidR="00BD701F" w:rsidRPr="002661A8" w:rsidP="000C64E1" w14:paraId="06EC08A2" w14:textId="77777777">
            <w:pPr>
              <w:autoSpaceDE w:val="0"/>
              <w:autoSpaceDN w:val="0"/>
              <w:adjustRightInd w:val="0"/>
              <w:rPr>
                <w:color w:val="000000"/>
              </w:rPr>
            </w:pPr>
            <w:r w:rsidRPr="002661A8">
              <w:rPr>
                <w:color w:val="000000"/>
              </w:rPr>
              <w:t>SCRP0001036</w:t>
            </w:r>
          </w:p>
        </w:tc>
      </w:tr>
      <w:tr w14:paraId="6855DABE"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6" w:space="0" w:color="auto"/>
              <w:left w:val="single" w:sz="6" w:space="0" w:color="auto"/>
              <w:bottom w:val="single" w:sz="6" w:space="0" w:color="auto"/>
              <w:right w:val="single" w:sz="6" w:space="0" w:color="auto"/>
            </w:tcBorders>
          </w:tcPr>
          <w:p w:rsidR="00BD701F" w:rsidRPr="002661A8" w:rsidP="000C64E1" w14:paraId="20B8A157" w14:textId="77777777">
            <w:pPr>
              <w:autoSpaceDE w:val="0"/>
              <w:autoSpaceDN w:val="0"/>
              <w:adjustRightInd w:val="0"/>
              <w:rPr>
                <w:color w:val="000000"/>
              </w:rPr>
            </w:pPr>
            <w:r w:rsidRPr="002661A8">
              <w:rPr>
                <w:color w:val="000000"/>
              </w:rPr>
              <w:t>Plateau Telecommunications, Incorporated</w:t>
            </w:r>
          </w:p>
        </w:tc>
        <w:tc>
          <w:tcPr>
            <w:tcW w:w="2050" w:type="dxa"/>
            <w:tcBorders>
              <w:top w:val="single" w:sz="6" w:space="0" w:color="auto"/>
              <w:left w:val="single" w:sz="6" w:space="0" w:color="auto"/>
              <w:bottom w:val="single" w:sz="6" w:space="0" w:color="auto"/>
              <w:right w:val="single" w:sz="6" w:space="0" w:color="auto"/>
            </w:tcBorders>
          </w:tcPr>
          <w:p w:rsidR="00BD701F" w:rsidRPr="002661A8" w:rsidP="000C64E1" w14:paraId="6612550E" w14:textId="77777777">
            <w:pPr>
              <w:autoSpaceDE w:val="0"/>
              <w:autoSpaceDN w:val="0"/>
              <w:adjustRightInd w:val="0"/>
              <w:rPr>
                <w:color w:val="000000"/>
              </w:rPr>
            </w:pPr>
            <w:r w:rsidRPr="002661A8">
              <w:rPr>
                <w:color w:val="000000"/>
              </w:rPr>
              <w:t>SCRP0001112</w:t>
            </w:r>
          </w:p>
        </w:tc>
      </w:tr>
      <w:tr w14:paraId="61E309AE"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6" w:space="0" w:color="auto"/>
              <w:left w:val="single" w:sz="6" w:space="0" w:color="auto"/>
              <w:bottom w:val="single" w:sz="6" w:space="0" w:color="auto"/>
              <w:right w:val="single" w:sz="6" w:space="0" w:color="auto"/>
            </w:tcBorders>
          </w:tcPr>
          <w:p w:rsidR="00BD701F" w:rsidRPr="002661A8" w:rsidP="000C64E1" w14:paraId="40B59100" w14:textId="77777777">
            <w:pPr>
              <w:autoSpaceDE w:val="0"/>
              <w:autoSpaceDN w:val="0"/>
              <w:adjustRightInd w:val="0"/>
              <w:rPr>
                <w:color w:val="000000"/>
              </w:rPr>
            </w:pPr>
            <w:r w:rsidRPr="002661A8">
              <w:rPr>
                <w:color w:val="000000"/>
              </w:rPr>
              <w:t>PocketiNet</w:t>
            </w:r>
            <w:r w:rsidRPr="002661A8">
              <w:rPr>
                <w:color w:val="000000"/>
              </w:rPr>
              <w:t xml:space="preserve"> Communications Inc.</w:t>
            </w:r>
          </w:p>
        </w:tc>
        <w:tc>
          <w:tcPr>
            <w:tcW w:w="2050" w:type="dxa"/>
            <w:tcBorders>
              <w:top w:val="single" w:sz="6" w:space="0" w:color="auto"/>
              <w:left w:val="single" w:sz="6" w:space="0" w:color="auto"/>
              <w:bottom w:val="single" w:sz="6" w:space="0" w:color="auto"/>
              <w:right w:val="single" w:sz="6" w:space="0" w:color="auto"/>
            </w:tcBorders>
          </w:tcPr>
          <w:p w:rsidR="00BD701F" w:rsidRPr="002661A8" w:rsidP="000C64E1" w14:paraId="10888F02" w14:textId="77777777">
            <w:pPr>
              <w:autoSpaceDE w:val="0"/>
              <w:autoSpaceDN w:val="0"/>
              <w:adjustRightInd w:val="0"/>
              <w:rPr>
                <w:color w:val="000000"/>
              </w:rPr>
            </w:pPr>
            <w:r w:rsidRPr="002661A8">
              <w:rPr>
                <w:color w:val="000000"/>
              </w:rPr>
              <w:t>SCRP0001031</w:t>
            </w:r>
          </w:p>
        </w:tc>
      </w:tr>
      <w:tr w14:paraId="3D77C5A5" w14:textId="77777777" w:rsidTr="000C64E1">
        <w:tblPrEx>
          <w:tblW w:w="7784" w:type="dxa"/>
          <w:jc w:val="center"/>
          <w:tblLayout w:type="fixed"/>
          <w:tblCellMar>
            <w:left w:w="30" w:type="dxa"/>
            <w:right w:w="30" w:type="dxa"/>
          </w:tblCellMar>
          <w:tblLook w:val="0000"/>
        </w:tblPrEx>
        <w:trPr>
          <w:trHeight w:val="1296"/>
          <w:jc w:val="center"/>
        </w:trPr>
        <w:tc>
          <w:tcPr>
            <w:tcW w:w="5734" w:type="dxa"/>
            <w:tcBorders>
              <w:top w:val="single" w:sz="6" w:space="0" w:color="auto"/>
              <w:left w:val="single" w:sz="6" w:space="0" w:color="auto"/>
              <w:bottom w:val="single" w:sz="4" w:space="0" w:color="auto"/>
              <w:right w:val="single" w:sz="6" w:space="0" w:color="auto"/>
            </w:tcBorders>
          </w:tcPr>
          <w:p w:rsidR="00BD701F" w:rsidRPr="002661A8" w:rsidP="000C64E1" w14:paraId="5DF73CC3" w14:textId="77777777">
            <w:pPr>
              <w:autoSpaceDE w:val="0"/>
              <w:autoSpaceDN w:val="0"/>
              <w:adjustRightInd w:val="0"/>
              <w:rPr>
                <w:color w:val="000000"/>
              </w:rPr>
            </w:pPr>
            <w:r w:rsidRPr="002661A8">
              <w:rPr>
                <w:color w:val="000000"/>
              </w:rPr>
              <w:t>Point Broadband Fiber Holding, LLC</w:t>
            </w:r>
          </w:p>
          <w:p w:rsidR="00BD701F" w:rsidRPr="002661A8" w:rsidP="000C64E1" w14:paraId="70E2FBE6" w14:textId="77777777">
            <w:pPr>
              <w:autoSpaceDE w:val="0"/>
              <w:autoSpaceDN w:val="0"/>
              <w:adjustRightInd w:val="0"/>
              <w:rPr>
                <w:color w:val="000000"/>
              </w:rPr>
            </w:pPr>
          </w:p>
        </w:tc>
        <w:tc>
          <w:tcPr>
            <w:tcW w:w="2050" w:type="dxa"/>
            <w:tcBorders>
              <w:top w:val="single" w:sz="6" w:space="0" w:color="auto"/>
              <w:left w:val="single" w:sz="6" w:space="0" w:color="auto"/>
              <w:bottom w:val="single" w:sz="4" w:space="0" w:color="auto"/>
              <w:right w:val="single" w:sz="6" w:space="0" w:color="auto"/>
            </w:tcBorders>
          </w:tcPr>
          <w:p w:rsidR="00BD701F" w:rsidRPr="002661A8" w:rsidP="000C64E1" w14:paraId="4EE69872" w14:textId="77777777">
            <w:pPr>
              <w:autoSpaceDE w:val="0"/>
              <w:autoSpaceDN w:val="0"/>
              <w:adjustRightInd w:val="0"/>
              <w:rPr>
                <w:color w:val="000000"/>
              </w:rPr>
            </w:pPr>
            <w:r w:rsidRPr="002661A8">
              <w:rPr>
                <w:color w:val="000000"/>
              </w:rPr>
              <w:t>SCRP0001128</w:t>
            </w:r>
          </w:p>
          <w:p w:rsidR="00BD701F" w:rsidRPr="002661A8" w:rsidP="000C64E1" w14:paraId="7F732AD9" w14:textId="77777777">
            <w:pPr>
              <w:autoSpaceDE w:val="0"/>
              <w:autoSpaceDN w:val="0"/>
              <w:adjustRightInd w:val="0"/>
              <w:rPr>
                <w:color w:val="000000"/>
              </w:rPr>
            </w:pPr>
            <w:r w:rsidRPr="002661A8">
              <w:rPr>
                <w:color w:val="000000"/>
              </w:rPr>
              <w:t>SCRP0001129</w:t>
            </w:r>
          </w:p>
          <w:p w:rsidR="00BD701F" w:rsidRPr="002661A8" w:rsidP="000C64E1" w14:paraId="003FB415" w14:textId="77777777">
            <w:pPr>
              <w:autoSpaceDE w:val="0"/>
              <w:autoSpaceDN w:val="0"/>
              <w:adjustRightInd w:val="0"/>
              <w:rPr>
                <w:color w:val="000000"/>
              </w:rPr>
            </w:pPr>
            <w:r w:rsidRPr="002661A8">
              <w:rPr>
                <w:color w:val="000000"/>
              </w:rPr>
              <w:t>SCRP0001130</w:t>
            </w:r>
          </w:p>
          <w:p w:rsidR="00BD701F" w:rsidRPr="002661A8" w:rsidP="000C64E1" w14:paraId="26EC36D0" w14:textId="77777777">
            <w:pPr>
              <w:autoSpaceDE w:val="0"/>
              <w:autoSpaceDN w:val="0"/>
              <w:adjustRightInd w:val="0"/>
              <w:rPr>
                <w:color w:val="000000"/>
              </w:rPr>
            </w:pPr>
            <w:r w:rsidRPr="002661A8">
              <w:rPr>
                <w:color w:val="000000"/>
              </w:rPr>
              <w:t>SCRP0001131</w:t>
            </w:r>
          </w:p>
          <w:p w:rsidR="00BD701F" w:rsidRPr="002661A8" w:rsidP="000C64E1" w14:paraId="4EFF9158" w14:textId="77777777">
            <w:pPr>
              <w:autoSpaceDE w:val="0"/>
              <w:autoSpaceDN w:val="0"/>
              <w:adjustRightInd w:val="0"/>
              <w:rPr>
                <w:color w:val="000000"/>
              </w:rPr>
            </w:pPr>
            <w:r w:rsidRPr="002661A8">
              <w:rPr>
                <w:color w:val="000000"/>
              </w:rPr>
              <w:t>SCRP0001132</w:t>
            </w:r>
          </w:p>
        </w:tc>
      </w:tr>
      <w:tr w14:paraId="7DF88DCA"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4" w:space="0" w:color="auto"/>
              <w:left w:val="single" w:sz="6" w:space="0" w:color="auto"/>
              <w:bottom w:val="single" w:sz="6" w:space="0" w:color="auto"/>
              <w:right w:val="single" w:sz="6" w:space="0" w:color="auto"/>
            </w:tcBorders>
          </w:tcPr>
          <w:p w:rsidR="00BD701F" w:rsidRPr="002661A8" w:rsidP="000C64E1" w14:paraId="36E61B44" w14:textId="77777777">
            <w:pPr>
              <w:autoSpaceDE w:val="0"/>
              <w:autoSpaceDN w:val="0"/>
              <w:adjustRightInd w:val="0"/>
              <w:rPr>
                <w:color w:val="000000"/>
              </w:rPr>
            </w:pPr>
            <w:r w:rsidRPr="002661A8">
              <w:rPr>
                <w:color w:val="000000"/>
              </w:rPr>
              <w:t>Premier Holdings LLC</w:t>
            </w:r>
          </w:p>
        </w:tc>
        <w:tc>
          <w:tcPr>
            <w:tcW w:w="2050" w:type="dxa"/>
            <w:tcBorders>
              <w:top w:val="single" w:sz="4" w:space="0" w:color="auto"/>
              <w:left w:val="single" w:sz="6" w:space="0" w:color="auto"/>
              <w:bottom w:val="single" w:sz="6" w:space="0" w:color="auto"/>
              <w:right w:val="single" w:sz="6" w:space="0" w:color="auto"/>
            </w:tcBorders>
          </w:tcPr>
          <w:p w:rsidR="00BD701F" w:rsidP="000C64E1" w14:paraId="34B0CEC1" w14:textId="77777777">
            <w:pPr>
              <w:autoSpaceDE w:val="0"/>
              <w:autoSpaceDN w:val="0"/>
              <w:adjustRightInd w:val="0"/>
              <w:rPr>
                <w:color w:val="000000"/>
              </w:rPr>
            </w:pPr>
            <w:r w:rsidRPr="002661A8">
              <w:rPr>
                <w:color w:val="000000"/>
              </w:rPr>
              <w:t>SCRP0001150</w:t>
            </w:r>
          </w:p>
        </w:tc>
      </w:tr>
      <w:tr w14:paraId="10A690EB"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6" w:space="0" w:color="auto"/>
              <w:left w:val="single" w:sz="6" w:space="0" w:color="auto"/>
              <w:bottom w:val="single" w:sz="6" w:space="0" w:color="auto"/>
              <w:right w:val="single" w:sz="6" w:space="0" w:color="auto"/>
            </w:tcBorders>
          </w:tcPr>
          <w:p w:rsidR="00BD701F" w:rsidRPr="002661A8" w:rsidP="000C64E1" w14:paraId="436469C1" w14:textId="77777777">
            <w:pPr>
              <w:autoSpaceDE w:val="0"/>
              <w:autoSpaceDN w:val="0"/>
              <w:adjustRightInd w:val="0"/>
              <w:rPr>
                <w:color w:val="000000"/>
              </w:rPr>
            </w:pPr>
            <w:r w:rsidRPr="002661A8">
              <w:rPr>
                <w:color w:val="000000"/>
              </w:rPr>
              <w:t>PTA-FLA, Inc.</w:t>
            </w:r>
          </w:p>
        </w:tc>
        <w:tc>
          <w:tcPr>
            <w:tcW w:w="2050" w:type="dxa"/>
            <w:tcBorders>
              <w:top w:val="single" w:sz="6" w:space="0" w:color="auto"/>
              <w:left w:val="single" w:sz="6" w:space="0" w:color="auto"/>
              <w:bottom w:val="single" w:sz="6" w:space="0" w:color="auto"/>
              <w:right w:val="single" w:sz="6" w:space="0" w:color="auto"/>
            </w:tcBorders>
          </w:tcPr>
          <w:p w:rsidR="00BD701F" w:rsidRPr="002661A8" w:rsidP="000C64E1" w14:paraId="7E39F630" w14:textId="77777777">
            <w:pPr>
              <w:autoSpaceDE w:val="0"/>
              <w:autoSpaceDN w:val="0"/>
              <w:adjustRightInd w:val="0"/>
              <w:rPr>
                <w:color w:val="000000"/>
              </w:rPr>
            </w:pPr>
            <w:r w:rsidRPr="002661A8">
              <w:rPr>
                <w:color w:val="000000"/>
              </w:rPr>
              <w:t>SCRP0001018</w:t>
            </w:r>
          </w:p>
        </w:tc>
      </w:tr>
      <w:tr w14:paraId="15E37D41"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6" w:space="0" w:color="auto"/>
              <w:left w:val="single" w:sz="6" w:space="0" w:color="auto"/>
              <w:bottom w:val="single" w:sz="6" w:space="0" w:color="auto"/>
              <w:right w:val="single" w:sz="6" w:space="0" w:color="auto"/>
            </w:tcBorders>
          </w:tcPr>
          <w:p w:rsidR="00BD701F" w:rsidRPr="002661A8" w:rsidP="000C64E1" w14:paraId="6112360D" w14:textId="77777777">
            <w:pPr>
              <w:autoSpaceDE w:val="0"/>
              <w:autoSpaceDN w:val="0"/>
              <w:adjustRightInd w:val="0"/>
              <w:rPr>
                <w:color w:val="000000"/>
              </w:rPr>
            </w:pPr>
            <w:r w:rsidRPr="002661A8">
              <w:rPr>
                <w:color w:val="000000"/>
              </w:rPr>
              <w:t>Puerto Rico Telephone Company, Inc.</w:t>
            </w:r>
          </w:p>
        </w:tc>
        <w:tc>
          <w:tcPr>
            <w:tcW w:w="2050" w:type="dxa"/>
            <w:tcBorders>
              <w:top w:val="single" w:sz="6" w:space="0" w:color="auto"/>
              <w:left w:val="single" w:sz="6" w:space="0" w:color="auto"/>
              <w:bottom w:val="single" w:sz="6" w:space="0" w:color="auto"/>
              <w:right w:val="single" w:sz="6" w:space="0" w:color="auto"/>
            </w:tcBorders>
          </w:tcPr>
          <w:p w:rsidR="00BD701F" w:rsidRPr="002661A8" w:rsidP="000C64E1" w14:paraId="12B070C9" w14:textId="77777777">
            <w:pPr>
              <w:autoSpaceDE w:val="0"/>
              <w:autoSpaceDN w:val="0"/>
              <w:adjustRightInd w:val="0"/>
              <w:rPr>
                <w:color w:val="000000"/>
              </w:rPr>
            </w:pPr>
            <w:r w:rsidRPr="002661A8">
              <w:rPr>
                <w:color w:val="000000"/>
              </w:rPr>
              <w:t>SCRP0001162</w:t>
            </w:r>
          </w:p>
        </w:tc>
      </w:tr>
      <w:tr w14:paraId="1D6111E4"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6" w:space="0" w:color="auto"/>
              <w:left w:val="single" w:sz="6" w:space="0" w:color="auto"/>
              <w:bottom w:val="single" w:sz="6" w:space="0" w:color="auto"/>
              <w:right w:val="single" w:sz="6" w:space="0" w:color="auto"/>
            </w:tcBorders>
          </w:tcPr>
          <w:p w:rsidR="00BD701F" w:rsidRPr="002661A8" w:rsidP="000C64E1" w14:paraId="5348DCDC" w14:textId="77777777">
            <w:pPr>
              <w:autoSpaceDE w:val="0"/>
              <w:autoSpaceDN w:val="0"/>
              <w:adjustRightInd w:val="0"/>
              <w:rPr>
                <w:color w:val="000000"/>
              </w:rPr>
            </w:pPr>
            <w:r w:rsidRPr="002661A8">
              <w:rPr>
                <w:color w:val="000000"/>
              </w:rPr>
              <w:t>Roome</w:t>
            </w:r>
            <w:r w:rsidRPr="002661A8">
              <w:rPr>
                <w:color w:val="000000"/>
              </w:rPr>
              <w:t xml:space="preserve"> Telecommunications Inc</w:t>
            </w:r>
          </w:p>
        </w:tc>
        <w:tc>
          <w:tcPr>
            <w:tcW w:w="2050" w:type="dxa"/>
            <w:tcBorders>
              <w:top w:val="single" w:sz="6" w:space="0" w:color="auto"/>
              <w:left w:val="single" w:sz="6" w:space="0" w:color="auto"/>
              <w:bottom w:val="single" w:sz="6" w:space="0" w:color="auto"/>
              <w:right w:val="single" w:sz="6" w:space="0" w:color="auto"/>
            </w:tcBorders>
          </w:tcPr>
          <w:p w:rsidR="00BD701F" w:rsidRPr="002661A8" w:rsidP="000C64E1" w14:paraId="2D4DD13E" w14:textId="77777777">
            <w:pPr>
              <w:autoSpaceDE w:val="0"/>
              <w:autoSpaceDN w:val="0"/>
              <w:adjustRightInd w:val="0"/>
              <w:rPr>
                <w:color w:val="000000"/>
              </w:rPr>
            </w:pPr>
            <w:r w:rsidRPr="002661A8">
              <w:rPr>
                <w:color w:val="000000"/>
              </w:rPr>
              <w:t>SCRP0001154</w:t>
            </w:r>
          </w:p>
        </w:tc>
      </w:tr>
      <w:tr w14:paraId="01606BD7"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6" w:space="0" w:color="auto"/>
              <w:left w:val="single" w:sz="6" w:space="0" w:color="auto"/>
              <w:bottom w:val="single" w:sz="6" w:space="0" w:color="auto"/>
              <w:right w:val="single" w:sz="6" w:space="0" w:color="auto"/>
            </w:tcBorders>
          </w:tcPr>
          <w:p w:rsidR="00BD701F" w:rsidRPr="002661A8" w:rsidP="000C64E1" w14:paraId="2FF80D8E" w14:textId="77777777">
            <w:pPr>
              <w:autoSpaceDE w:val="0"/>
              <w:autoSpaceDN w:val="0"/>
              <w:adjustRightInd w:val="0"/>
              <w:rPr>
                <w:color w:val="000000"/>
              </w:rPr>
            </w:pPr>
            <w:r w:rsidRPr="002661A8">
              <w:rPr>
                <w:color w:val="000000"/>
              </w:rPr>
              <w:t>Santel</w:t>
            </w:r>
            <w:r w:rsidRPr="002661A8">
              <w:rPr>
                <w:color w:val="000000"/>
              </w:rPr>
              <w:t xml:space="preserve"> Communications Cooperative, Inc.</w:t>
            </w:r>
          </w:p>
        </w:tc>
        <w:tc>
          <w:tcPr>
            <w:tcW w:w="2050" w:type="dxa"/>
            <w:tcBorders>
              <w:top w:val="single" w:sz="6" w:space="0" w:color="auto"/>
              <w:left w:val="single" w:sz="6" w:space="0" w:color="auto"/>
              <w:bottom w:val="single" w:sz="6" w:space="0" w:color="auto"/>
              <w:right w:val="single" w:sz="6" w:space="0" w:color="auto"/>
            </w:tcBorders>
          </w:tcPr>
          <w:p w:rsidR="00BD701F" w:rsidRPr="002661A8" w:rsidP="000C64E1" w14:paraId="5A2CBD20" w14:textId="77777777">
            <w:pPr>
              <w:autoSpaceDE w:val="0"/>
              <w:autoSpaceDN w:val="0"/>
              <w:adjustRightInd w:val="0"/>
              <w:rPr>
                <w:color w:val="000000"/>
              </w:rPr>
            </w:pPr>
            <w:r w:rsidRPr="002661A8">
              <w:rPr>
                <w:color w:val="000000"/>
              </w:rPr>
              <w:t>SCRP0001151</w:t>
            </w:r>
          </w:p>
        </w:tc>
      </w:tr>
      <w:tr w14:paraId="674B9705"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6" w:space="0" w:color="auto"/>
              <w:left w:val="single" w:sz="6" w:space="0" w:color="auto"/>
              <w:bottom w:val="single" w:sz="6" w:space="0" w:color="auto"/>
              <w:right w:val="single" w:sz="6" w:space="0" w:color="auto"/>
            </w:tcBorders>
          </w:tcPr>
          <w:p w:rsidR="00BD701F" w:rsidRPr="002661A8" w:rsidP="000C64E1" w14:paraId="6B15CA34" w14:textId="77777777">
            <w:pPr>
              <w:autoSpaceDE w:val="0"/>
              <w:autoSpaceDN w:val="0"/>
              <w:adjustRightInd w:val="0"/>
              <w:rPr>
                <w:color w:val="000000"/>
              </w:rPr>
            </w:pPr>
            <w:r w:rsidRPr="002661A8">
              <w:rPr>
                <w:color w:val="000000"/>
              </w:rPr>
              <w:t>SI Wireless, LLC</w:t>
            </w:r>
          </w:p>
        </w:tc>
        <w:tc>
          <w:tcPr>
            <w:tcW w:w="2050" w:type="dxa"/>
            <w:tcBorders>
              <w:top w:val="single" w:sz="6" w:space="0" w:color="auto"/>
              <w:left w:val="single" w:sz="6" w:space="0" w:color="auto"/>
              <w:bottom w:val="single" w:sz="6" w:space="0" w:color="auto"/>
              <w:right w:val="single" w:sz="6" w:space="0" w:color="auto"/>
            </w:tcBorders>
          </w:tcPr>
          <w:p w:rsidR="00BD701F" w:rsidRPr="002661A8" w:rsidP="000C64E1" w14:paraId="3DFB2873" w14:textId="77777777">
            <w:pPr>
              <w:autoSpaceDE w:val="0"/>
              <w:autoSpaceDN w:val="0"/>
              <w:adjustRightInd w:val="0"/>
              <w:rPr>
                <w:color w:val="000000"/>
              </w:rPr>
            </w:pPr>
            <w:r w:rsidRPr="002661A8">
              <w:rPr>
                <w:color w:val="000000"/>
              </w:rPr>
              <w:t>SCRP0001013</w:t>
            </w:r>
          </w:p>
        </w:tc>
      </w:tr>
      <w:tr w14:paraId="786A2BDF" w14:textId="77777777" w:rsidTr="000C64E1">
        <w:tblPrEx>
          <w:tblW w:w="7784" w:type="dxa"/>
          <w:jc w:val="center"/>
          <w:tblLayout w:type="fixed"/>
          <w:tblCellMar>
            <w:left w:w="30" w:type="dxa"/>
            <w:right w:w="30" w:type="dxa"/>
          </w:tblCellMar>
          <w:tblLook w:val="0000"/>
        </w:tblPrEx>
        <w:trPr>
          <w:trHeight w:val="1080"/>
          <w:jc w:val="center"/>
        </w:trPr>
        <w:tc>
          <w:tcPr>
            <w:tcW w:w="5734" w:type="dxa"/>
            <w:tcBorders>
              <w:top w:val="single" w:sz="6" w:space="0" w:color="auto"/>
              <w:left w:val="single" w:sz="6" w:space="0" w:color="auto"/>
              <w:right w:val="single" w:sz="6" w:space="0" w:color="auto"/>
            </w:tcBorders>
          </w:tcPr>
          <w:p w:rsidR="00BD701F" w:rsidRPr="002661A8" w:rsidP="000C64E1" w14:paraId="59ED9373" w14:textId="77777777">
            <w:pPr>
              <w:autoSpaceDE w:val="0"/>
              <w:autoSpaceDN w:val="0"/>
              <w:adjustRightInd w:val="0"/>
              <w:rPr>
                <w:color w:val="000000"/>
              </w:rPr>
            </w:pPr>
            <w:r w:rsidRPr="002661A8">
              <w:rPr>
                <w:color w:val="000000"/>
              </w:rPr>
              <w:t>Skybeam</w:t>
            </w:r>
            <w:r w:rsidRPr="002661A8">
              <w:rPr>
                <w:color w:val="000000"/>
              </w:rPr>
              <w:t>, LLC</w:t>
            </w:r>
          </w:p>
          <w:p w:rsidR="00BD701F" w:rsidRPr="002661A8" w:rsidP="000C64E1" w14:paraId="0A3E8D8E" w14:textId="77777777">
            <w:pPr>
              <w:autoSpaceDE w:val="0"/>
              <w:autoSpaceDN w:val="0"/>
              <w:adjustRightInd w:val="0"/>
              <w:rPr>
                <w:color w:val="000000"/>
              </w:rPr>
            </w:pPr>
          </w:p>
        </w:tc>
        <w:tc>
          <w:tcPr>
            <w:tcW w:w="2050" w:type="dxa"/>
            <w:tcBorders>
              <w:top w:val="single" w:sz="6" w:space="0" w:color="auto"/>
              <w:left w:val="single" w:sz="6" w:space="0" w:color="auto"/>
              <w:right w:val="single" w:sz="6" w:space="0" w:color="auto"/>
            </w:tcBorders>
          </w:tcPr>
          <w:p w:rsidR="00BD701F" w:rsidRPr="002661A8" w:rsidP="000C64E1" w14:paraId="1CC92DD8" w14:textId="77777777">
            <w:pPr>
              <w:autoSpaceDE w:val="0"/>
              <w:autoSpaceDN w:val="0"/>
              <w:adjustRightInd w:val="0"/>
              <w:rPr>
                <w:color w:val="000000"/>
              </w:rPr>
            </w:pPr>
            <w:r w:rsidRPr="002661A8">
              <w:rPr>
                <w:color w:val="000000"/>
              </w:rPr>
              <w:t xml:space="preserve">SCRP0001156 </w:t>
            </w:r>
          </w:p>
          <w:p w:rsidR="00BD701F" w:rsidRPr="002661A8" w:rsidP="000C64E1" w14:paraId="6CF08637" w14:textId="77777777">
            <w:pPr>
              <w:autoSpaceDE w:val="0"/>
              <w:autoSpaceDN w:val="0"/>
              <w:adjustRightInd w:val="0"/>
              <w:rPr>
                <w:color w:val="000000"/>
              </w:rPr>
            </w:pPr>
            <w:r w:rsidRPr="002661A8">
              <w:rPr>
                <w:color w:val="000000"/>
              </w:rPr>
              <w:t>SCRP0001158</w:t>
            </w:r>
          </w:p>
          <w:p w:rsidR="00BD701F" w:rsidRPr="002661A8" w:rsidP="000C64E1" w14:paraId="6259E882" w14:textId="77777777">
            <w:pPr>
              <w:autoSpaceDE w:val="0"/>
              <w:autoSpaceDN w:val="0"/>
              <w:adjustRightInd w:val="0"/>
              <w:rPr>
                <w:color w:val="000000"/>
              </w:rPr>
            </w:pPr>
            <w:r w:rsidRPr="002661A8">
              <w:rPr>
                <w:color w:val="000000"/>
              </w:rPr>
              <w:t>SCRP0001159</w:t>
            </w:r>
          </w:p>
          <w:p w:rsidR="00BD701F" w:rsidRPr="002661A8" w:rsidP="000C64E1" w14:paraId="2E39BF3C" w14:textId="77777777">
            <w:pPr>
              <w:autoSpaceDE w:val="0"/>
              <w:autoSpaceDN w:val="0"/>
              <w:adjustRightInd w:val="0"/>
              <w:rPr>
                <w:color w:val="000000"/>
              </w:rPr>
            </w:pPr>
            <w:r w:rsidRPr="002661A8">
              <w:rPr>
                <w:color w:val="000000"/>
              </w:rPr>
              <w:t>SCRP0001161</w:t>
            </w:r>
          </w:p>
        </w:tc>
      </w:tr>
      <w:tr w14:paraId="1CB1E0B6"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6" w:space="0" w:color="auto"/>
              <w:left w:val="single" w:sz="6" w:space="0" w:color="auto"/>
              <w:bottom w:val="single" w:sz="6" w:space="0" w:color="auto"/>
              <w:right w:val="single" w:sz="6" w:space="0" w:color="auto"/>
            </w:tcBorders>
          </w:tcPr>
          <w:p w:rsidR="00BD701F" w:rsidRPr="002661A8" w:rsidP="000C64E1" w14:paraId="1C220A5E" w14:textId="77777777">
            <w:pPr>
              <w:autoSpaceDE w:val="0"/>
              <w:autoSpaceDN w:val="0"/>
              <w:adjustRightInd w:val="0"/>
              <w:rPr>
                <w:color w:val="000000"/>
              </w:rPr>
            </w:pPr>
            <w:r w:rsidRPr="002661A8">
              <w:rPr>
                <w:color w:val="000000"/>
              </w:rPr>
              <w:t>South Canaan Telephone Company</w:t>
            </w:r>
          </w:p>
        </w:tc>
        <w:tc>
          <w:tcPr>
            <w:tcW w:w="2050" w:type="dxa"/>
            <w:tcBorders>
              <w:top w:val="single" w:sz="6" w:space="0" w:color="auto"/>
              <w:left w:val="single" w:sz="6" w:space="0" w:color="auto"/>
              <w:bottom w:val="single" w:sz="6" w:space="0" w:color="auto"/>
              <w:right w:val="single" w:sz="6" w:space="0" w:color="auto"/>
            </w:tcBorders>
          </w:tcPr>
          <w:p w:rsidR="00BD701F" w:rsidP="000C64E1" w14:paraId="60F47178" w14:textId="77777777">
            <w:pPr>
              <w:autoSpaceDE w:val="0"/>
              <w:autoSpaceDN w:val="0"/>
              <w:adjustRightInd w:val="0"/>
              <w:rPr>
                <w:color w:val="000000"/>
              </w:rPr>
            </w:pPr>
            <w:r w:rsidRPr="002661A8">
              <w:rPr>
                <w:color w:val="000000"/>
              </w:rPr>
              <w:t>SCRP0001099</w:t>
            </w:r>
          </w:p>
        </w:tc>
      </w:tr>
      <w:tr w14:paraId="682F2B41"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6" w:space="0" w:color="auto"/>
              <w:left w:val="single" w:sz="6" w:space="0" w:color="auto"/>
              <w:bottom w:val="single" w:sz="6" w:space="0" w:color="auto"/>
              <w:right w:val="single" w:sz="6" w:space="0" w:color="auto"/>
            </w:tcBorders>
          </w:tcPr>
          <w:p w:rsidR="00BD701F" w:rsidRPr="002661A8" w:rsidP="000C64E1" w14:paraId="6F0670F8" w14:textId="77777777">
            <w:pPr>
              <w:autoSpaceDE w:val="0"/>
              <w:autoSpaceDN w:val="0"/>
              <w:adjustRightInd w:val="0"/>
              <w:rPr>
                <w:color w:val="000000"/>
              </w:rPr>
            </w:pPr>
            <w:r w:rsidRPr="002661A8">
              <w:rPr>
                <w:color w:val="000000"/>
              </w:rPr>
              <w:t>Southern Ohio Communication Services Inc</w:t>
            </w:r>
          </w:p>
        </w:tc>
        <w:tc>
          <w:tcPr>
            <w:tcW w:w="2050" w:type="dxa"/>
            <w:tcBorders>
              <w:top w:val="single" w:sz="6" w:space="0" w:color="auto"/>
              <w:left w:val="single" w:sz="6" w:space="0" w:color="auto"/>
              <w:bottom w:val="single" w:sz="6" w:space="0" w:color="auto"/>
              <w:right w:val="single" w:sz="6" w:space="0" w:color="auto"/>
            </w:tcBorders>
          </w:tcPr>
          <w:p w:rsidR="00BD701F" w:rsidRPr="002661A8" w:rsidP="000C64E1" w14:paraId="6528C58A" w14:textId="77777777">
            <w:pPr>
              <w:autoSpaceDE w:val="0"/>
              <w:autoSpaceDN w:val="0"/>
              <w:adjustRightInd w:val="0"/>
              <w:rPr>
                <w:color w:val="000000"/>
              </w:rPr>
            </w:pPr>
            <w:r w:rsidRPr="002661A8">
              <w:rPr>
                <w:color w:val="000000"/>
              </w:rPr>
              <w:t>SCRP0001019</w:t>
            </w:r>
          </w:p>
        </w:tc>
      </w:tr>
      <w:tr w14:paraId="1092B204"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6" w:space="0" w:color="auto"/>
              <w:left w:val="single" w:sz="6" w:space="0" w:color="auto"/>
              <w:bottom w:val="single" w:sz="6" w:space="0" w:color="auto"/>
              <w:right w:val="single" w:sz="6" w:space="0" w:color="auto"/>
            </w:tcBorders>
          </w:tcPr>
          <w:p w:rsidR="00BD701F" w:rsidRPr="002661A8" w:rsidP="000C64E1" w14:paraId="749B3A92" w14:textId="77777777">
            <w:pPr>
              <w:autoSpaceDE w:val="0"/>
              <w:autoSpaceDN w:val="0"/>
              <w:adjustRightInd w:val="0"/>
              <w:rPr>
                <w:color w:val="000000"/>
              </w:rPr>
            </w:pPr>
            <w:r w:rsidRPr="002661A8">
              <w:rPr>
                <w:color w:val="000000"/>
              </w:rPr>
              <w:t>Stealth Communications</w:t>
            </w:r>
          </w:p>
        </w:tc>
        <w:tc>
          <w:tcPr>
            <w:tcW w:w="2050" w:type="dxa"/>
            <w:tcBorders>
              <w:top w:val="single" w:sz="6" w:space="0" w:color="auto"/>
              <w:left w:val="single" w:sz="6" w:space="0" w:color="auto"/>
              <w:bottom w:val="single" w:sz="6" w:space="0" w:color="auto"/>
              <w:right w:val="single" w:sz="6" w:space="0" w:color="auto"/>
            </w:tcBorders>
          </w:tcPr>
          <w:p w:rsidR="00BD701F" w:rsidRPr="002661A8" w:rsidP="000C64E1" w14:paraId="0222EAB4" w14:textId="77777777">
            <w:pPr>
              <w:autoSpaceDE w:val="0"/>
              <w:autoSpaceDN w:val="0"/>
              <w:adjustRightInd w:val="0"/>
              <w:rPr>
                <w:color w:val="000000"/>
              </w:rPr>
            </w:pPr>
            <w:r w:rsidRPr="002661A8">
              <w:rPr>
                <w:color w:val="000000"/>
              </w:rPr>
              <w:t>SCRP0001138</w:t>
            </w:r>
          </w:p>
        </w:tc>
      </w:tr>
      <w:tr w14:paraId="5899B6C0"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6" w:space="0" w:color="auto"/>
              <w:left w:val="single" w:sz="6" w:space="0" w:color="auto"/>
              <w:bottom w:val="single" w:sz="6" w:space="0" w:color="auto"/>
              <w:right w:val="single" w:sz="6" w:space="0" w:color="auto"/>
            </w:tcBorders>
          </w:tcPr>
          <w:p w:rsidR="00BD701F" w:rsidRPr="002661A8" w:rsidP="000C64E1" w14:paraId="66C406E4" w14:textId="77777777">
            <w:pPr>
              <w:autoSpaceDE w:val="0"/>
              <w:autoSpaceDN w:val="0"/>
              <w:adjustRightInd w:val="0"/>
              <w:rPr>
                <w:color w:val="000000"/>
              </w:rPr>
            </w:pPr>
            <w:r w:rsidRPr="002661A8">
              <w:rPr>
                <w:color w:val="000000"/>
              </w:rPr>
              <w:t>TelAlaska</w:t>
            </w:r>
            <w:r w:rsidRPr="002661A8">
              <w:rPr>
                <w:color w:val="000000"/>
              </w:rPr>
              <w:t xml:space="preserve"> Cellular, Inc.</w:t>
            </w:r>
          </w:p>
        </w:tc>
        <w:tc>
          <w:tcPr>
            <w:tcW w:w="2050" w:type="dxa"/>
            <w:tcBorders>
              <w:top w:val="single" w:sz="6" w:space="0" w:color="auto"/>
              <w:left w:val="single" w:sz="6" w:space="0" w:color="auto"/>
              <w:bottom w:val="single" w:sz="6" w:space="0" w:color="auto"/>
              <w:right w:val="single" w:sz="6" w:space="0" w:color="auto"/>
            </w:tcBorders>
          </w:tcPr>
          <w:p w:rsidR="00BD701F" w:rsidRPr="002661A8" w:rsidP="000C64E1" w14:paraId="09493598" w14:textId="77777777">
            <w:pPr>
              <w:autoSpaceDE w:val="0"/>
              <w:autoSpaceDN w:val="0"/>
              <w:adjustRightInd w:val="0"/>
              <w:rPr>
                <w:color w:val="000000"/>
              </w:rPr>
            </w:pPr>
            <w:r w:rsidRPr="002661A8">
              <w:rPr>
                <w:color w:val="000000"/>
              </w:rPr>
              <w:t>SCRP0001160</w:t>
            </w:r>
          </w:p>
        </w:tc>
      </w:tr>
      <w:tr w14:paraId="5DDA48B1"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6" w:space="0" w:color="auto"/>
              <w:left w:val="single" w:sz="6" w:space="0" w:color="auto"/>
              <w:bottom w:val="single" w:sz="6" w:space="0" w:color="auto"/>
              <w:right w:val="single" w:sz="6" w:space="0" w:color="auto"/>
            </w:tcBorders>
          </w:tcPr>
          <w:p w:rsidR="00BD701F" w:rsidRPr="002661A8" w:rsidP="000C64E1" w14:paraId="1C04B5E0" w14:textId="77777777">
            <w:pPr>
              <w:autoSpaceDE w:val="0"/>
              <w:autoSpaceDN w:val="0"/>
              <w:adjustRightInd w:val="0"/>
              <w:rPr>
                <w:color w:val="000000"/>
              </w:rPr>
            </w:pPr>
            <w:r w:rsidRPr="002661A8">
              <w:rPr>
                <w:color w:val="000000"/>
              </w:rPr>
              <w:t>Texas 10, LLC</w:t>
            </w:r>
          </w:p>
        </w:tc>
        <w:tc>
          <w:tcPr>
            <w:tcW w:w="2050" w:type="dxa"/>
            <w:tcBorders>
              <w:top w:val="single" w:sz="6" w:space="0" w:color="auto"/>
              <w:left w:val="single" w:sz="6" w:space="0" w:color="auto"/>
              <w:bottom w:val="single" w:sz="6" w:space="0" w:color="auto"/>
              <w:right w:val="single" w:sz="6" w:space="0" w:color="auto"/>
            </w:tcBorders>
          </w:tcPr>
          <w:p w:rsidR="00BD701F" w:rsidRPr="002661A8" w:rsidP="000C64E1" w14:paraId="7BC208D8" w14:textId="77777777">
            <w:pPr>
              <w:autoSpaceDE w:val="0"/>
              <w:autoSpaceDN w:val="0"/>
              <w:adjustRightInd w:val="0"/>
              <w:rPr>
                <w:color w:val="000000"/>
              </w:rPr>
            </w:pPr>
            <w:r w:rsidRPr="002661A8">
              <w:rPr>
                <w:color w:val="000000"/>
              </w:rPr>
              <w:t>SCRP0001041</w:t>
            </w:r>
          </w:p>
        </w:tc>
      </w:tr>
      <w:tr w14:paraId="38044637"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6" w:space="0" w:color="auto"/>
              <w:left w:val="single" w:sz="6" w:space="0" w:color="auto"/>
              <w:bottom w:val="single" w:sz="6" w:space="0" w:color="auto"/>
              <w:right w:val="single" w:sz="6" w:space="0" w:color="auto"/>
            </w:tcBorders>
          </w:tcPr>
          <w:p w:rsidR="00BD701F" w:rsidRPr="002661A8" w:rsidP="000C64E1" w14:paraId="1A23A2D1" w14:textId="77777777">
            <w:pPr>
              <w:autoSpaceDE w:val="0"/>
              <w:autoSpaceDN w:val="0"/>
              <w:adjustRightInd w:val="0"/>
              <w:rPr>
                <w:color w:val="000000"/>
              </w:rPr>
            </w:pPr>
            <w:r w:rsidRPr="002661A8">
              <w:rPr>
                <w:color w:val="000000"/>
              </w:rPr>
              <w:t>T</w:t>
            </w:r>
            <w:r>
              <w:rPr>
                <w:color w:val="000000"/>
              </w:rPr>
              <w:t>ranstelco</w:t>
            </w:r>
            <w:r w:rsidRPr="002661A8">
              <w:rPr>
                <w:color w:val="000000"/>
              </w:rPr>
              <w:t xml:space="preserve"> I</w:t>
            </w:r>
            <w:r>
              <w:rPr>
                <w:color w:val="000000"/>
              </w:rPr>
              <w:t>nc</w:t>
            </w:r>
            <w:r w:rsidRPr="002661A8">
              <w:rPr>
                <w:color w:val="000000"/>
              </w:rPr>
              <w:t>.</w:t>
            </w:r>
          </w:p>
        </w:tc>
        <w:tc>
          <w:tcPr>
            <w:tcW w:w="2050" w:type="dxa"/>
            <w:tcBorders>
              <w:top w:val="single" w:sz="6" w:space="0" w:color="auto"/>
              <w:left w:val="single" w:sz="6" w:space="0" w:color="auto"/>
              <w:bottom w:val="single" w:sz="6" w:space="0" w:color="auto"/>
              <w:right w:val="single" w:sz="6" w:space="0" w:color="auto"/>
            </w:tcBorders>
          </w:tcPr>
          <w:p w:rsidR="00BD701F" w:rsidRPr="002661A8" w:rsidP="000C64E1" w14:paraId="6429F0B5" w14:textId="77777777">
            <w:pPr>
              <w:autoSpaceDE w:val="0"/>
              <w:autoSpaceDN w:val="0"/>
              <w:adjustRightInd w:val="0"/>
              <w:rPr>
                <w:color w:val="000000"/>
              </w:rPr>
            </w:pPr>
            <w:r w:rsidRPr="002661A8">
              <w:rPr>
                <w:color w:val="000000"/>
              </w:rPr>
              <w:t>SCRP0001170</w:t>
            </w:r>
          </w:p>
        </w:tc>
      </w:tr>
      <w:tr w14:paraId="02E87908"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6" w:space="0" w:color="auto"/>
              <w:left w:val="single" w:sz="6" w:space="0" w:color="auto"/>
              <w:bottom w:val="single" w:sz="6" w:space="0" w:color="auto"/>
              <w:right w:val="single" w:sz="6" w:space="0" w:color="auto"/>
            </w:tcBorders>
          </w:tcPr>
          <w:p w:rsidR="00BD701F" w:rsidRPr="002661A8" w:rsidP="000C64E1" w14:paraId="17068C7E" w14:textId="77777777">
            <w:pPr>
              <w:autoSpaceDE w:val="0"/>
              <w:autoSpaceDN w:val="0"/>
              <w:adjustRightInd w:val="0"/>
              <w:rPr>
                <w:color w:val="000000"/>
              </w:rPr>
            </w:pPr>
            <w:r w:rsidRPr="002661A8">
              <w:rPr>
                <w:color w:val="000000"/>
              </w:rPr>
              <w:t>Triangle Communication Systems Inc</w:t>
            </w:r>
          </w:p>
        </w:tc>
        <w:tc>
          <w:tcPr>
            <w:tcW w:w="2050" w:type="dxa"/>
            <w:tcBorders>
              <w:top w:val="single" w:sz="6" w:space="0" w:color="auto"/>
              <w:left w:val="single" w:sz="6" w:space="0" w:color="auto"/>
              <w:bottom w:val="single" w:sz="6" w:space="0" w:color="auto"/>
              <w:right w:val="single" w:sz="6" w:space="0" w:color="auto"/>
            </w:tcBorders>
          </w:tcPr>
          <w:p w:rsidR="00BD701F" w:rsidRPr="002661A8" w:rsidP="000C64E1" w14:paraId="71486F73" w14:textId="77777777">
            <w:pPr>
              <w:autoSpaceDE w:val="0"/>
              <w:autoSpaceDN w:val="0"/>
              <w:adjustRightInd w:val="0"/>
              <w:rPr>
                <w:color w:val="000000"/>
              </w:rPr>
            </w:pPr>
            <w:r w:rsidRPr="002661A8">
              <w:rPr>
                <w:color w:val="000000"/>
              </w:rPr>
              <w:t>SCRP0001048</w:t>
            </w:r>
          </w:p>
        </w:tc>
      </w:tr>
      <w:tr w14:paraId="47823DE0"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6" w:space="0" w:color="auto"/>
              <w:left w:val="single" w:sz="6" w:space="0" w:color="auto"/>
              <w:bottom w:val="single" w:sz="6" w:space="0" w:color="auto"/>
              <w:right w:val="single" w:sz="6" w:space="0" w:color="auto"/>
            </w:tcBorders>
          </w:tcPr>
          <w:p w:rsidR="00BD701F" w:rsidRPr="002661A8" w:rsidP="000C64E1" w14:paraId="2B77CAE6" w14:textId="77777777">
            <w:pPr>
              <w:autoSpaceDE w:val="0"/>
              <w:autoSpaceDN w:val="0"/>
              <w:adjustRightInd w:val="0"/>
              <w:rPr>
                <w:color w:val="000000"/>
              </w:rPr>
            </w:pPr>
            <w:r w:rsidRPr="002661A8">
              <w:rPr>
                <w:color w:val="000000"/>
              </w:rPr>
              <w:t>Triangle Telephone Cooperative Association, Inc.</w:t>
            </w:r>
          </w:p>
        </w:tc>
        <w:tc>
          <w:tcPr>
            <w:tcW w:w="2050" w:type="dxa"/>
            <w:tcBorders>
              <w:top w:val="single" w:sz="6" w:space="0" w:color="auto"/>
              <w:left w:val="single" w:sz="6" w:space="0" w:color="auto"/>
              <w:bottom w:val="single" w:sz="6" w:space="0" w:color="auto"/>
              <w:right w:val="single" w:sz="6" w:space="0" w:color="auto"/>
            </w:tcBorders>
          </w:tcPr>
          <w:p w:rsidR="00BD701F" w:rsidRPr="002661A8" w:rsidP="000C64E1" w14:paraId="2DAFACBB" w14:textId="77777777">
            <w:pPr>
              <w:autoSpaceDE w:val="0"/>
              <w:autoSpaceDN w:val="0"/>
              <w:adjustRightInd w:val="0"/>
              <w:rPr>
                <w:color w:val="000000"/>
              </w:rPr>
            </w:pPr>
            <w:r w:rsidRPr="002661A8">
              <w:rPr>
                <w:color w:val="000000"/>
              </w:rPr>
              <w:t>SCRP0001046</w:t>
            </w:r>
          </w:p>
        </w:tc>
      </w:tr>
      <w:tr w14:paraId="5BACB590"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6" w:space="0" w:color="auto"/>
              <w:left w:val="single" w:sz="6" w:space="0" w:color="auto"/>
              <w:bottom w:val="single" w:sz="6" w:space="0" w:color="auto"/>
              <w:right w:val="single" w:sz="6" w:space="0" w:color="auto"/>
            </w:tcBorders>
          </w:tcPr>
          <w:p w:rsidR="00BD701F" w:rsidRPr="002661A8" w:rsidP="000C64E1" w14:paraId="6A8CA033" w14:textId="77777777">
            <w:pPr>
              <w:autoSpaceDE w:val="0"/>
              <w:autoSpaceDN w:val="0"/>
              <w:adjustRightInd w:val="0"/>
              <w:rPr>
                <w:color w:val="000000"/>
              </w:rPr>
            </w:pPr>
            <w:r w:rsidRPr="002661A8">
              <w:rPr>
                <w:color w:val="000000"/>
              </w:rPr>
              <w:t>Trinity Basin Preparatory, Inc.</w:t>
            </w:r>
          </w:p>
        </w:tc>
        <w:tc>
          <w:tcPr>
            <w:tcW w:w="2050" w:type="dxa"/>
            <w:tcBorders>
              <w:top w:val="single" w:sz="6" w:space="0" w:color="auto"/>
              <w:left w:val="single" w:sz="6" w:space="0" w:color="auto"/>
              <w:bottom w:val="single" w:sz="6" w:space="0" w:color="auto"/>
              <w:right w:val="single" w:sz="6" w:space="0" w:color="auto"/>
            </w:tcBorders>
          </w:tcPr>
          <w:p w:rsidR="00BD701F" w:rsidRPr="002661A8" w:rsidP="000C64E1" w14:paraId="2FEABEF6" w14:textId="77777777">
            <w:pPr>
              <w:autoSpaceDE w:val="0"/>
              <w:autoSpaceDN w:val="0"/>
              <w:adjustRightInd w:val="0"/>
              <w:rPr>
                <w:color w:val="000000"/>
              </w:rPr>
            </w:pPr>
            <w:r w:rsidRPr="002661A8">
              <w:rPr>
                <w:color w:val="000000"/>
              </w:rPr>
              <w:t>SCRP0001002</w:t>
            </w:r>
          </w:p>
        </w:tc>
      </w:tr>
      <w:tr w14:paraId="0E4776CF" w14:textId="77777777" w:rsidTr="000C64E1">
        <w:tblPrEx>
          <w:tblW w:w="7784" w:type="dxa"/>
          <w:jc w:val="center"/>
          <w:tblLayout w:type="fixed"/>
          <w:tblCellMar>
            <w:left w:w="30" w:type="dxa"/>
            <w:right w:w="30" w:type="dxa"/>
          </w:tblCellMar>
          <w:tblLook w:val="0000"/>
        </w:tblPrEx>
        <w:trPr>
          <w:trHeight w:val="1555"/>
          <w:jc w:val="center"/>
        </w:trPr>
        <w:tc>
          <w:tcPr>
            <w:tcW w:w="5734" w:type="dxa"/>
            <w:tcBorders>
              <w:top w:val="single" w:sz="6" w:space="0" w:color="auto"/>
              <w:left w:val="single" w:sz="6" w:space="0" w:color="auto"/>
              <w:right w:val="single" w:sz="6" w:space="0" w:color="auto"/>
            </w:tcBorders>
          </w:tcPr>
          <w:p w:rsidR="00BD701F" w:rsidRPr="002661A8" w:rsidP="000C64E1" w14:paraId="0BBE391F" w14:textId="77777777">
            <w:pPr>
              <w:autoSpaceDE w:val="0"/>
              <w:autoSpaceDN w:val="0"/>
              <w:adjustRightInd w:val="0"/>
              <w:rPr>
                <w:color w:val="000000"/>
              </w:rPr>
            </w:pPr>
            <w:r w:rsidRPr="002661A8">
              <w:rPr>
                <w:color w:val="000000"/>
              </w:rPr>
              <w:t>Union Telephone Company</w:t>
            </w:r>
          </w:p>
          <w:p w:rsidR="00BD701F" w:rsidRPr="002661A8" w:rsidP="000C64E1" w14:paraId="1BA20BA4" w14:textId="77777777">
            <w:pPr>
              <w:autoSpaceDE w:val="0"/>
              <w:autoSpaceDN w:val="0"/>
              <w:adjustRightInd w:val="0"/>
              <w:rPr>
                <w:color w:val="000000"/>
              </w:rPr>
            </w:pPr>
          </w:p>
        </w:tc>
        <w:tc>
          <w:tcPr>
            <w:tcW w:w="2050" w:type="dxa"/>
            <w:tcBorders>
              <w:top w:val="single" w:sz="6" w:space="0" w:color="auto"/>
              <w:left w:val="single" w:sz="6" w:space="0" w:color="auto"/>
              <w:right w:val="single" w:sz="6" w:space="0" w:color="auto"/>
            </w:tcBorders>
          </w:tcPr>
          <w:p w:rsidR="00BD701F" w:rsidRPr="002661A8" w:rsidP="000C64E1" w14:paraId="32A560F4" w14:textId="77777777">
            <w:pPr>
              <w:autoSpaceDE w:val="0"/>
              <w:autoSpaceDN w:val="0"/>
              <w:adjustRightInd w:val="0"/>
              <w:rPr>
                <w:color w:val="000000"/>
              </w:rPr>
            </w:pPr>
            <w:r w:rsidRPr="002661A8">
              <w:rPr>
                <w:color w:val="000000"/>
              </w:rPr>
              <w:t xml:space="preserve">SCRP0001087 </w:t>
            </w:r>
          </w:p>
          <w:p w:rsidR="00BD701F" w:rsidRPr="002661A8" w:rsidP="000C64E1" w14:paraId="0D854A55" w14:textId="77777777">
            <w:pPr>
              <w:autoSpaceDE w:val="0"/>
              <w:autoSpaceDN w:val="0"/>
              <w:adjustRightInd w:val="0"/>
              <w:rPr>
                <w:color w:val="000000"/>
              </w:rPr>
            </w:pPr>
            <w:r w:rsidRPr="002661A8">
              <w:rPr>
                <w:color w:val="000000"/>
              </w:rPr>
              <w:t>SCRP0001089</w:t>
            </w:r>
          </w:p>
          <w:p w:rsidR="00BD701F" w:rsidRPr="002661A8" w:rsidP="000C64E1" w14:paraId="4D81629D" w14:textId="77777777">
            <w:pPr>
              <w:autoSpaceDE w:val="0"/>
              <w:autoSpaceDN w:val="0"/>
              <w:adjustRightInd w:val="0"/>
              <w:rPr>
                <w:color w:val="000000"/>
              </w:rPr>
            </w:pPr>
            <w:r w:rsidRPr="002661A8">
              <w:rPr>
                <w:color w:val="000000"/>
              </w:rPr>
              <w:t>SCRP0001090</w:t>
            </w:r>
          </w:p>
          <w:p w:rsidR="00BD701F" w:rsidRPr="002661A8" w:rsidP="000C64E1" w14:paraId="77B102AA" w14:textId="77777777">
            <w:pPr>
              <w:autoSpaceDE w:val="0"/>
              <w:autoSpaceDN w:val="0"/>
              <w:adjustRightInd w:val="0"/>
              <w:rPr>
                <w:color w:val="000000"/>
              </w:rPr>
            </w:pPr>
            <w:r w:rsidRPr="002661A8">
              <w:rPr>
                <w:color w:val="000000"/>
              </w:rPr>
              <w:t>SCRP0001092</w:t>
            </w:r>
          </w:p>
          <w:p w:rsidR="00BD701F" w:rsidRPr="002661A8" w:rsidP="000C64E1" w14:paraId="5CC02798" w14:textId="77777777">
            <w:pPr>
              <w:autoSpaceDE w:val="0"/>
              <w:autoSpaceDN w:val="0"/>
              <w:adjustRightInd w:val="0"/>
              <w:rPr>
                <w:color w:val="000000"/>
              </w:rPr>
            </w:pPr>
            <w:r w:rsidRPr="002661A8">
              <w:rPr>
                <w:color w:val="000000"/>
              </w:rPr>
              <w:t>SCRP0001096</w:t>
            </w:r>
          </w:p>
          <w:p w:rsidR="00BD701F" w:rsidRPr="002661A8" w:rsidP="000C64E1" w14:paraId="52BBEB87" w14:textId="77777777">
            <w:pPr>
              <w:autoSpaceDE w:val="0"/>
              <w:autoSpaceDN w:val="0"/>
              <w:adjustRightInd w:val="0"/>
              <w:rPr>
                <w:color w:val="000000"/>
              </w:rPr>
            </w:pPr>
            <w:r w:rsidRPr="002661A8">
              <w:rPr>
                <w:color w:val="000000"/>
              </w:rPr>
              <w:t>SCRP0001098</w:t>
            </w:r>
          </w:p>
        </w:tc>
      </w:tr>
      <w:tr w14:paraId="0C0146ED"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6" w:space="0" w:color="auto"/>
              <w:left w:val="single" w:sz="6" w:space="0" w:color="auto"/>
              <w:bottom w:val="single" w:sz="6" w:space="0" w:color="auto"/>
              <w:right w:val="single" w:sz="6" w:space="0" w:color="auto"/>
            </w:tcBorders>
          </w:tcPr>
          <w:p w:rsidR="00BD701F" w:rsidRPr="002661A8" w:rsidP="000C64E1" w14:paraId="66A591BA" w14:textId="77777777">
            <w:pPr>
              <w:autoSpaceDE w:val="0"/>
              <w:autoSpaceDN w:val="0"/>
              <w:adjustRightInd w:val="0"/>
              <w:rPr>
                <w:color w:val="000000"/>
              </w:rPr>
            </w:pPr>
            <w:r w:rsidRPr="002661A8">
              <w:rPr>
                <w:color w:val="000000"/>
              </w:rPr>
              <w:t>United Wireless Communications, Inc.</w:t>
            </w:r>
          </w:p>
        </w:tc>
        <w:tc>
          <w:tcPr>
            <w:tcW w:w="2050" w:type="dxa"/>
            <w:tcBorders>
              <w:top w:val="single" w:sz="6" w:space="0" w:color="auto"/>
              <w:left w:val="single" w:sz="6" w:space="0" w:color="auto"/>
              <w:bottom w:val="single" w:sz="6" w:space="0" w:color="auto"/>
              <w:right w:val="single" w:sz="6" w:space="0" w:color="auto"/>
            </w:tcBorders>
          </w:tcPr>
          <w:p w:rsidR="00BD701F" w:rsidP="000C64E1" w14:paraId="78D4850D" w14:textId="77777777">
            <w:pPr>
              <w:autoSpaceDE w:val="0"/>
              <w:autoSpaceDN w:val="0"/>
              <w:adjustRightInd w:val="0"/>
              <w:rPr>
                <w:color w:val="000000"/>
              </w:rPr>
            </w:pPr>
            <w:r w:rsidRPr="002661A8">
              <w:rPr>
                <w:color w:val="000000"/>
              </w:rPr>
              <w:t>SCRP0001104</w:t>
            </w:r>
          </w:p>
        </w:tc>
      </w:tr>
      <w:tr w14:paraId="19CEA93C"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6" w:space="0" w:color="auto"/>
              <w:left w:val="single" w:sz="6" w:space="0" w:color="auto"/>
              <w:bottom w:val="single" w:sz="6" w:space="0" w:color="auto"/>
              <w:right w:val="single" w:sz="6" w:space="0" w:color="auto"/>
            </w:tcBorders>
          </w:tcPr>
          <w:p w:rsidR="00BD701F" w:rsidRPr="002661A8" w:rsidP="000C64E1" w14:paraId="280AA7AC" w14:textId="77777777">
            <w:pPr>
              <w:autoSpaceDE w:val="0"/>
              <w:autoSpaceDN w:val="0"/>
              <w:adjustRightInd w:val="0"/>
              <w:rPr>
                <w:color w:val="000000"/>
              </w:rPr>
            </w:pPr>
            <w:r w:rsidRPr="002661A8">
              <w:rPr>
                <w:color w:val="000000"/>
              </w:rPr>
              <w:t>Utah Telecommunication Open Infrastructure Agency</w:t>
            </w:r>
          </w:p>
        </w:tc>
        <w:tc>
          <w:tcPr>
            <w:tcW w:w="2050" w:type="dxa"/>
            <w:tcBorders>
              <w:top w:val="single" w:sz="6" w:space="0" w:color="auto"/>
              <w:left w:val="single" w:sz="6" w:space="0" w:color="auto"/>
              <w:bottom w:val="single" w:sz="6" w:space="0" w:color="auto"/>
              <w:right w:val="single" w:sz="6" w:space="0" w:color="auto"/>
            </w:tcBorders>
          </w:tcPr>
          <w:p w:rsidR="00BD701F" w:rsidRPr="002661A8" w:rsidP="000C64E1" w14:paraId="3BCF4674" w14:textId="77777777">
            <w:pPr>
              <w:autoSpaceDE w:val="0"/>
              <w:autoSpaceDN w:val="0"/>
              <w:adjustRightInd w:val="0"/>
              <w:rPr>
                <w:color w:val="000000"/>
              </w:rPr>
            </w:pPr>
            <w:r w:rsidRPr="002661A8">
              <w:rPr>
                <w:color w:val="000000"/>
              </w:rPr>
              <w:t>SCRP0001102</w:t>
            </w:r>
          </w:p>
        </w:tc>
      </w:tr>
      <w:tr w14:paraId="08E8837A"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6" w:space="0" w:color="auto"/>
              <w:left w:val="single" w:sz="6" w:space="0" w:color="auto"/>
              <w:bottom w:val="single" w:sz="6" w:space="0" w:color="auto"/>
              <w:right w:val="single" w:sz="6" w:space="0" w:color="auto"/>
            </w:tcBorders>
          </w:tcPr>
          <w:p w:rsidR="00BD701F" w:rsidRPr="002661A8" w:rsidP="000C64E1" w14:paraId="283F1527" w14:textId="77777777">
            <w:pPr>
              <w:autoSpaceDE w:val="0"/>
              <w:autoSpaceDN w:val="0"/>
              <w:adjustRightInd w:val="0"/>
              <w:rPr>
                <w:color w:val="000000"/>
              </w:rPr>
            </w:pPr>
            <w:r w:rsidRPr="002661A8">
              <w:rPr>
                <w:color w:val="000000"/>
              </w:rPr>
              <w:t>Velocity Communications, Inc.</w:t>
            </w:r>
          </w:p>
        </w:tc>
        <w:tc>
          <w:tcPr>
            <w:tcW w:w="2050" w:type="dxa"/>
            <w:tcBorders>
              <w:top w:val="single" w:sz="6" w:space="0" w:color="auto"/>
              <w:left w:val="single" w:sz="6" w:space="0" w:color="auto"/>
              <w:bottom w:val="single" w:sz="6" w:space="0" w:color="auto"/>
              <w:right w:val="single" w:sz="6" w:space="0" w:color="auto"/>
            </w:tcBorders>
          </w:tcPr>
          <w:p w:rsidR="00BD701F" w:rsidRPr="002661A8" w:rsidP="000C64E1" w14:paraId="171B2F0B" w14:textId="77777777">
            <w:pPr>
              <w:autoSpaceDE w:val="0"/>
              <w:autoSpaceDN w:val="0"/>
              <w:adjustRightInd w:val="0"/>
              <w:rPr>
                <w:color w:val="000000"/>
              </w:rPr>
            </w:pPr>
            <w:r w:rsidRPr="002661A8">
              <w:rPr>
                <w:color w:val="000000"/>
              </w:rPr>
              <w:t>SCRP0001136</w:t>
            </w:r>
          </w:p>
        </w:tc>
      </w:tr>
      <w:tr w14:paraId="1FB51037"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6" w:space="0" w:color="auto"/>
              <w:left w:val="single" w:sz="6" w:space="0" w:color="auto"/>
              <w:bottom w:val="single" w:sz="6" w:space="0" w:color="auto"/>
              <w:right w:val="single" w:sz="6" w:space="0" w:color="auto"/>
            </w:tcBorders>
          </w:tcPr>
          <w:p w:rsidR="00BD701F" w:rsidRPr="002661A8" w:rsidP="000C64E1" w14:paraId="5B08A7ED" w14:textId="77777777">
            <w:pPr>
              <w:autoSpaceDE w:val="0"/>
              <w:autoSpaceDN w:val="0"/>
              <w:adjustRightInd w:val="0"/>
              <w:rPr>
                <w:color w:val="000000"/>
              </w:rPr>
            </w:pPr>
            <w:r w:rsidRPr="002661A8">
              <w:rPr>
                <w:color w:val="000000"/>
              </w:rPr>
              <w:t>Virginia Everywhere, LLC</w:t>
            </w:r>
          </w:p>
        </w:tc>
        <w:tc>
          <w:tcPr>
            <w:tcW w:w="2050" w:type="dxa"/>
            <w:tcBorders>
              <w:top w:val="single" w:sz="6" w:space="0" w:color="auto"/>
              <w:left w:val="single" w:sz="6" w:space="0" w:color="auto"/>
              <w:bottom w:val="single" w:sz="6" w:space="0" w:color="auto"/>
              <w:right w:val="single" w:sz="6" w:space="0" w:color="auto"/>
            </w:tcBorders>
          </w:tcPr>
          <w:p w:rsidR="00BD701F" w:rsidRPr="002661A8" w:rsidP="000C64E1" w14:paraId="761F094F" w14:textId="77777777">
            <w:pPr>
              <w:autoSpaceDE w:val="0"/>
              <w:autoSpaceDN w:val="0"/>
              <w:adjustRightInd w:val="0"/>
              <w:rPr>
                <w:color w:val="000000"/>
              </w:rPr>
            </w:pPr>
            <w:r w:rsidRPr="002661A8">
              <w:rPr>
                <w:color w:val="000000"/>
              </w:rPr>
              <w:t>SCRP0001022</w:t>
            </w:r>
          </w:p>
        </w:tc>
      </w:tr>
      <w:tr w14:paraId="31ADC960"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6" w:space="0" w:color="auto"/>
              <w:left w:val="single" w:sz="6" w:space="0" w:color="auto"/>
              <w:bottom w:val="single" w:sz="6" w:space="0" w:color="auto"/>
              <w:right w:val="single" w:sz="6" w:space="0" w:color="auto"/>
            </w:tcBorders>
          </w:tcPr>
          <w:p w:rsidR="00BD701F" w:rsidRPr="002661A8" w:rsidP="000C64E1" w14:paraId="003BD2D8" w14:textId="77777777">
            <w:pPr>
              <w:autoSpaceDE w:val="0"/>
              <w:autoSpaceDN w:val="0"/>
              <w:adjustRightInd w:val="0"/>
              <w:rPr>
                <w:color w:val="000000"/>
              </w:rPr>
            </w:pPr>
            <w:r w:rsidRPr="002661A8">
              <w:rPr>
                <w:color w:val="000000"/>
              </w:rPr>
              <w:t>Vitelcom</w:t>
            </w:r>
            <w:r w:rsidRPr="002661A8">
              <w:rPr>
                <w:color w:val="000000"/>
              </w:rPr>
              <w:t xml:space="preserve"> Cellular, Inc. d/b/a Viya Wireless</w:t>
            </w:r>
          </w:p>
        </w:tc>
        <w:tc>
          <w:tcPr>
            <w:tcW w:w="2050" w:type="dxa"/>
            <w:tcBorders>
              <w:top w:val="single" w:sz="6" w:space="0" w:color="auto"/>
              <w:left w:val="single" w:sz="6" w:space="0" w:color="auto"/>
              <w:bottom w:val="single" w:sz="6" w:space="0" w:color="auto"/>
              <w:right w:val="single" w:sz="6" w:space="0" w:color="auto"/>
            </w:tcBorders>
          </w:tcPr>
          <w:p w:rsidR="00BD701F" w:rsidRPr="002661A8" w:rsidP="000C64E1" w14:paraId="1214592D" w14:textId="77777777">
            <w:pPr>
              <w:autoSpaceDE w:val="0"/>
              <w:autoSpaceDN w:val="0"/>
              <w:adjustRightInd w:val="0"/>
              <w:rPr>
                <w:color w:val="000000"/>
              </w:rPr>
            </w:pPr>
            <w:r w:rsidRPr="002661A8">
              <w:rPr>
                <w:color w:val="000000"/>
              </w:rPr>
              <w:t>SCRP0001020</w:t>
            </w:r>
          </w:p>
        </w:tc>
      </w:tr>
      <w:tr w14:paraId="5F31251E"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6" w:space="0" w:color="auto"/>
              <w:left w:val="single" w:sz="6" w:space="0" w:color="auto"/>
              <w:bottom w:val="single" w:sz="6" w:space="0" w:color="auto"/>
              <w:right w:val="single" w:sz="6" w:space="0" w:color="auto"/>
            </w:tcBorders>
          </w:tcPr>
          <w:p w:rsidR="00BD701F" w:rsidRPr="002661A8" w:rsidP="000C64E1" w14:paraId="7313284B" w14:textId="77777777">
            <w:pPr>
              <w:autoSpaceDE w:val="0"/>
              <w:autoSpaceDN w:val="0"/>
              <w:adjustRightInd w:val="0"/>
              <w:rPr>
                <w:color w:val="000000"/>
              </w:rPr>
            </w:pPr>
            <w:r w:rsidRPr="002661A8">
              <w:rPr>
                <w:color w:val="000000"/>
              </w:rPr>
              <w:t>Webformix</w:t>
            </w:r>
            <w:r w:rsidRPr="002661A8">
              <w:rPr>
                <w:color w:val="000000"/>
              </w:rPr>
              <w:t xml:space="preserve"> Internet Company</w:t>
            </w:r>
          </w:p>
        </w:tc>
        <w:tc>
          <w:tcPr>
            <w:tcW w:w="2050" w:type="dxa"/>
            <w:tcBorders>
              <w:top w:val="single" w:sz="6" w:space="0" w:color="auto"/>
              <w:left w:val="single" w:sz="6" w:space="0" w:color="auto"/>
              <w:bottom w:val="single" w:sz="6" w:space="0" w:color="auto"/>
              <w:right w:val="single" w:sz="6" w:space="0" w:color="auto"/>
            </w:tcBorders>
          </w:tcPr>
          <w:p w:rsidR="00BD701F" w:rsidRPr="002661A8" w:rsidP="000C64E1" w14:paraId="40FDAF0C" w14:textId="77777777">
            <w:pPr>
              <w:autoSpaceDE w:val="0"/>
              <w:autoSpaceDN w:val="0"/>
              <w:adjustRightInd w:val="0"/>
              <w:rPr>
                <w:color w:val="000000"/>
              </w:rPr>
            </w:pPr>
            <w:r w:rsidRPr="002661A8">
              <w:rPr>
                <w:color w:val="000000"/>
              </w:rPr>
              <w:t>SCRP0001003</w:t>
            </w:r>
          </w:p>
        </w:tc>
      </w:tr>
      <w:tr w14:paraId="3BF83B55"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6" w:space="0" w:color="auto"/>
              <w:left w:val="single" w:sz="6" w:space="0" w:color="auto"/>
              <w:bottom w:val="single" w:sz="6" w:space="0" w:color="auto"/>
              <w:right w:val="single" w:sz="6" w:space="0" w:color="auto"/>
            </w:tcBorders>
          </w:tcPr>
          <w:p w:rsidR="00BD701F" w:rsidRPr="002661A8" w:rsidP="000C64E1" w14:paraId="7B69CDDB" w14:textId="77777777">
            <w:pPr>
              <w:autoSpaceDE w:val="0"/>
              <w:autoSpaceDN w:val="0"/>
              <w:adjustRightInd w:val="0"/>
              <w:rPr>
                <w:color w:val="000000"/>
              </w:rPr>
            </w:pPr>
            <w:r w:rsidRPr="002661A8">
              <w:rPr>
                <w:color w:val="000000"/>
              </w:rPr>
              <w:t>Windstream Communications LLC</w:t>
            </w:r>
          </w:p>
        </w:tc>
        <w:tc>
          <w:tcPr>
            <w:tcW w:w="2050" w:type="dxa"/>
            <w:tcBorders>
              <w:top w:val="single" w:sz="6" w:space="0" w:color="auto"/>
              <w:left w:val="single" w:sz="6" w:space="0" w:color="auto"/>
              <w:bottom w:val="single" w:sz="6" w:space="0" w:color="auto"/>
              <w:right w:val="single" w:sz="6" w:space="0" w:color="auto"/>
            </w:tcBorders>
          </w:tcPr>
          <w:p w:rsidR="00BD701F" w:rsidRPr="002661A8" w:rsidP="000C64E1" w14:paraId="250B4239" w14:textId="77777777">
            <w:pPr>
              <w:autoSpaceDE w:val="0"/>
              <w:autoSpaceDN w:val="0"/>
              <w:adjustRightInd w:val="0"/>
              <w:rPr>
                <w:color w:val="000000"/>
              </w:rPr>
            </w:pPr>
            <w:r w:rsidRPr="002661A8">
              <w:rPr>
                <w:color w:val="000000"/>
              </w:rPr>
              <w:t>SCRP0001004</w:t>
            </w:r>
          </w:p>
        </w:tc>
      </w:tr>
      <w:tr w14:paraId="7B2D3508"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6" w:space="0" w:color="auto"/>
              <w:left w:val="single" w:sz="6" w:space="0" w:color="auto"/>
              <w:bottom w:val="single" w:sz="6" w:space="0" w:color="auto"/>
              <w:right w:val="single" w:sz="6" w:space="0" w:color="auto"/>
            </w:tcBorders>
          </w:tcPr>
          <w:p w:rsidR="00BD701F" w:rsidRPr="002661A8" w:rsidP="000C64E1" w14:paraId="3D08EF51" w14:textId="77777777">
            <w:pPr>
              <w:autoSpaceDE w:val="0"/>
              <w:autoSpaceDN w:val="0"/>
              <w:adjustRightInd w:val="0"/>
              <w:rPr>
                <w:color w:val="000000"/>
              </w:rPr>
            </w:pPr>
            <w:r w:rsidRPr="002661A8">
              <w:rPr>
                <w:color w:val="000000"/>
              </w:rPr>
              <w:t>Windy City Cellular</w:t>
            </w:r>
          </w:p>
        </w:tc>
        <w:tc>
          <w:tcPr>
            <w:tcW w:w="2050" w:type="dxa"/>
            <w:tcBorders>
              <w:top w:val="single" w:sz="6" w:space="0" w:color="auto"/>
              <w:left w:val="single" w:sz="6" w:space="0" w:color="auto"/>
              <w:bottom w:val="single" w:sz="6" w:space="0" w:color="auto"/>
              <w:right w:val="single" w:sz="6" w:space="0" w:color="auto"/>
            </w:tcBorders>
          </w:tcPr>
          <w:p w:rsidR="00BD701F" w:rsidRPr="002661A8" w:rsidP="000C64E1" w14:paraId="1AD1BC30" w14:textId="77777777">
            <w:pPr>
              <w:autoSpaceDE w:val="0"/>
              <w:autoSpaceDN w:val="0"/>
              <w:adjustRightInd w:val="0"/>
              <w:rPr>
                <w:color w:val="000000"/>
              </w:rPr>
            </w:pPr>
            <w:r w:rsidRPr="002661A8">
              <w:rPr>
                <w:color w:val="000000"/>
              </w:rPr>
              <w:t>SCRP0001015</w:t>
            </w:r>
          </w:p>
        </w:tc>
      </w:tr>
      <w:tr w14:paraId="0A8C1B32"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6" w:space="0" w:color="auto"/>
              <w:left w:val="single" w:sz="6" w:space="0" w:color="auto"/>
              <w:bottom w:val="single" w:sz="6" w:space="0" w:color="auto"/>
              <w:right w:val="single" w:sz="6" w:space="0" w:color="auto"/>
            </w:tcBorders>
          </w:tcPr>
          <w:p w:rsidR="00BD701F" w:rsidRPr="002661A8" w:rsidP="000C64E1" w14:paraId="10586B92" w14:textId="77777777">
            <w:pPr>
              <w:autoSpaceDE w:val="0"/>
              <w:autoSpaceDN w:val="0"/>
              <w:adjustRightInd w:val="0"/>
              <w:rPr>
                <w:color w:val="000000"/>
              </w:rPr>
            </w:pPr>
            <w:r w:rsidRPr="002661A8">
              <w:rPr>
                <w:color w:val="000000"/>
              </w:rPr>
              <w:t>WorldCell</w:t>
            </w:r>
            <w:r w:rsidRPr="002661A8">
              <w:rPr>
                <w:color w:val="000000"/>
              </w:rPr>
              <w:t xml:space="preserve"> </w:t>
            </w:r>
            <w:r w:rsidRPr="002661A8">
              <w:rPr>
                <w:color w:val="000000"/>
              </w:rPr>
              <w:t>Soutions</w:t>
            </w:r>
            <w:r w:rsidRPr="002661A8">
              <w:rPr>
                <w:color w:val="000000"/>
              </w:rPr>
              <w:t>, LLC</w:t>
            </w:r>
          </w:p>
        </w:tc>
        <w:tc>
          <w:tcPr>
            <w:tcW w:w="2050" w:type="dxa"/>
            <w:tcBorders>
              <w:top w:val="single" w:sz="6" w:space="0" w:color="auto"/>
              <w:left w:val="single" w:sz="6" w:space="0" w:color="auto"/>
              <w:bottom w:val="single" w:sz="6" w:space="0" w:color="auto"/>
              <w:right w:val="single" w:sz="6" w:space="0" w:color="auto"/>
            </w:tcBorders>
          </w:tcPr>
          <w:p w:rsidR="00BD701F" w:rsidRPr="002661A8" w:rsidP="000C64E1" w14:paraId="2B2376AA" w14:textId="77777777">
            <w:pPr>
              <w:autoSpaceDE w:val="0"/>
              <w:autoSpaceDN w:val="0"/>
              <w:adjustRightInd w:val="0"/>
              <w:rPr>
                <w:color w:val="000000"/>
              </w:rPr>
            </w:pPr>
            <w:r w:rsidRPr="002661A8">
              <w:rPr>
                <w:color w:val="000000"/>
              </w:rPr>
              <w:t>SCRP0001137</w:t>
            </w:r>
          </w:p>
        </w:tc>
      </w:tr>
      <w:tr w14:paraId="44A30EF6"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6" w:space="0" w:color="auto"/>
              <w:left w:val="single" w:sz="6" w:space="0" w:color="auto"/>
              <w:bottom w:val="single" w:sz="6" w:space="0" w:color="auto"/>
              <w:right w:val="single" w:sz="6" w:space="0" w:color="auto"/>
            </w:tcBorders>
          </w:tcPr>
          <w:p w:rsidR="00BD701F" w:rsidRPr="002661A8" w:rsidP="000C64E1" w14:paraId="3BFC12EC" w14:textId="77777777">
            <w:pPr>
              <w:autoSpaceDE w:val="0"/>
              <w:autoSpaceDN w:val="0"/>
              <w:adjustRightInd w:val="0"/>
              <w:rPr>
                <w:color w:val="000000"/>
              </w:rPr>
            </w:pPr>
            <w:r w:rsidRPr="002661A8">
              <w:rPr>
                <w:color w:val="000000"/>
              </w:rPr>
              <w:t>Xtreme Enterprises LLC</w:t>
            </w:r>
          </w:p>
        </w:tc>
        <w:tc>
          <w:tcPr>
            <w:tcW w:w="2050" w:type="dxa"/>
            <w:tcBorders>
              <w:top w:val="single" w:sz="6" w:space="0" w:color="auto"/>
              <w:left w:val="single" w:sz="6" w:space="0" w:color="auto"/>
              <w:bottom w:val="single" w:sz="6" w:space="0" w:color="auto"/>
              <w:right w:val="single" w:sz="6" w:space="0" w:color="auto"/>
            </w:tcBorders>
          </w:tcPr>
          <w:p w:rsidR="00BD701F" w:rsidRPr="002661A8" w:rsidP="000C64E1" w14:paraId="506EC5B2" w14:textId="77777777">
            <w:pPr>
              <w:autoSpaceDE w:val="0"/>
              <w:autoSpaceDN w:val="0"/>
              <w:adjustRightInd w:val="0"/>
              <w:rPr>
                <w:color w:val="000000"/>
              </w:rPr>
            </w:pPr>
            <w:r w:rsidRPr="002661A8">
              <w:rPr>
                <w:color w:val="000000"/>
              </w:rPr>
              <w:t>SCRP0001171</w:t>
            </w:r>
          </w:p>
        </w:tc>
      </w:tr>
      <w:tr w14:paraId="0B10C202" w14:textId="77777777" w:rsidTr="000C64E1">
        <w:tblPrEx>
          <w:tblW w:w="7784" w:type="dxa"/>
          <w:jc w:val="center"/>
          <w:tblLayout w:type="fixed"/>
          <w:tblCellMar>
            <w:left w:w="30" w:type="dxa"/>
            <w:right w:w="30" w:type="dxa"/>
          </w:tblCellMar>
          <w:tblLook w:val="0000"/>
        </w:tblPrEx>
        <w:trPr>
          <w:trHeight w:val="288"/>
          <w:jc w:val="center"/>
        </w:trPr>
        <w:tc>
          <w:tcPr>
            <w:tcW w:w="5734" w:type="dxa"/>
            <w:tcBorders>
              <w:top w:val="single" w:sz="6" w:space="0" w:color="auto"/>
              <w:left w:val="single" w:sz="6" w:space="0" w:color="auto"/>
              <w:bottom w:val="single" w:sz="6" w:space="0" w:color="auto"/>
              <w:right w:val="single" w:sz="6" w:space="0" w:color="auto"/>
            </w:tcBorders>
          </w:tcPr>
          <w:p w:rsidR="00BD701F" w:rsidRPr="002661A8" w:rsidP="000C64E1" w14:paraId="3E81D047" w14:textId="77777777">
            <w:pPr>
              <w:autoSpaceDE w:val="0"/>
              <w:autoSpaceDN w:val="0"/>
              <w:adjustRightInd w:val="0"/>
              <w:rPr>
                <w:color w:val="000000"/>
              </w:rPr>
            </w:pPr>
            <w:r w:rsidRPr="002661A8">
              <w:rPr>
                <w:color w:val="000000"/>
              </w:rPr>
              <w:t>Zito West Holding, LLC</w:t>
            </w:r>
          </w:p>
        </w:tc>
        <w:tc>
          <w:tcPr>
            <w:tcW w:w="2050" w:type="dxa"/>
            <w:tcBorders>
              <w:top w:val="single" w:sz="6" w:space="0" w:color="auto"/>
              <w:left w:val="single" w:sz="6" w:space="0" w:color="auto"/>
              <w:bottom w:val="single" w:sz="6" w:space="0" w:color="auto"/>
              <w:right w:val="single" w:sz="6" w:space="0" w:color="auto"/>
            </w:tcBorders>
          </w:tcPr>
          <w:p w:rsidR="00BD701F" w:rsidRPr="002661A8" w:rsidP="000C64E1" w14:paraId="152016A0" w14:textId="77777777">
            <w:pPr>
              <w:autoSpaceDE w:val="0"/>
              <w:autoSpaceDN w:val="0"/>
              <w:adjustRightInd w:val="0"/>
              <w:rPr>
                <w:color w:val="000000"/>
              </w:rPr>
            </w:pPr>
            <w:r w:rsidRPr="002661A8">
              <w:rPr>
                <w:color w:val="000000"/>
              </w:rPr>
              <w:t>SCRP0001049</w:t>
            </w:r>
          </w:p>
        </w:tc>
      </w:tr>
    </w:tbl>
    <w:p w:rsidR="00BD701F" w:rsidRPr="002661A8" w:rsidP="00BD701F" w14:paraId="1CEF7DF4" w14:textId="77777777"/>
    <w:p w:rsidR="00BD701F" w:rsidRPr="00B15A5C" w:rsidP="00BD701F" w14:paraId="2ABFA819" w14:textId="77777777">
      <w:pPr>
        <w:pStyle w:val="ParaNum"/>
        <w:numPr>
          <w:ilvl w:val="0"/>
          <w:numId w:val="0"/>
        </w:numPr>
        <w:ind w:firstLine="720"/>
      </w:pPr>
    </w:p>
    <w:p w:rsidR="00BD701F" w:rsidRPr="00954D7E" w:rsidP="00BD701F" w14:paraId="15A0923D" w14:textId="77777777">
      <w:pPr>
        <w:pStyle w:val="ParaNum"/>
        <w:numPr>
          <w:ilvl w:val="0"/>
          <w:numId w:val="0"/>
        </w:numPr>
        <w:ind w:left="720"/>
      </w:pPr>
    </w:p>
    <w:p w:rsidR="00BD701F" w:rsidP="00BD701F" w14:paraId="419CA21B" w14:textId="77777777">
      <w:pPr>
        <w:rPr>
          <w:b/>
          <w:sz w:val="24"/>
        </w:rPr>
      </w:pPr>
    </w:p>
    <w:p w:rsidR="00000000" w14:paraId="41A1AB9C" w14:textId="77777777">
      <w:bookmarkStart w:id="1" w:name="TOChere"/>
    </w:p>
    <w:p w:rsidR="00000000" w14:paraId="72414E1E" w14:textId="77777777"/>
    <w:p w:rsidR="00000000" w14:paraId="4E5EDBEB" w14:textId="77777777"/>
    <w:bookmarkEnd w:id="1"/>
    <w:p w:rsidR="00BD701F" w14:paraId="2827AC80" w14:textId="77777777"/>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07D58E87" w14:textId="77777777">
    <w:pPr>
      <w:pStyle w:val="Footer"/>
      <w:framePr w:wrap="around" w:vAnchor="text" w:hAnchor="margin" w:xAlign="center" w:y="1"/>
    </w:pPr>
    <w:r>
      <w:fldChar w:fldCharType="begin"/>
    </w:r>
    <w:r>
      <w:instrText xml:space="preserve">PAGE  </w:instrText>
    </w:r>
    <w:r>
      <w:fldChar w:fldCharType="separate"/>
    </w:r>
    <w:r>
      <w:fldChar w:fldCharType="end"/>
    </w:r>
  </w:p>
  <w:p w:rsidR="00000000" w14:paraId="26C9751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4C7594D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7B93696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D701F" w14:paraId="15117415" w14:textId="77777777">
      <w:r>
        <w:separator/>
      </w:r>
    </w:p>
  </w:footnote>
  <w:footnote w:type="continuationSeparator" w:id="1">
    <w:p w:rsidR="00BD701F" w14:paraId="4582EDE9" w14:textId="77777777">
      <w:pPr>
        <w:rPr>
          <w:sz w:val="20"/>
        </w:rPr>
      </w:pPr>
      <w:r>
        <w:rPr>
          <w:sz w:val="20"/>
        </w:rPr>
        <w:t xml:space="preserve">(Continued from previous page)  </w:t>
      </w:r>
      <w:r>
        <w:rPr>
          <w:sz w:val="20"/>
        </w:rPr>
        <w:separator/>
      </w:r>
    </w:p>
  </w:footnote>
  <w:footnote w:type="continuationNotice" w:id="2">
    <w:p w:rsidR="00BD701F" w14:paraId="1FE9CBA8" w14:textId="77777777">
      <w:pPr>
        <w:jc w:val="right"/>
        <w:rPr>
          <w:sz w:val="20"/>
        </w:rPr>
      </w:pPr>
      <w:r>
        <w:rPr>
          <w:sz w:val="20"/>
        </w:rPr>
        <w:t>(continued….)</w:t>
      </w:r>
    </w:p>
  </w:footnote>
  <w:footnote w:id="3">
    <w:p w:rsidR="00BD701F" w:rsidP="00BD701F" w14:paraId="4C16E8C1" w14:textId="77777777">
      <w:pPr>
        <w:pStyle w:val="FootnoteText"/>
      </w:pPr>
      <w:r>
        <w:rPr>
          <w:rStyle w:val="FootnoteReference"/>
        </w:rPr>
        <w:footnoteRef/>
      </w:r>
      <w:r>
        <w:t xml:space="preserve"> The gross cost estimate demand does not mean that all cost estimates have been found reasonable and approved.  The Bureau will make those determinations, with the assistance of the Reimbursement Program Fund Administrator, after conducting a thorough review of the applications.  </w:t>
      </w:r>
    </w:p>
  </w:footnote>
  <w:footnote w:id="4">
    <w:p w:rsidR="00BD701F" w:rsidRPr="003A7D61" w:rsidP="00BD701F" w14:paraId="25EC0F9A" w14:textId="77777777">
      <w:pPr>
        <w:pStyle w:val="FootnoteText"/>
      </w:pPr>
      <w:r>
        <w:rPr>
          <w:rStyle w:val="FootnoteReference"/>
        </w:rPr>
        <w:footnoteRef/>
      </w:r>
      <w:r>
        <w:t xml:space="preserve"> </w:t>
      </w:r>
      <w:r>
        <w:t xml:space="preserve">47 CFR § 1.50004(d); </w:t>
      </w:r>
      <w:r>
        <w:rPr>
          <w:i/>
          <w:iCs/>
        </w:rPr>
        <w:t>s</w:t>
      </w:r>
      <w:r w:rsidRPr="001C380C">
        <w:rPr>
          <w:i/>
          <w:iCs/>
        </w:rPr>
        <w:t>ee</w:t>
      </w:r>
      <w:r>
        <w:t xml:space="preserve"> </w:t>
      </w:r>
      <w:r w:rsidRPr="00671395">
        <w:rPr>
          <w:i/>
          <w:iCs/>
        </w:rPr>
        <w:t>also</w:t>
      </w:r>
      <w:r>
        <w:t xml:space="preserve"> </w:t>
      </w:r>
      <w:r w:rsidRPr="005E5A7D">
        <w:rPr>
          <w:i/>
          <w:iCs/>
        </w:rPr>
        <w:t>Wireline Competition Bureau Finalizes Application Filings, Procedures, Cost Catalog, and Replacement list for the Secure and Trusted Communications Networks Reimbursement Program</w:t>
      </w:r>
      <w:r w:rsidRPr="005E5A7D">
        <w:t>, WC Docket 18-89, Public Notice, DA 21-947, 2021 WL 3466248 at *11</w:t>
      </w:r>
      <w:r>
        <w:t>, paras. 34</w:t>
      </w:r>
      <w:r w:rsidRPr="005E5A7D">
        <w:t xml:space="preserve"> (WCB Aug. 3, 2021) (</w:t>
      </w:r>
      <w:r w:rsidRPr="005E5A7D">
        <w:rPr>
          <w:i/>
          <w:iCs/>
        </w:rPr>
        <w:t>Finalized Reimbursement Process Public Notice</w:t>
      </w:r>
      <w:r w:rsidRPr="005E5A7D">
        <w:t>)</w:t>
      </w:r>
      <w:r>
        <w:t xml:space="preserve"> (“The 90-day review period will commence on the next business day following the close of the filing window, per the Commission's rules.”).  Accordingly, the 90-day application review period commenced on Monday, January 31, 2022.</w:t>
      </w:r>
    </w:p>
  </w:footnote>
  <w:footnote w:id="5">
    <w:p w:rsidR="00BD701F" w:rsidP="00BD701F" w14:paraId="6C1F5877" w14:textId="77777777">
      <w:pPr>
        <w:pStyle w:val="FootnoteText"/>
      </w:pPr>
      <w:r>
        <w:rPr>
          <w:rStyle w:val="FootnoteReference"/>
        </w:rPr>
        <w:footnoteRef/>
      </w:r>
      <w:r>
        <w:t xml:space="preserve"> </w:t>
      </w:r>
      <w:r>
        <w:t>47 U.S.C. § 1603(d)(3)(A)(ii); 47 CFR § 1.50004(d).</w:t>
      </w:r>
    </w:p>
  </w:footnote>
  <w:footnote w:id="6">
    <w:p w:rsidR="00BD701F" w:rsidRPr="005E5A7D" w:rsidP="00BD701F" w14:paraId="0991BF0D" w14:textId="77777777">
      <w:pPr>
        <w:pStyle w:val="FootnoteText"/>
      </w:pPr>
      <w:r w:rsidRPr="005E5A7D">
        <w:rPr>
          <w:rStyle w:val="FootnoteReference"/>
          <w:sz w:val="20"/>
        </w:rPr>
        <w:footnoteRef/>
      </w:r>
      <w:r w:rsidRPr="005E5A7D">
        <w:t xml:space="preserve"> </w:t>
      </w:r>
      <w:r w:rsidRPr="005E5A7D">
        <w:t>Secure and Trusted Communications Networks Act of 2019, Pub. L. No. 116-124, § 4(a)-(c), 134 Stat. 158 (2020) (codified as amended at 47 U.S.C. §§ 1601–1609) (Secure Networks Act).</w:t>
      </w:r>
      <w:r>
        <w:t xml:space="preserve"> </w:t>
      </w:r>
      <w:r w:rsidRPr="005E5A7D">
        <w:t xml:space="preserve"> The Commission implemented the Secure Networks Act on December 10, 2020. </w:t>
      </w:r>
      <w:r>
        <w:t xml:space="preserve"> </w:t>
      </w:r>
      <w:r w:rsidRPr="005E5A7D">
        <w:rPr>
          <w:i/>
          <w:iCs/>
        </w:rPr>
        <w:t>Protecting Against National Security Threats to the Communications Supply Chain Through FCC Programs</w:t>
      </w:r>
      <w:r w:rsidRPr="005E5A7D">
        <w:t xml:space="preserve">, WC Docket No. 18-89, Second Report and Order, 35 FCC </w:t>
      </w:r>
      <w:r w:rsidRPr="005E5A7D">
        <w:t>Rcd</w:t>
      </w:r>
      <w:r w:rsidRPr="005E5A7D">
        <w:t xml:space="preserve"> 7821 (2020) (</w:t>
      </w:r>
      <w:r w:rsidRPr="005E5A7D">
        <w:rPr>
          <w:i/>
          <w:iCs/>
        </w:rPr>
        <w:t>2020 Supply Chain Order</w:t>
      </w:r>
      <w:r w:rsidRPr="005E5A7D">
        <w:t>).</w:t>
      </w:r>
      <w:r>
        <w:t xml:space="preserve"> </w:t>
      </w:r>
      <w:r w:rsidRPr="005E5A7D">
        <w:t xml:space="preserve"> On July 13, 2021, the Commission amended its rules, consistent with amendments to the Secure Networks Act included in the Consolidated Appropriations Act, 2021. </w:t>
      </w:r>
      <w:r>
        <w:t xml:space="preserve"> </w:t>
      </w:r>
      <w:r w:rsidRPr="005E5A7D">
        <w:rPr>
          <w:i/>
          <w:iCs/>
        </w:rPr>
        <w:t>Protecting Against National Security Threats to the Communications Supply Chain Through FCC Programs</w:t>
      </w:r>
      <w:r w:rsidRPr="005E5A7D">
        <w:t>, WC Docket No. 18-89, Third Report and Order, FCC 21- 86, 2021 WL 3024271, at 49-51, Appx. A (Jul</w:t>
      </w:r>
      <w:r>
        <w:t>y</w:t>
      </w:r>
      <w:r w:rsidRPr="005E5A7D">
        <w:t xml:space="preserve"> 13, 2021) (</w:t>
      </w:r>
      <w:r w:rsidRPr="005E5A7D">
        <w:rPr>
          <w:i/>
          <w:iCs/>
        </w:rPr>
        <w:t>2021 Supply Chain Order</w:t>
      </w:r>
      <w:r w:rsidRPr="005E5A7D">
        <w:t>).</w:t>
      </w:r>
    </w:p>
  </w:footnote>
  <w:footnote w:id="7">
    <w:p w:rsidR="00BD701F" w:rsidRPr="005E5A7D" w:rsidP="00BD701F" w14:paraId="375B05E7" w14:textId="77777777">
      <w:pPr>
        <w:pStyle w:val="FootnoteText"/>
      </w:pPr>
      <w:r w:rsidRPr="005E5A7D">
        <w:rPr>
          <w:rStyle w:val="FootnoteReference"/>
          <w:sz w:val="20"/>
        </w:rPr>
        <w:footnoteRef/>
      </w:r>
      <w:r w:rsidRPr="005E5A7D">
        <w:t xml:space="preserve"> </w:t>
      </w:r>
      <w:r w:rsidRPr="005E5A7D">
        <w:rPr>
          <w:i/>
          <w:iCs/>
        </w:rPr>
        <w:t>2021 Supply Chain Order</w:t>
      </w:r>
      <w:r w:rsidRPr="005E5A7D">
        <w:t>, 2021 WL 3024271, at 49-51, Appx. A.</w:t>
      </w:r>
      <w:r>
        <w:t xml:space="preserve"> </w:t>
      </w:r>
      <w:r w:rsidRPr="005E5A7D">
        <w:t xml:space="preserve"> </w:t>
      </w:r>
      <w:r w:rsidRPr="005E5A7D">
        <w:rPr>
          <w:i/>
          <w:iCs/>
        </w:rPr>
        <w:t>See generally Protecting Against National Security Threats to the Communications Supply Chain Through FCC Programs – Huawei Designation</w:t>
      </w:r>
      <w:r w:rsidRPr="005E5A7D">
        <w:t xml:space="preserve">, PS Docket No. 19-351, Order, 35 FCC </w:t>
      </w:r>
      <w:r w:rsidRPr="005E5A7D">
        <w:t>Rcd</w:t>
      </w:r>
      <w:r w:rsidRPr="005E5A7D">
        <w:t xml:space="preserve"> 6604 (PSHSB 2020) (</w:t>
      </w:r>
      <w:r w:rsidRPr="005E5A7D">
        <w:rPr>
          <w:i/>
          <w:iCs/>
        </w:rPr>
        <w:t>Huawei Designation Order</w:t>
      </w:r>
      <w:r w:rsidRPr="005E5A7D">
        <w:t xml:space="preserve">); </w:t>
      </w:r>
      <w:r w:rsidRPr="005E5A7D">
        <w:rPr>
          <w:i/>
          <w:iCs/>
        </w:rPr>
        <w:t>Protecting Against National Security Threats to the Communications Supply Chain Through FCC Programs – ZTE Designation</w:t>
      </w:r>
      <w:r w:rsidRPr="005E5A7D">
        <w:t xml:space="preserve">, PS Docket No. 19-352, Order, 35 FCC </w:t>
      </w:r>
      <w:r w:rsidRPr="005E5A7D">
        <w:t>Rcd</w:t>
      </w:r>
      <w:r w:rsidRPr="005E5A7D">
        <w:t xml:space="preserve"> 6633 (PSHSB 2020) (</w:t>
      </w:r>
      <w:r w:rsidRPr="005E5A7D">
        <w:rPr>
          <w:i/>
          <w:iCs/>
        </w:rPr>
        <w:t>ZTE Designation Order</w:t>
      </w:r>
      <w:r w:rsidRPr="005E5A7D">
        <w:t>).</w:t>
      </w:r>
    </w:p>
  </w:footnote>
  <w:footnote w:id="8">
    <w:p w:rsidR="00BD701F" w:rsidRPr="005E5A7D" w:rsidP="00BD701F" w14:paraId="39FE40E4" w14:textId="77777777">
      <w:pPr>
        <w:pStyle w:val="FootnoteText"/>
      </w:pPr>
      <w:r w:rsidRPr="005E5A7D">
        <w:rPr>
          <w:rStyle w:val="FootnoteReference"/>
          <w:sz w:val="20"/>
        </w:rPr>
        <w:footnoteRef/>
      </w:r>
      <w:r w:rsidRPr="005E5A7D">
        <w:t xml:space="preserve"> </w:t>
      </w:r>
      <w:r w:rsidRPr="005E5A7D">
        <w:t>47 CFR § 1.50004(c).</w:t>
      </w:r>
    </w:p>
  </w:footnote>
  <w:footnote w:id="9">
    <w:p w:rsidR="00BD701F" w:rsidRPr="005E5A7D" w:rsidP="00BD701F" w14:paraId="6A0C39BA" w14:textId="77777777">
      <w:pPr>
        <w:pStyle w:val="FootnoteText"/>
      </w:pPr>
      <w:r w:rsidRPr="005E5A7D">
        <w:rPr>
          <w:rStyle w:val="FootnoteReference"/>
          <w:sz w:val="20"/>
        </w:rPr>
        <w:footnoteRef/>
      </w:r>
      <w:r w:rsidRPr="005E5A7D">
        <w:t xml:space="preserve"> </w:t>
      </w:r>
      <w:r w:rsidRPr="005E5A7D">
        <w:rPr>
          <w:i/>
          <w:iCs/>
        </w:rPr>
        <w:t>Finalized Reimbursement Process Public Notice</w:t>
      </w:r>
      <w:r w:rsidRPr="005E5A7D">
        <w:t xml:space="preserve"> at *6.</w:t>
      </w:r>
    </w:p>
  </w:footnote>
  <w:footnote w:id="10">
    <w:p w:rsidR="00BD701F" w:rsidP="00BD701F" w14:paraId="720F78AC" w14:textId="77777777">
      <w:pPr>
        <w:pStyle w:val="FootnoteText"/>
      </w:pPr>
      <w:r>
        <w:rPr>
          <w:rStyle w:val="FootnoteReference"/>
        </w:rPr>
        <w:footnoteRef/>
      </w:r>
      <w:r>
        <w:t xml:space="preserve"> </w:t>
      </w:r>
      <w:r>
        <w:t>47 CFR § 1.50004(c)(1)(</w:t>
      </w:r>
      <w:r>
        <w:t>i</w:t>
      </w:r>
      <w:r>
        <w:t>).</w:t>
      </w:r>
    </w:p>
  </w:footnote>
  <w:footnote w:id="11">
    <w:p w:rsidR="00BD701F" w:rsidP="00BD701F" w14:paraId="56955219" w14:textId="77777777">
      <w:pPr>
        <w:pStyle w:val="FootnoteText"/>
      </w:pPr>
      <w:r>
        <w:rPr>
          <w:rStyle w:val="FootnoteReference"/>
        </w:rPr>
        <w:footnoteRef/>
      </w:r>
      <w:r>
        <w:t xml:space="preserve"> </w:t>
      </w:r>
      <w:r w:rsidRPr="00CB3BDC">
        <w:rPr>
          <w:i/>
          <w:iCs/>
        </w:rPr>
        <w:t>Id</w:t>
      </w:r>
      <w:r>
        <w:t>. § 1.50004(c)-(d).</w:t>
      </w:r>
    </w:p>
  </w:footnote>
  <w:footnote w:id="12">
    <w:p w:rsidR="00BD701F" w:rsidP="00BD701F" w14:paraId="397B6D69" w14:textId="77777777">
      <w:pPr>
        <w:pStyle w:val="FootnoteText"/>
      </w:pPr>
      <w:r>
        <w:rPr>
          <w:rStyle w:val="FootnoteReference"/>
        </w:rPr>
        <w:footnoteRef/>
      </w:r>
      <w:r>
        <w:t xml:space="preserve"> </w:t>
      </w:r>
      <w:r w:rsidRPr="00346DF8">
        <w:rPr>
          <w:i/>
          <w:iCs/>
        </w:rPr>
        <w:t>Id</w:t>
      </w:r>
      <w:r>
        <w:t>. § 1.50004 (d).</w:t>
      </w:r>
    </w:p>
  </w:footnote>
  <w:footnote w:id="13">
    <w:p w:rsidR="00BD701F" w:rsidP="00BD701F" w14:paraId="4F21374D" w14:textId="77777777">
      <w:pPr>
        <w:pStyle w:val="FootnoteText"/>
      </w:pPr>
      <w:r>
        <w:rPr>
          <w:rStyle w:val="FootnoteReference"/>
        </w:rPr>
        <w:footnoteRef/>
      </w:r>
      <w:r>
        <w:t xml:space="preserve"> </w:t>
      </w:r>
      <w:r>
        <w:t>As some entities filed multiple applications, the 181 applications filed amount to 96 unique filing entities.</w:t>
      </w:r>
    </w:p>
  </w:footnote>
  <w:footnote w:id="14">
    <w:p w:rsidR="00BD701F" w:rsidRPr="00180FC2" w:rsidP="00BD701F" w14:paraId="48535CDD" w14:textId="77777777">
      <w:pPr>
        <w:pStyle w:val="FootnoteText"/>
      </w:pPr>
      <w:r>
        <w:rPr>
          <w:rStyle w:val="FootnoteReference"/>
        </w:rPr>
        <w:footnoteRef/>
      </w:r>
      <w:r>
        <w:t xml:space="preserve"> </w:t>
      </w:r>
      <w:r w:rsidRPr="00CB3BDC">
        <w:rPr>
          <w:i/>
          <w:iCs/>
        </w:rPr>
        <w:t>See</w:t>
      </w:r>
      <w:r>
        <w:t xml:space="preserve"> Appx. A.  An initial finding of eligibility and acceptability for filing does not guarantee application approval </w:t>
      </w:r>
      <w:r w:rsidRPr="00180FC2">
        <w:t>and participation into the Reimbursement Program.  Such determinations will be made following a comprehensive review of the applications by the Bureau, with the assistance of the Reimbursement Program Fund Administrator.</w:t>
      </w:r>
    </w:p>
  </w:footnote>
  <w:footnote w:id="15">
    <w:p w:rsidR="00BD701F" w:rsidRPr="00180FC2" w:rsidP="00BD701F" w14:paraId="411E6699" w14:textId="77777777">
      <w:pPr>
        <w:pStyle w:val="FootnoteText"/>
      </w:pPr>
      <w:r w:rsidRPr="00180FC2">
        <w:rPr>
          <w:rStyle w:val="FootnoteReference"/>
          <w:sz w:val="20"/>
        </w:rPr>
        <w:footnoteRef/>
      </w:r>
      <w:r w:rsidRPr="00180FC2">
        <w:t xml:space="preserve"> </w:t>
      </w:r>
      <w:r w:rsidRPr="00823A2D">
        <w:t>47 U.S.C. § 1603(d)(3)(B); 47 CFR § 1.50004(d)(1).</w:t>
      </w:r>
      <w:r w:rsidRPr="00AE1247">
        <w:t xml:space="preserve">  </w:t>
      </w:r>
      <w:r w:rsidRPr="00180FC2">
        <w:t xml:space="preserve">Such notice will be distinct from this Public Notice and the 15-day cure period will commence on the date the individual email notification is sent by the Commission and received by the applicant.  </w:t>
      </w:r>
      <w:r w:rsidRPr="00823A2D">
        <w:rPr>
          <w:i/>
          <w:iCs/>
        </w:rPr>
        <w:t>Finalized Reimbursement Process Public Notice</w:t>
      </w:r>
      <w:r w:rsidRPr="00AE1247">
        <w:t xml:space="preserve"> at *12.</w:t>
      </w:r>
      <w:r w:rsidRPr="00180FC2">
        <w:t xml:space="preserve">  </w:t>
      </w:r>
    </w:p>
  </w:footnote>
  <w:footnote w:id="16">
    <w:p w:rsidR="00BD701F" w:rsidRPr="00180FC2" w:rsidP="00BD701F" w14:paraId="4652CD07" w14:textId="77777777">
      <w:pPr>
        <w:pStyle w:val="FootnoteText"/>
      </w:pPr>
      <w:r w:rsidRPr="002C0828">
        <w:rPr>
          <w:rStyle w:val="FootnoteReference"/>
          <w:sz w:val="20"/>
        </w:rPr>
        <w:footnoteRef/>
      </w:r>
      <w:r w:rsidRPr="00180FC2">
        <w:t xml:space="preserve"> </w:t>
      </w:r>
      <w:r w:rsidRPr="00823A2D">
        <w:rPr>
          <w:i/>
          <w:iCs/>
        </w:rPr>
        <w:t>Finalized Reimbursement Process Public Notice</w:t>
      </w:r>
      <w:r w:rsidRPr="00AE1247">
        <w:t xml:space="preserve"> at *12.</w:t>
      </w:r>
      <w:r w:rsidRPr="00180FC2">
        <w:t xml:space="preserve">  </w:t>
      </w:r>
    </w:p>
  </w:footnote>
  <w:footnote w:id="17">
    <w:p w:rsidR="00BD701F" w:rsidP="00BD701F" w14:paraId="71907063" w14:textId="31C17244">
      <w:pPr>
        <w:pStyle w:val="FootnoteText"/>
      </w:pPr>
      <w:r>
        <w:rPr>
          <w:rStyle w:val="FootnoteReference"/>
        </w:rPr>
        <w:footnoteRef/>
      </w:r>
      <w:r>
        <w:t xml:space="preserve"> </w:t>
      </w:r>
      <w:r>
        <w:t>CAA § 906.  Section 906 provides that “[t]here is appropriated to the Federal Communications Commission, out of amounts in the Treasury not otherwise appropriated, for fiscal year 2021, to remain available until expended—.</w:t>
      </w:r>
      <w:r w:rsidR="00F236D2">
        <w:t> </w:t>
      </w:r>
      <w:r>
        <w:t>.</w:t>
      </w:r>
      <w:r w:rsidR="00F236D2">
        <w:t> </w:t>
      </w:r>
      <w:r>
        <w:t>.</w:t>
      </w:r>
      <w:r w:rsidR="00F236D2">
        <w:t> </w:t>
      </w:r>
      <w:r>
        <w:t xml:space="preserve">(2) $1,900,000,000 to carry out the Secure and Trusted Communications Networks Act of 2019 (47 U.S.C. 1601 et seq.), of which $1,895,000,000 shall be used to carry out the program established under section 4 of that Act (47 U.S.C. 1603).”  The funding appropriated by Congress is not only for reimbursing program recipients but also covers the expenses incurred by the Commission to implement and operate, that is, “carry out,” the Reimbursement Program.  </w:t>
      </w:r>
      <w:r w:rsidRPr="00286CFA">
        <w:rPr>
          <w:i/>
          <w:iCs/>
        </w:rPr>
        <w:t>See</w:t>
      </w:r>
      <w:r>
        <w:t xml:space="preserve"> CAA §§ 901, 906.</w:t>
      </w:r>
    </w:p>
  </w:footnote>
  <w:footnote w:id="18">
    <w:p w:rsidR="00BD701F" w:rsidP="00BD701F" w14:paraId="4D3486EA" w14:textId="2A923B88">
      <w:pPr>
        <w:pStyle w:val="FootnoteText"/>
      </w:pPr>
      <w:r>
        <w:rPr>
          <w:rStyle w:val="FootnoteReference"/>
        </w:rPr>
        <w:footnoteRef/>
      </w:r>
      <w:r>
        <w:t xml:space="preserve"> </w:t>
      </w:r>
      <w:r w:rsidRPr="002C0828">
        <w:rPr>
          <w:i/>
          <w:iCs/>
        </w:rPr>
        <w:t>See</w:t>
      </w:r>
      <w:r>
        <w:t xml:space="preserve"> </w:t>
      </w:r>
      <w:r w:rsidRPr="005E5A7D">
        <w:rPr>
          <w:i/>
          <w:iCs/>
        </w:rPr>
        <w:t>Finalized Reimbursement Process Public Notice</w:t>
      </w:r>
      <w:r w:rsidRPr="005E5A7D">
        <w:t xml:space="preserve"> at *11</w:t>
      </w:r>
      <w:r>
        <w:t xml:space="preserve"> (“</w:t>
      </w:r>
      <w:r w:rsidRPr="00C84BE8">
        <w:t>the Reimbursement Program Fund Administrator will conduct an initial review of the applications to help the Bureau determine</w:t>
      </w:r>
      <w:r w:rsidR="00F236D2">
        <w:t xml:space="preserve"> . . . t</w:t>
      </w:r>
      <w:r w:rsidRPr="00C84BE8">
        <w:t>he gross estimate demand contained in those applications.</w:t>
      </w:r>
      <w:r>
        <w:t>”).</w:t>
      </w:r>
    </w:p>
  </w:footnote>
  <w:footnote w:id="19">
    <w:p w:rsidR="00BD701F" w:rsidRPr="005E5A7D" w:rsidP="00BD701F" w14:paraId="7328B012" w14:textId="77777777">
      <w:pPr>
        <w:pStyle w:val="FootnoteText"/>
      </w:pPr>
      <w:r w:rsidRPr="005E5A7D">
        <w:rPr>
          <w:rStyle w:val="FootnoteReference"/>
          <w:sz w:val="20"/>
        </w:rPr>
        <w:footnoteRef/>
      </w:r>
      <w:r w:rsidRPr="005E5A7D">
        <w:t xml:space="preserve"> </w:t>
      </w:r>
      <w:r w:rsidRPr="005E5A7D">
        <w:t>CAA § 901(1)(C); 47 CFR § 1.50004(f)</w:t>
      </w:r>
      <w:r>
        <w:t xml:space="preserve">; </w:t>
      </w:r>
      <w:r w:rsidRPr="00BA4B9E">
        <w:rPr>
          <w:i/>
          <w:iCs/>
        </w:rPr>
        <w:t>2021 Supply Chain Order</w:t>
      </w:r>
      <w:r>
        <w:t xml:space="preserve"> at 24-26, paras. 53-59.</w:t>
      </w:r>
    </w:p>
  </w:footnote>
  <w:footnote w:id="20">
    <w:p w:rsidR="00BD701F" w:rsidP="00BD701F" w14:paraId="7AF7A669" w14:textId="77777777">
      <w:pPr>
        <w:pStyle w:val="FootnoteText"/>
      </w:pPr>
      <w:r>
        <w:rPr>
          <w:rStyle w:val="FootnoteReference"/>
        </w:rPr>
        <w:footnoteRef/>
      </w:r>
      <w:r>
        <w:t xml:space="preserve"> </w:t>
      </w:r>
      <w:r>
        <w:t xml:space="preserve">CAA § 901(1)(C)(ii); </w:t>
      </w:r>
      <w:r w:rsidRPr="005E5A7D">
        <w:t>47 CFR § 1.50004(f)</w:t>
      </w:r>
      <w:r>
        <w:t xml:space="preserve">; </w:t>
      </w:r>
      <w:r w:rsidRPr="00BA4B9E">
        <w:rPr>
          <w:i/>
          <w:iCs/>
        </w:rPr>
        <w:t>2021 Supply Chain Order</w:t>
      </w:r>
      <w:r>
        <w:t xml:space="preserve"> at 24-26, paras. 53-59.  </w:t>
      </w:r>
      <w:r>
        <w:rPr>
          <w:szCs w:val="22"/>
        </w:rPr>
        <w:t xml:space="preserve">The </w:t>
      </w:r>
      <w:r>
        <w:t xml:space="preserve">Rural Wireless Association, Inc. (“RWA”) filed a Petition for Reconsideration of the Commission’s decision in the </w:t>
      </w:r>
      <w:r w:rsidRPr="00B44677">
        <w:rPr>
          <w:i/>
          <w:iCs/>
        </w:rPr>
        <w:t>2021 Supply Chain Order</w:t>
      </w:r>
      <w:r>
        <w:t xml:space="preserve"> to replace its initial prioritization scheme with the scheme provided by the CAA.  </w:t>
      </w:r>
      <w:r w:rsidRPr="00B44677">
        <w:rPr>
          <w:i/>
          <w:iCs/>
        </w:rPr>
        <w:t>See</w:t>
      </w:r>
      <w:r>
        <w:t xml:space="preserve"> Petition for Reconsideration of the Rural Wireless Association, Inc., WC Docket No. 28-89 (filed Sept. 22, 2021).  The Petition is pending.</w:t>
      </w:r>
    </w:p>
  </w:footnote>
  <w:footnote w:id="21">
    <w:p w:rsidR="00BD701F" w:rsidP="00BD701F" w14:paraId="09B7FE5D" w14:textId="77777777">
      <w:pPr>
        <w:pStyle w:val="FootnoteText"/>
      </w:pPr>
      <w:r>
        <w:rPr>
          <w:rStyle w:val="FootnoteReference"/>
        </w:rPr>
        <w:footnoteRef/>
      </w:r>
      <w:r>
        <w:t xml:space="preserve"> </w:t>
      </w:r>
      <w:r w:rsidRPr="005E5A7D">
        <w:rPr>
          <w:i/>
          <w:iCs/>
        </w:rPr>
        <w:t>Protecting Against National Security Threats to the Communications Supply Chain Through FCC Programs</w:t>
      </w:r>
      <w:r w:rsidRPr="005E5A7D">
        <w:t xml:space="preserve">, WC Docket No. 18-89, Second Report and Order, 35 FCC </w:t>
      </w:r>
      <w:r w:rsidRPr="005E5A7D">
        <w:t>Rcd</w:t>
      </w:r>
      <w:r w:rsidRPr="005E5A7D">
        <w:t xml:space="preserve"> 14284, </w:t>
      </w:r>
      <w:r>
        <w:t xml:space="preserve">14349, para. 157 </w:t>
      </w:r>
      <w:r w:rsidRPr="005E5A7D">
        <w:t>(2020) (</w:t>
      </w:r>
      <w:r w:rsidRPr="005E5A7D">
        <w:rPr>
          <w:i/>
          <w:iCs/>
        </w:rPr>
        <w:t>2020 Supply Chain Order</w:t>
      </w:r>
      <w:r w:rsidRPr="005E5A7D">
        <w:t>)</w:t>
      </w:r>
      <w:r>
        <w:t xml:space="preserve">.  Specifically, the Bureau will determine a pro-rata factor by dividing the total amount of available funding by the total amount of funding requested.  The Bureau will then multiply the pro-rata factor by the total amount of support requested by each applicant in the prioritization category and then the Bureau will allocate funds to each eligible applicant in the prioritization category consistent with this calculation.  </w:t>
      </w:r>
      <w:r w:rsidRPr="005E5A7D">
        <w:t>47 CFR § 1.50004(f)</w:t>
      </w:r>
      <w:r>
        <w:t xml:space="preserve">(1); </w:t>
      </w:r>
      <w:r w:rsidRPr="00566060">
        <w:rPr>
          <w:i/>
          <w:iCs/>
        </w:rPr>
        <w:t>see also</w:t>
      </w:r>
      <w:r>
        <w:t xml:space="preserve"> </w:t>
      </w:r>
      <w:r w:rsidRPr="005E5A7D">
        <w:rPr>
          <w:i/>
          <w:iCs/>
        </w:rPr>
        <w:t>2020 Supply Chain Order</w:t>
      </w:r>
      <w:r w:rsidRPr="005E5A7D">
        <w:t xml:space="preserve">, 35 FCC </w:t>
      </w:r>
      <w:r w:rsidRPr="005E5A7D">
        <w:t>Rcd</w:t>
      </w:r>
      <w:r w:rsidRPr="005E5A7D">
        <w:t xml:space="preserve"> </w:t>
      </w:r>
      <w:r>
        <w:t>at</w:t>
      </w:r>
      <w:r w:rsidRPr="005E5A7D">
        <w:t xml:space="preserve"> 143</w:t>
      </w:r>
      <w:r>
        <w:t>52</w:t>
      </w:r>
      <w:r w:rsidRPr="005E5A7D">
        <w:t xml:space="preserve">, para. </w:t>
      </w:r>
      <w:r>
        <w:t>163</w:t>
      </w:r>
      <w:r w:rsidRPr="005E5A7D">
        <w:t>.</w:t>
      </w:r>
    </w:p>
  </w:footnote>
  <w:footnote w:id="22">
    <w:p w:rsidR="00BD701F" w:rsidP="00BD701F" w14:paraId="72A5DEC5" w14:textId="77777777">
      <w:pPr>
        <w:pStyle w:val="FootnoteText"/>
      </w:pPr>
      <w:r>
        <w:rPr>
          <w:rStyle w:val="FootnoteReference"/>
        </w:rPr>
        <w:footnoteRef/>
      </w:r>
      <w:r>
        <w:t xml:space="preserve"> </w:t>
      </w:r>
      <w:r w:rsidRPr="00661B08">
        <w:rPr>
          <w:i/>
          <w:iCs/>
        </w:rPr>
        <w:t>See Wireline Competition Bureau and Office of Economics and Analytics Release Results from Supply Chain Security Information Collection</w:t>
      </w:r>
      <w:r>
        <w:t xml:space="preserve">, Public Notice, 35 FCC </w:t>
      </w:r>
      <w:r>
        <w:t>Rcd</w:t>
      </w:r>
      <w:r>
        <w:t xml:space="preserve"> 9471, 9472 (WCB 2020) (</w:t>
      </w:r>
      <w:r w:rsidRPr="00661B08">
        <w:rPr>
          <w:i/>
          <w:iCs/>
        </w:rPr>
        <w:t>Information Collection Results Public Notice</w:t>
      </w:r>
      <w:r>
        <w:t>).</w:t>
      </w:r>
    </w:p>
  </w:footnote>
  <w:footnote w:id="23">
    <w:p w:rsidR="00BD701F" w:rsidP="00BD701F" w14:paraId="6060131E" w14:textId="77777777">
      <w:pPr>
        <w:pStyle w:val="FootnoteText"/>
      </w:pPr>
      <w:r>
        <w:rPr>
          <w:rStyle w:val="FootnoteReference"/>
        </w:rPr>
        <w:footnoteRef/>
      </w:r>
      <w:r>
        <w:t xml:space="preserve"> </w:t>
      </w:r>
      <w:r w:rsidRPr="00661B08">
        <w:rPr>
          <w:i/>
          <w:iCs/>
        </w:rPr>
        <w:t>2020 Supply Chain Order</w:t>
      </w:r>
      <w:r>
        <w:t xml:space="preserve">, 35 FCC </w:t>
      </w:r>
      <w:r>
        <w:t>Rcd</w:t>
      </w:r>
      <w:r>
        <w:t xml:space="preserve"> at 14331, para. 169 (establishing a one-year timeline for removal, replacement, and disposal).</w:t>
      </w:r>
    </w:p>
  </w:footnote>
  <w:footnote w:id="24">
    <w:p w:rsidR="00BD701F" w:rsidP="00BD701F" w14:paraId="60CA40EF" w14:textId="77777777">
      <w:pPr>
        <w:pStyle w:val="FootnoteText"/>
      </w:pPr>
      <w:r>
        <w:rPr>
          <w:rStyle w:val="FootnoteReference"/>
        </w:rPr>
        <w:footnoteRef/>
      </w:r>
      <w:r>
        <w:t xml:space="preserve"> </w:t>
      </w:r>
      <w:r w:rsidRPr="00661B08">
        <w:rPr>
          <w:i/>
          <w:iCs/>
        </w:rPr>
        <w:t>2020 Supply Chain Order</w:t>
      </w:r>
      <w:r w:rsidRPr="00D97C88">
        <w:t xml:space="preserve">, 35 FCC </w:t>
      </w:r>
      <w:r w:rsidRPr="00D97C88">
        <w:t>Rcd</w:t>
      </w:r>
      <w:r w:rsidRPr="00D97C88">
        <w:t xml:space="preserve"> at 14331, para. 109</w:t>
      </w:r>
      <w:r>
        <w:t>.</w:t>
      </w:r>
    </w:p>
  </w:footnote>
  <w:footnote w:id="25">
    <w:p w:rsidR="00BD701F" w:rsidP="00BD701F" w14:paraId="4A2A0543" w14:textId="77777777">
      <w:pPr>
        <w:pStyle w:val="FootnoteText"/>
      </w:pPr>
      <w:r>
        <w:rPr>
          <w:rStyle w:val="FootnoteReference"/>
        </w:rPr>
        <w:footnoteRef/>
      </w:r>
      <w:r>
        <w:t xml:space="preserve"> </w:t>
      </w:r>
      <w:r w:rsidRPr="005E5A7D">
        <w:rPr>
          <w:i/>
          <w:iCs/>
        </w:rPr>
        <w:t>Finalized Reimbursement Process Public Notice</w:t>
      </w:r>
      <w:r>
        <w:t xml:space="preserve"> at *8-9.</w:t>
      </w:r>
    </w:p>
  </w:footnote>
  <w:footnote w:id="26">
    <w:p w:rsidR="00BD701F" w:rsidP="00BD701F" w14:paraId="4918BF85" w14:textId="77777777">
      <w:pPr>
        <w:pStyle w:val="FootnoteText"/>
      </w:pPr>
      <w:r>
        <w:rPr>
          <w:rStyle w:val="FootnoteReference"/>
        </w:rPr>
        <w:footnoteRef/>
      </w:r>
      <w:r>
        <w:t xml:space="preserve"> </w:t>
      </w:r>
      <w:r w:rsidRPr="00661B08">
        <w:rPr>
          <w:i/>
          <w:iCs/>
        </w:rPr>
        <w:t>See</w:t>
      </w:r>
      <w:r w:rsidRPr="005B0135">
        <w:t xml:space="preserve"> 47 CFR § 1.50004(g); </w:t>
      </w:r>
      <w:r w:rsidRPr="00661B08">
        <w:rPr>
          <w:i/>
          <w:iCs/>
        </w:rPr>
        <w:t>2020 Supply Chain Order</w:t>
      </w:r>
      <w:r w:rsidRPr="005B0135">
        <w:t xml:space="preserve">, 35 FCC </w:t>
      </w:r>
      <w:r w:rsidRPr="005B0135">
        <w:t>Rcd</w:t>
      </w:r>
      <w:r w:rsidRPr="005B0135">
        <w:t xml:space="preserve"> at 14353, para. 165.</w:t>
      </w:r>
    </w:p>
  </w:footnote>
  <w:footnote w:id="27">
    <w:p w:rsidR="00BD701F" w:rsidP="00BD701F" w14:paraId="55782589" w14:textId="77777777">
      <w:pPr>
        <w:pStyle w:val="FootnoteText"/>
      </w:pPr>
      <w:r>
        <w:rPr>
          <w:rStyle w:val="FootnoteReference"/>
        </w:rPr>
        <w:footnoteRef/>
      </w:r>
      <w:r>
        <w:t xml:space="preserve"> </w:t>
      </w:r>
      <w:r w:rsidRPr="00D97C88">
        <w:t>47 CFR § 1.50004(o)</w:t>
      </w:r>
      <w:r>
        <w:t xml:space="preserve">; </w:t>
      </w:r>
      <w:r w:rsidRPr="00661B08">
        <w:rPr>
          <w:i/>
          <w:iCs/>
        </w:rPr>
        <w:t>2020 Supply Chain Order</w:t>
      </w:r>
      <w:r w:rsidRPr="00EA3DB4">
        <w:t xml:space="preserve">, 35 FCC </w:t>
      </w:r>
      <w:r w:rsidRPr="00EA3DB4">
        <w:t>Rcd</w:t>
      </w:r>
      <w:r w:rsidRPr="00EA3DB4">
        <w:t xml:space="preserve"> at 14331, para. 109.</w:t>
      </w:r>
    </w:p>
  </w:footnote>
  <w:footnote w:id="28">
    <w:p w:rsidR="00BD701F" w:rsidP="00BD701F" w14:paraId="7D44D8E6" w14:textId="77777777">
      <w:pPr>
        <w:pStyle w:val="FootnoteText"/>
      </w:pPr>
      <w:r>
        <w:rPr>
          <w:rStyle w:val="FootnoteReference"/>
        </w:rPr>
        <w:footnoteRef/>
      </w:r>
      <w:r>
        <w:t xml:space="preserve"> </w:t>
      </w:r>
      <w:r w:rsidRPr="00101844">
        <w:t>47 U</w:t>
      </w:r>
      <w:r>
        <w:t>.</w:t>
      </w:r>
      <w:r w:rsidRPr="00101844">
        <w:t>S</w:t>
      </w:r>
      <w:r>
        <w:t>.</w:t>
      </w:r>
      <w:r w:rsidRPr="00101844">
        <w:t>C</w:t>
      </w:r>
      <w:r>
        <w:t>.</w:t>
      </w:r>
      <w:r w:rsidRPr="00101844">
        <w:t xml:space="preserve"> § 1603(e)(1).</w:t>
      </w:r>
    </w:p>
  </w:footnote>
  <w:footnote w:id="29">
    <w:p w:rsidR="00BD701F" w:rsidRPr="005E5A7D" w:rsidP="00BD701F" w14:paraId="5541F17B" w14:textId="77777777">
      <w:pPr>
        <w:pStyle w:val="FootnoteText"/>
      </w:pPr>
      <w:r w:rsidRPr="005E5A7D">
        <w:rPr>
          <w:rStyle w:val="FootnoteReference"/>
          <w:sz w:val="20"/>
        </w:rPr>
        <w:footnoteRef/>
      </w:r>
      <w:r w:rsidRPr="005E5A7D">
        <w:t xml:space="preserve"> </w:t>
      </w:r>
      <w:r w:rsidRPr="005E5A7D">
        <w:t>47 U.S.C. § 1603 (d)(3)(A)(</w:t>
      </w:r>
      <w:r w:rsidRPr="005E5A7D">
        <w:t>i</w:t>
      </w:r>
      <w:r w:rsidRPr="005E5A7D">
        <w:t>); 47 CFR §1.50004(d).</w:t>
      </w:r>
    </w:p>
  </w:footnote>
  <w:footnote w:id="30">
    <w:p w:rsidR="00BD701F" w:rsidP="00BD701F" w14:paraId="5DD9D453" w14:textId="77777777">
      <w:pPr>
        <w:pStyle w:val="FootnoteText"/>
      </w:pPr>
      <w:r>
        <w:rPr>
          <w:rStyle w:val="FootnoteReference"/>
        </w:rPr>
        <w:footnoteRef/>
      </w:r>
      <w:r>
        <w:t xml:space="preserve"> </w:t>
      </w:r>
      <w:r>
        <w:t>47 CFR § 1.50004(d).</w:t>
      </w:r>
    </w:p>
  </w:footnote>
  <w:footnote w:id="31">
    <w:p w:rsidR="00BD701F" w:rsidRPr="005E5A7D" w:rsidP="00BD701F" w14:paraId="08B3496D" w14:textId="77777777">
      <w:pPr>
        <w:pStyle w:val="FootnoteText"/>
      </w:pPr>
      <w:r w:rsidRPr="005E5A7D">
        <w:rPr>
          <w:rStyle w:val="FootnoteReference"/>
          <w:sz w:val="20"/>
        </w:rPr>
        <w:footnoteRef/>
      </w:r>
      <w:r w:rsidRPr="005E5A7D">
        <w:t xml:space="preserve"> </w:t>
      </w:r>
      <w:r w:rsidRPr="00566060">
        <w:rPr>
          <w:i/>
          <w:iCs/>
        </w:rPr>
        <w:t>Id.</w:t>
      </w:r>
      <w:r w:rsidRPr="005E5A7D">
        <w:t xml:space="preserve"> </w:t>
      </w:r>
    </w:p>
  </w:footnote>
  <w:footnote w:id="32">
    <w:p w:rsidR="00BD701F" w:rsidRPr="005E5A7D" w:rsidP="00BD701F" w14:paraId="611482D5" w14:textId="77777777">
      <w:pPr>
        <w:pStyle w:val="FootnoteText"/>
      </w:pPr>
      <w:r w:rsidRPr="005E5A7D">
        <w:rPr>
          <w:rStyle w:val="FootnoteReference"/>
          <w:sz w:val="20"/>
        </w:rPr>
        <w:footnoteRef/>
      </w:r>
      <w:r w:rsidRPr="005E5A7D">
        <w:t xml:space="preserve"> </w:t>
      </w:r>
      <w:r w:rsidRPr="005E5A7D">
        <w:rPr>
          <w:i/>
          <w:iCs/>
        </w:rPr>
        <w:t>Finalized Reimbursement Process Public Notice</w:t>
      </w:r>
      <w:r w:rsidRPr="005E5A7D">
        <w:t xml:space="preserve"> at *13.</w:t>
      </w:r>
      <w:r>
        <w:t xml:space="preserve">  </w:t>
      </w:r>
    </w:p>
  </w:footnote>
  <w:footnote w:id="33">
    <w:p w:rsidR="00BD701F" w:rsidRPr="005E5A7D" w:rsidP="00BD701F" w14:paraId="6AEC13F9" w14:textId="77777777">
      <w:pPr>
        <w:pStyle w:val="FootnoteText"/>
      </w:pPr>
      <w:r w:rsidRPr="005E5A7D">
        <w:rPr>
          <w:rStyle w:val="FootnoteReference"/>
          <w:sz w:val="20"/>
        </w:rPr>
        <w:footnoteRef/>
      </w:r>
      <w:r w:rsidRPr="005E5A7D">
        <w:t xml:space="preserve"> </w:t>
      </w:r>
      <w:r w:rsidRPr="005E5A7D">
        <w:t>47 U.S.C. § 1603(d)(3)(A)(ii); 47 CFR § 1.50004(d).</w:t>
      </w:r>
    </w:p>
  </w:footnote>
  <w:footnote w:id="34">
    <w:p w:rsidR="00BD701F" w:rsidRPr="007A36E0" w:rsidP="00BD701F" w14:paraId="7DC71530" w14:textId="77777777">
      <w:pPr>
        <w:pStyle w:val="FootnoteText"/>
      </w:pPr>
      <w:r>
        <w:rPr>
          <w:rStyle w:val="FootnoteReference"/>
        </w:rPr>
        <w:footnoteRef/>
      </w:r>
      <w:r>
        <w:t xml:space="preserve"> </w:t>
      </w:r>
      <w:r>
        <w:rPr>
          <w:i/>
          <w:iCs/>
        </w:rPr>
        <w:t xml:space="preserve">See generally </w:t>
      </w:r>
      <w:r w:rsidRPr="005E5A7D">
        <w:rPr>
          <w:i/>
          <w:iCs/>
        </w:rPr>
        <w:t>Finalized Reimbursement Process Public Notice</w:t>
      </w:r>
      <w:r>
        <w:t>.</w:t>
      </w:r>
    </w:p>
  </w:footnote>
  <w:footnote w:id="35">
    <w:p w:rsidR="00BD701F" w:rsidRPr="005E5A7D" w:rsidP="00BD701F" w14:paraId="5984DBA1" w14:textId="77777777">
      <w:pPr>
        <w:pStyle w:val="FootnoteText"/>
      </w:pPr>
      <w:r w:rsidRPr="005E5A7D">
        <w:rPr>
          <w:rStyle w:val="FootnoteReference"/>
          <w:sz w:val="20"/>
        </w:rPr>
        <w:footnoteRef/>
      </w:r>
      <w:r w:rsidRPr="005E5A7D">
        <w:t xml:space="preserve"> </w:t>
      </w:r>
      <w:r w:rsidRPr="005E5A7D">
        <w:t xml:space="preserve">47 U.S.C. § 1603(d)(8); </w:t>
      </w:r>
      <w:r w:rsidRPr="005E5A7D">
        <w:rPr>
          <w:i/>
          <w:iCs/>
        </w:rPr>
        <w:t>2020 Supply Chain Order</w:t>
      </w:r>
      <w:r w:rsidRPr="005E5A7D">
        <w:t xml:space="preserve">, 35 FCC </w:t>
      </w:r>
      <w:r w:rsidRPr="005E5A7D">
        <w:t>Rcd</w:t>
      </w:r>
      <w:r w:rsidRPr="005E5A7D">
        <w:t xml:space="preserve"> </w:t>
      </w:r>
      <w:r>
        <w:t>at</w:t>
      </w:r>
      <w:r w:rsidRPr="005E5A7D">
        <w:t xml:space="preserve"> 14370, para. 215.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3B86338F" w14:textId="5CA152DC">
    <w:pPr>
      <w:tabs>
        <w:tab w:val="center" w:pos="4680"/>
        <w:tab w:val="right" w:pos="9360"/>
      </w:tabs>
    </w:pPr>
    <w:r>
      <w:rPr>
        <w:b/>
      </w:rPr>
      <w:tab/>
    </w:r>
    <w:r>
      <w:rPr>
        <w:b/>
      </w:rPr>
      <w:t>Federal Communications Commission</w:t>
    </w:r>
    <w:r>
      <w:rPr>
        <w:b/>
      </w:rPr>
      <w:tab/>
    </w:r>
    <w:r w:rsidR="00F236D2">
      <w:rPr>
        <w:b/>
      </w:rPr>
      <w:t>DA 22-131</w:t>
    </w:r>
  </w:p>
  <w:p w:rsidR="00000000" w14:paraId="2674C711"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000000" w14:paraId="6905A0E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54DDB444"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1F"/>
    <w:rsid w:val="000C64E1"/>
    <w:rsid w:val="000D15B7"/>
    <w:rsid w:val="00101844"/>
    <w:rsid w:val="00180FC2"/>
    <w:rsid w:val="001C380C"/>
    <w:rsid w:val="001D1980"/>
    <w:rsid w:val="001E1A58"/>
    <w:rsid w:val="00256B5A"/>
    <w:rsid w:val="002661A8"/>
    <w:rsid w:val="00286CFA"/>
    <w:rsid w:val="002950A5"/>
    <w:rsid w:val="002C0828"/>
    <w:rsid w:val="003341D7"/>
    <w:rsid w:val="00346DF8"/>
    <w:rsid w:val="00363BF8"/>
    <w:rsid w:val="003A7D61"/>
    <w:rsid w:val="00566060"/>
    <w:rsid w:val="00587C5A"/>
    <w:rsid w:val="005B0135"/>
    <w:rsid w:val="005E5A7D"/>
    <w:rsid w:val="00661B08"/>
    <w:rsid w:val="00671395"/>
    <w:rsid w:val="007A36E0"/>
    <w:rsid w:val="007B53E4"/>
    <w:rsid w:val="00823A2D"/>
    <w:rsid w:val="00954D7E"/>
    <w:rsid w:val="00993477"/>
    <w:rsid w:val="009D0E6B"/>
    <w:rsid w:val="00A548C0"/>
    <w:rsid w:val="00AE1247"/>
    <w:rsid w:val="00B15A5C"/>
    <w:rsid w:val="00B44677"/>
    <w:rsid w:val="00B77CCC"/>
    <w:rsid w:val="00BA4B9E"/>
    <w:rsid w:val="00BA5E8D"/>
    <w:rsid w:val="00BD701F"/>
    <w:rsid w:val="00C27B55"/>
    <w:rsid w:val="00C84BE8"/>
    <w:rsid w:val="00CB3BDC"/>
    <w:rsid w:val="00CF3CF2"/>
    <w:rsid w:val="00D97C88"/>
    <w:rsid w:val="00E96AC4"/>
    <w:rsid w:val="00EA3DB4"/>
    <w:rsid w:val="00EF32C4"/>
    <w:rsid w:val="00F1683B"/>
    <w:rsid w:val="00F236D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892982E"/>
  <w15:chartTrackingRefBased/>
  <w15:docId w15:val="{EB43D46E-3A92-42D8-9E48-D9201C863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semiHidden/>
    <w:pPr>
      <w:spacing w:after="120"/>
    </w:pPr>
  </w:style>
  <w:style w:type="character" w:styleId="FootnoteReference">
    <w:name w:val="footnote reference"/>
    <w:uiPriority w:val="99"/>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basedOn w:val="DefaultParagraphFont"/>
    <w:link w:val="FootnoteText"/>
    <w:uiPriority w:val="99"/>
    <w:semiHidden/>
    <w:rsid w:val="00BD7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CRPFundAdmin@fcc.gov" TargetMode="External" /><Relationship Id="rId6" Type="http://schemas.openxmlformats.org/officeDocument/2006/relationships/hyperlink" Target="https://www.fcc.gov/supplychain"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