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66B08F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42A459" w14:textId="77777777">
      <w:pPr>
        <w:pStyle w:val="StyleBoldCentered"/>
      </w:pPr>
      <w:r>
        <w:t>F</w:t>
      </w:r>
      <w:r>
        <w:rPr>
          <w:caps w:val="0"/>
        </w:rPr>
        <w:t>ederal Communications Commission</w:t>
      </w:r>
    </w:p>
    <w:p w:rsidR="004C2EE3" w:rsidP="00096D8C" w14:paraId="4EA7B6E8" w14:textId="77777777">
      <w:pPr>
        <w:pStyle w:val="StyleBoldCentered"/>
      </w:pPr>
      <w:r>
        <w:rPr>
          <w:caps w:val="0"/>
        </w:rPr>
        <w:t>Washington, D.C. 20554</w:t>
      </w:r>
    </w:p>
    <w:p w:rsidR="004C2EE3" w:rsidP="0070224F" w14:paraId="1320D48D" w14:textId="77777777"/>
    <w:p w:rsidR="004C2EE3" w:rsidP="0070224F" w14:paraId="6D86D8C5" w14:textId="77777777"/>
    <w:tbl>
      <w:tblPr>
        <w:tblW w:w="0" w:type="auto"/>
        <w:tblLayout w:type="fixed"/>
        <w:tblLook w:val="0000"/>
      </w:tblPr>
      <w:tblGrid>
        <w:gridCol w:w="4698"/>
        <w:gridCol w:w="630"/>
        <w:gridCol w:w="4248"/>
      </w:tblGrid>
      <w:tr w14:paraId="06BB1FD0" w14:textId="77777777">
        <w:tblPrEx>
          <w:tblW w:w="0" w:type="auto"/>
          <w:tblLayout w:type="fixed"/>
          <w:tblLook w:val="0000"/>
        </w:tblPrEx>
        <w:tc>
          <w:tcPr>
            <w:tcW w:w="4698" w:type="dxa"/>
          </w:tcPr>
          <w:p w:rsidR="004C2EE3" w14:paraId="6936FC91" w14:textId="77777777">
            <w:pPr>
              <w:tabs>
                <w:tab w:val="center" w:pos="4680"/>
              </w:tabs>
              <w:suppressAutoHyphens/>
              <w:rPr>
                <w:spacing w:val="-2"/>
              </w:rPr>
            </w:pPr>
            <w:r>
              <w:rPr>
                <w:spacing w:val="-2"/>
              </w:rPr>
              <w:t>In the Matter of</w:t>
            </w:r>
          </w:p>
          <w:p w:rsidR="004C2EE3" w14:paraId="7D844261" w14:textId="77777777">
            <w:pPr>
              <w:tabs>
                <w:tab w:val="center" w:pos="4680"/>
              </w:tabs>
              <w:suppressAutoHyphens/>
              <w:rPr>
                <w:spacing w:val="-2"/>
              </w:rPr>
            </w:pPr>
          </w:p>
          <w:p w:rsidR="003541B2" w:rsidP="003541B2" w14:paraId="028738F6" w14:textId="77777777">
            <w:pPr>
              <w:tabs>
                <w:tab w:val="center" w:pos="4680"/>
              </w:tabs>
              <w:suppressAutoHyphens/>
              <w:rPr>
                <w:spacing w:val="-2"/>
              </w:rPr>
            </w:pPr>
            <w:r>
              <w:rPr>
                <w:spacing w:val="-2"/>
              </w:rPr>
              <w:t>Petition for Reconsideration</w:t>
            </w:r>
          </w:p>
          <w:p w:rsidR="003541B2" w:rsidP="003541B2" w14:paraId="18A0F3B6" w14:textId="77777777">
            <w:pPr>
              <w:tabs>
                <w:tab w:val="center" w:pos="4680"/>
              </w:tabs>
              <w:suppressAutoHyphens/>
              <w:rPr>
                <w:spacing w:val="-2"/>
              </w:rPr>
            </w:pPr>
            <w:r>
              <w:rPr>
                <w:spacing w:val="-2"/>
              </w:rPr>
              <w:t>By Utah Education and Telehealth Network</w:t>
            </w:r>
          </w:p>
          <w:p w:rsidR="004C2EE3" w:rsidP="007115F7" w14:paraId="54D8A28C" w14:textId="77777777">
            <w:pPr>
              <w:tabs>
                <w:tab w:val="center" w:pos="4680"/>
              </w:tabs>
              <w:suppressAutoHyphens/>
              <w:rPr>
                <w:spacing w:val="-2"/>
              </w:rPr>
            </w:pPr>
          </w:p>
          <w:p w:rsidR="003541B2" w:rsidP="003541B2" w14:paraId="2CA9B2DE" w14:textId="77777777">
            <w:pPr>
              <w:tabs>
                <w:tab w:val="center" w:pos="4680"/>
              </w:tabs>
              <w:suppressAutoHyphens/>
              <w:rPr>
                <w:spacing w:val="-2"/>
              </w:rPr>
            </w:pPr>
            <w:r>
              <w:rPr>
                <w:spacing w:val="-2"/>
              </w:rPr>
              <w:t>Rural Health Care</w:t>
            </w:r>
          </w:p>
          <w:p w:rsidR="003541B2" w:rsidRPr="007115F7" w:rsidP="003541B2" w14:paraId="55F37F2B" w14:textId="053FB755">
            <w:pPr>
              <w:tabs>
                <w:tab w:val="center" w:pos="4680"/>
              </w:tabs>
              <w:suppressAutoHyphens/>
              <w:rPr>
                <w:spacing w:val="-2"/>
              </w:rPr>
            </w:pPr>
            <w:r>
              <w:rPr>
                <w:spacing w:val="-2"/>
              </w:rPr>
              <w:t>Universal Service Support Mechanism</w:t>
            </w:r>
          </w:p>
        </w:tc>
        <w:tc>
          <w:tcPr>
            <w:tcW w:w="630" w:type="dxa"/>
          </w:tcPr>
          <w:p w:rsidR="004C2EE3" w14:paraId="79627F3E" w14:textId="77777777">
            <w:pPr>
              <w:tabs>
                <w:tab w:val="center" w:pos="4680"/>
              </w:tabs>
              <w:suppressAutoHyphens/>
              <w:rPr>
                <w:b/>
                <w:spacing w:val="-2"/>
              </w:rPr>
            </w:pPr>
            <w:r>
              <w:rPr>
                <w:b/>
                <w:spacing w:val="-2"/>
              </w:rPr>
              <w:t>)</w:t>
            </w:r>
          </w:p>
          <w:p w:rsidR="004C2EE3" w14:paraId="52B85992" w14:textId="77777777">
            <w:pPr>
              <w:tabs>
                <w:tab w:val="center" w:pos="4680"/>
              </w:tabs>
              <w:suppressAutoHyphens/>
              <w:rPr>
                <w:b/>
                <w:spacing w:val="-2"/>
              </w:rPr>
            </w:pPr>
            <w:r>
              <w:rPr>
                <w:b/>
                <w:spacing w:val="-2"/>
              </w:rPr>
              <w:t>)</w:t>
            </w:r>
          </w:p>
          <w:p w:rsidR="004C2EE3" w14:paraId="05510D2F" w14:textId="77777777">
            <w:pPr>
              <w:tabs>
                <w:tab w:val="center" w:pos="4680"/>
              </w:tabs>
              <w:suppressAutoHyphens/>
              <w:rPr>
                <w:b/>
                <w:spacing w:val="-2"/>
              </w:rPr>
            </w:pPr>
            <w:r>
              <w:rPr>
                <w:b/>
                <w:spacing w:val="-2"/>
              </w:rPr>
              <w:t>)</w:t>
            </w:r>
          </w:p>
          <w:p w:rsidR="004C2EE3" w14:paraId="11738112" w14:textId="77777777">
            <w:pPr>
              <w:tabs>
                <w:tab w:val="center" w:pos="4680"/>
              </w:tabs>
              <w:suppressAutoHyphens/>
              <w:rPr>
                <w:b/>
                <w:spacing w:val="-2"/>
              </w:rPr>
            </w:pPr>
            <w:r>
              <w:rPr>
                <w:b/>
                <w:spacing w:val="-2"/>
              </w:rPr>
              <w:t>)</w:t>
            </w:r>
          </w:p>
          <w:p w:rsidR="004C2EE3" w14:paraId="172B3D79" w14:textId="77777777">
            <w:pPr>
              <w:tabs>
                <w:tab w:val="center" w:pos="4680"/>
              </w:tabs>
              <w:suppressAutoHyphens/>
              <w:rPr>
                <w:b/>
                <w:spacing w:val="-2"/>
              </w:rPr>
            </w:pPr>
            <w:r>
              <w:rPr>
                <w:b/>
                <w:spacing w:val="-2"/>
              </w:rPr>
              <w:t>)</w:t>
            </w:r>
          </w:p>
          <w:p w:rsidR="004C2EE3" w14:paraId="70E20BB1" w14:textId="77777777">
            <w:pPr>
              <w:tabs>
                <w:tab w:val="center" w:pos="4680"/>
              </w:tabs>
              <w:suppressAutoHyphens/>
              <w:rPr>
                <w:b/>
                <w:spacing w:val="-2"/>
              </w:rPr>
            </w:pPr>
            <w:r>
              <w:rPr>
                <w:b/>
                <w:spacing w:val="-2"/>
              </w:rPr>
              <w:t>)</w:t>
            </w:r>
          </w:p>
          <w:p w:rsidR="004C2EE3" w14:paraId="2AE7831B" w14:textId="77777777">
            <w:pPr>
              <w:tabs>
                <w:tab w:val="center" w:pos="4680"/>
              </w:tabs>
              <w:suppressAutoHyphens/>
              <w:rPr>
                <w:b/>
                <w:spacing w:val="-2"/>
              </w:rPr>
            </w:pPr>
            <w:r>
              <w:rPr>
                <w:b/>
                <w:spacing w:val="-2"/>
              </w:rPr>
              <w:t>)</w:t>
            </w:r>
          </w:p>
          <w:p w:rsidR="004C2EE3" w14:paraId="0E9D7BC0" w14:textId="77777777">
            <w:pPr>
              <w:tabs>
                <w:tab w:val="center" w:pos="4680"/>
              </w:tabs>
              <w:suppressAutoHyphens/>
              <w:rPr>
                <w:b/>
                <w:spacing w:val="-2"/>
              </w:rPr>
            </w:pPr>
            <w:r>
              <w:rPr>
                <w:b/>
                <w:spacing w:val="-2"/>
              </w:rPr>
              <w:t>)</w:t>
            </w:r>
          </w:p>
          <w:p w:rsidR="004C2EE3" w14:paraId="4AA13F87" w14:textId="77777777">
            <w:pPr>
              <w:tabs>
                <w:tab w:val="center" w:pos="4680"/>
              </w:tabs>
              <w:suppressAutoHyphens/>
              <w:rPr>
                <w:spacing w:val="-2"/>
              </w:rPr>
            </w:pPr>
            <w:r>
              <w:rPr>
                <w:b/>
                <w:spacing w:val="-2"/>
              </w:rPr>
              <w:t>)</w:t>
            </w:r>
          </w:p>
        </w:tc>
        <w:tc>
          <w:tcPr>
            <w:tcW w:w="4248" w:type="dxa"/>
          </w:tcPr>
          <w:p w:rsidR="004C2EE3" w14:paraId="270F0286" w14:textId="77777777">
            <w:pPr>
              <w:tabs>
                <w:tab w:val="center" w:pos="4680"/>
              </w:tabs>
              <w:suppressAutoHyphens/>
              <w:rPr>
                <w:spacing w:val="-2"/>
              </w:rPr>
            </w:pPr>
          </w:p>
          <w:p w:rsidR="004C2EE3" w14:paraId="05E0986A" w14:textId="77777777">
            <w:pPr>
              <w:pStyle w:val="TOAHeading"/>
              <w:tabs>
                <w:tab w:val="center" w:pos="4680"/>
                <w:tab w:val="clear" w:pos="9360"/>
              </w:tabs>
              <w:rPr>
                <w:spacing w:val="-2"/>
              </w:rPr>
            </w:pPr>
          </w:p>
          <w:p w:rsidR="003541B2" w14:paraId="6821F49E" w14:textId="77777777">
            <w:pPr>
              <w:tabs>
                <w:tab w:val="center" w:pos="4680"/>
              </w:tabs>
              <w:suppressAutoHyphens/>
              <w:rPr>
                <w:spacing w:val="-2"/>
              </w:rPr>
            </w:pPr>
          </w:p>
          <w:p w:rsidR="003541B2" w14:paraId="489836A0" w14:textId="77777777">
            <w:pPr>
              <w:tabs>
                <w:tab w:val="center" w:pos="4680"/>
              </w:tabs>
              <w:suppressAutoHyphens/>
              <w:rPr>
                <w:spacing w:val="-2"/>
              </w:rPr>
            </w:pPr>
          </w:p>
          <w:p w:rsidR="003541B2" w14:paraId="1A1C4D32" w14:textId="77777777">
            <w:pPr>
              <w:tabs>
                <w:tab w:val="center" w:pos="4680"/>
              </w:tabs>
              <w:suppressAutoHyphens/>
              <w:rPr>
                <w:spacing w:val="-2"/>
              </w:rPr>
            </w:pPr>
          </w:p>
          <w:p w:rsidR="004C2EE3" w14:paraId="1443C3CC" w14:textId="00E5EB47">
            <w:pPr>
              <w:tabs>
                <w:tab w:val="center" w:pos="4680"/>
              </w:tabs>
              <w:suppressAutoHyphens/>
              <w:rPr>
                <w:spacing w:val="-2"/>
              </w:rPr>
            </w:pPr>
            <w:r>
              <w:rPr>
                <w:spacing w:val="-2"/>
              </w:rPr>
              <w:t>WC Docket No. 02-60</w:t>
            </w:r>
          </w:p>
        </w:tc>
      </w:tr>
    </w:tbl>
    <w:p w:rsidR="004C2EE3" w:rsidP="0070224F" w14:paraId="53C0129A" w14:textId="77777777"/>
    <w:p w:rsidR="00841AB1" w:rsidP="00F021FA" w14:paraId="0A9685F3" w14:textId="39D42BF2">
      <w:pPr>
        <w:pStyle w:val="StyleBoldCentered"/>
      </w:pPr>
      <w:r>
        <w:t>Order On RECONSIDERATION</w:t>
      </w:r>
    </w:p>
    <w:p w:rsidR="004C2EE3" w14:paraId="4B9D7340" w14:textId="77777777">
      <w:pPr>
        <w:tabs>
          <w:tab w:val="left" w:pos="-720"/>
        </w:tabs>
        <w:suppressAutoHyphens/>
        <w:spacing w:line="227" w:lineRule="auto"/>
        <w:rPr>
          <w:spacing w:val="-2"/>
        </w:rPr>
      </w:pPr>
    </w:p>
    <w:p w:rsidR="004C2EE3" w:rsidP="00133F79" w14:paraId="725B2C06" w14:textId="095FDB16">
      <w:pPr>
        <w:tabs>
          <w:tab w:val="left" w:pos="720"/>
          <w:tab w:val="right" w:pos="9360"/>
        </w:tabs>
        <w:suppressAutoHyphens/>
        <w:spacing w:line="227" w:lineRule="auto"/>
        <w:rPr>
          <w:spacing w:val="-2"/>
        </w:rPr>
      </w:pPr>
      <w:r>
        <w:rPr>
          <w:b/>
          <w:spacing w:val="-2"/>
        </w:rPr>
        <w:t xml:space="preserve">Adopted:  </w:t>
      </w:r>
      <w:r w:rsidR="003541B2">
        <w:rPr>
          <w:b/>
          <w:spacing w:val="-2"/>
        </w:rPr>
        <w:t>August 13,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521F">
        <w:rPr>
          <w:b/>
          <w:spacing w:val="-2"/>
        </w:rPr>
        <w:t>August 13, 2021</w:t>
      </w:r>
    </w:p>
    <w:p w:rsidR="00822CE0" w14:paraId="2EB4D0DA" w14:textId="77777777"/>
    <w:p w:rsidR="004C2EE3" w14:paraId="69BCF99C" w14:textId="22F7AD7E">
      <w:pPr>
        <w:rPr>
          <w:spacing w:val="-2"/>
        </w:rPr>
      </w:pPr>
      <w:r>
        <w:t xml:space="preserve">By </w:t>
      </w:r>
      <w:r w:rsidR="004E4A22">
        <w:t>the</w:t>
      </w:r>
      <w:r w:rsidR="002A2D2E">
        <w:t xml:space="preserve"> </w:t>
      </w:r>
      <w:r w:rsidR="003541B2">
        <w:t>Chief</w:t>
      </w:r>
      <w:r w:rsidR="003541B2">
        <w:rPr>
          <w:spacing w:val="-2"/>
        </w:rPr>
        <w:t>, Telecommunications Access Policy Division, Wireline Competition Bureau</w:t>
      </w:r>
      <w:r>
        <w:rPr>
          <w:spacing w:val="-2"/>
        </w:rPr>
        <w:t>:</w:t>
      </w:r>
    </w:p>
    <w:p w:rsidR="00822CE0" w14:paraId="11C0BB47" w14:textId="77777777">
      <w:pPr>
        <w:rPr>
          <w:spacing w:val="-2"/>
        </w:rPr>
      </w:pPr>
    </w:p>
    <w:p w:rsidR="00412FC5" w:rsidP="00C36B4C" w14:paraId="29DD51F6" w14:textId="73E2023A">
      <w:pPr>
        <w:pStyle w:val="Heading1"/>
      </w:pPr>
      <w:r>
        <w:t xml:space="preserve">Introduction </w:t>
      </w:r>
    </w:p>
    <w:p w:rsidR="00883299" w:rsidP="00883299" w14:paraId="548D6F84" w14:textId="77777777">
      <w:pPr>
        <w:pStyle w:val="ParaNum"/>
      </w:pPr>
      <w:r>
        <w:t>In this Order, we address a petition for reconsideration filed by the Utah Education and Telehealth Network (</w:t>
      </w:r>
      <w:r>
        <w:t>UETN</w:t>
      </w:r>
      <w:r>
        <w:t>)</w:t>
      </w:r>
      <w:r>
        <w:rPr>
          <w:rStyle w:val="FootnoteReference"/>
        </w:rPr>
        <w:footnoteReference w:id="3"/>
      </w:r>
      <w:r w:rsidRPr="005D6CC3">
        <w:rPr>
          <w:rStyle w:val="FootnoteReference"/>
        </w:rPr>
        <w:t xml:space="preserve"> </w:t>
      </w:r>
      <w:r>
        <w:t xml:space="preserve">seeking review of the Wireline Competition Bureau’s (Bureau) denial of a request for review concerning the application of our competitive bidding requirements to seven </w:t>
      </w:r>
      <w:r>
        <w:t>UETN</w:t>
      </w:r>
      <w:r>
        <w:t xml:space="preserve"> Healthcare Connect Fund Program funding requests for funding year 2017.</w:t>
      </w:r>
      <w:r>
        <w:rPr>
          <w:rStyle w:val="FootnoteReference"/>
        </w:rPr>
        <w:footnoteReference w:id="4"/>
      </w:r>
      <w:r>
        <w:t xml:space="preserve">  Although we uphold our prior decision that there was no applicable exemption to the competitive bidding requirements, we waive the competitive bidding requirements as they apply to the funding requests at issue.  Based on the circumstances presented here, we conclude that a strict application of our competitive bidding rules in this case would be inconsistent with the public interest.  We therefore remand the seven funding requests listed in Appendix A to the Universal Service Administrative Company (</w:t>
      </w:r>
      <w:r>
        <w:t>USAC</w:t>
      </w:r>
      <w:r>
        <w:t>) for further action consistent with this Order.</w:t>
      </w:r>
      <w:r>
        <w:rPr>
          <w:rStyle w:val="FootnoteReference"/>
        </w:rPr>
        <w:footnoteReference w:id="5"/>
      </w:r>
      <w:r>
        <w:t xml:space="preserve">  </w:t>
      </w:r>
    </w:p>
    <w:p w:rsidR="003541B2" w:rsidP="00883299" w14:paraId="407C608F" w14:textId="6D766635">
      <w:pPr>
        <w:pStyle w:val="Heading1"/>
      </w:pPr>
      <w:r>
        <w:t>Background</w:t>
      </w:r>
    </w:p>
    <w:p w:rsidR="00883299" w:rsidP="00883299" w14:paraId="1A6882E2" w14:textId="77777777">
      <w:pPr>
        <w:pStyle w:val="ParaNum"/>
      </w:pPr>
      <w:r>
        <w:t>The Healthcare Connect Fund Program allows</w:t>
      </w:r>
      <w:r w:rsidRPr="00596E76">
        <w:t xml:space="preserve"> eligible </w:t>
      </w:r>
      <w:r>
        <w:t xml:space="preserve">individual rural health care providers </w:t>
      </w:r>
      <w:r w:rsidRPr="00596E76">
        <w:t xml:space="preserve">and consortia that include eligible </w:t>
      </w:r>
      <w:r>
        <w:t>rural health care providers to</w:t>
      </w:r>
      <w:r w:rsidRPr="00596E76">
        <w:t xml:space="preserve"> apply for universal service support for eligible services.</w:t>
      </w:r>
      <w:bookmarkStart w:id="0" w:name="FN[FN4]"/>
      <w:bookmarkEnd w:id="0"/>
      <w:r>
        <w:rPr>
          <w:vertAlign w:val="superscript"/>
        </w:rPr>
        <w:footnoteReference w:id="6"/>
      </w:r>
      <w:r w:rsidRPr="00596E76">
        <w:t xml:space="preserve">  </w:t>
      </w:r>
      <w:r>
        <w:t xml:space="preserve">The Healthcare Connect Fund Program </w:t>
      </w:r>
      <w:r w:rsidRPr="00596E76">
        <w:t xml:space="preserve">rules </w:t>
      </w:r>
      <w:r>
        <w:t xml:space="preserve">require </w:t>
      </w:r>
      <w:r w:rsidRPr="00596E76">
        <w:t xml:space="preserve">that </w:t>
      </w:r>
      <w:r>
        <w:t>eligible</w:t>
      </w:r>
      <w:r w:rsidRPr="00596E76">
        <w:t xml:space="preserve"> entities seek competitive bids for services eligible for support</w:t>
      </w:r>
      <w:r>
        <w:t xml:space="preserve"> unless an exemption in our rules applies</w:t>
      </w:r>
      <w:r w:rsidRPr="00596E76">
        <w:t>.</w:t>
      </w:r>
      <w:bookmarkStart w:id="1" w:name="FN[FN5]"/>
      <w:bookmarkEnd w:id="1"/>
      <w:r>
        <w:rPr>
          <w:vertAlign w:val="superscript"/>
        </w:rPr>
        <w:footnoteReference w:id="7"/>
      </w:r>
      <w:r w:rsidRPr="00596E76">
        <w:t xml:space="preserve">  </w:t>
      </w:r>
      <w:r>
        <w:t xml:space="preserve">One </w:t>
      </w:r>
      <w:r>
        <w:t xml:space="preserve">such exemption involves master contracts in the schools and libraries universal services support program (E-Rate Program) administered by </w:t>
      </w:r>
      <w:r>
        <w:t>USAC</w:t>
      </w:r>
      <w:r>
        <w:t>.</w:t>
      </w:r>
      <w:r>
        <w:rPr>
          <w:rStyle w:val="FootnoteReference"/>
        </w:rPr>
        <w:footnoteReference w:id="8"/>
      </w:r>
      <w:r>
        <w:t xml:space="preserve">  Section 54.642(h)(5) of our rules provides that an eligible healthcare provider is exempt from the competitive bidding requirement if the provider is in a consortium with participants in the E-Rate Program and a party to the consortium’s existing contract that was “approved” by the E-Rate Program as a master contract.</w:t>
      </w:r>
      <w:r>
        <w:rPr>
          <w:rStyle w:val="FootnoteReference"/>
        </w:rPr>
        <w:footnoteReference w:id="9"/>
      </w:r>
      <w:r>
        <w:t xml:space="preserve">  </w:t>
      </w:r>
    </w:p>
    <w:p w:rsidR="00883299" w:rsidP="00883299" w14:paraId="3671E7C0" w14:textId="77777777">
      <w:pPr>
        <w:pStyle w:val="ParaNum"/>
      </w:pPr>
      <w:r>
        <w:t>UETN</w:t>
      </w:r>
      <w:r>
        <w:t xml:space="preserve"> is the state of Utah’s designated and duly authorized statewide education and telehealth network.</w:t>
      </w:r>
      <w:r>
        <w:rPr>
          <w:rStyle w:val="FootnoteReference"/>
        </w:rPr>
        <w:footnoteReference w:id="10"/>
      </w:r>
      <w:r>
        <w:t xml:space="preserve">  In 2017, </w:t>
      </w:r>
      <w:r>
        <w:t>UETN</w:t>
      </w:r>
      <w:r>
        <w:t xml:space="preserve"> issued a Request for Proposal for telecommunications and Internet access services that combined requests for the state’s public schools and libraries and rural healthcare providers in order to solicit better rates for the rural health care sites.</w:t>
      </w:r>
      <w:r>
        <w:rPr>
          <w:rStyle w:val="FootnoteReference"/>
        </w:rPr>
        <w:footnoteReference w:id="11"/>
      </w:r>
      <w:r>
        <w:t xml:space="preserve">  When </w:t>
      </w:r>
      <w:r>
        <w:t>UETN</w:t>
      </w:r>
      <w:r>
        <w:t xml:space="preserve"> applied for Healthcare Connect Fund Program support for funding year 2017, it did not first undergo a competitive bidding process as is normally required.  Instead, </w:t>
      </w:r>
      <w:r>
        <w:t>UETN</w:t>
      </w:r>
      <w:r>
        <w:t xml:space="preserve"> maintains its funding requests were based on competitively bid and negotiated E-Rate contracts that qualify for the exemption to the competitive bidding requirement set forth in section 54.642(h)(5).</w:t>
      </w:r>
      <w:r>
        <w:rPr>
          <w:rStyle w:val="FootnoteReference"/>
        </w:rPr>
        <w:footnoteReference w:id="12"/>
      </w:r>
      <w:r>
        <w:t xml:space="preserve">  </w:t>
      </w:r>
    </w:p>
    <w:p w:rsidR="00883299" w:rsidP="00883299" w14:paraId="4AD48DD0" w14:textId="77777777">
      <w:pPr>
        <w:pStyle w:val="ParaNum"/>
      </w:pPr>
      <w:r>
        <w:t xml:space="preserve">On July 28, 2017, </w:t>
      </w:r>
      <w:r>
        <w:t>USAC’s</w:t>
      </w:r>
      <w:r>
        <w:t xml:space="preserve"> Rural Health Care Division denied </w:t>
      </w:r>
      <w:r>
        <w:t>UETN’s</w:t>
      </w:r>
      <w:r>
        <w:t xml:space="preserve"> requests for funding because the master contracts upon which the competitive bidding exemptions were based “had not yet been endorsed” (i.e., approved) in the E-Rate Program.</w:t>
      </w:r>
      <w:r>
        <w:rPr>
          <w:rStyle w:val="FootnoteReference"/>
        </w:rPr>
        <w:footnoteReference w:id="13"/>
      </w:r>
      <w:r>
        <w:t xml:space="preserve">  </w:t>
      </w:r>
      <w:r>
        <w:t>UETN</w:t>
      </w:r>
      <w:r>
        <w:t xml:space="preserve"> appealed the decisions on August 11, 2017</w:t>
      </w:r>
      <w:r>
        <w:rPr>
          <w:vertAlign w:val="superscript"/>
        </w:rPr>
        <w:footnoteReference w:id="14"/>
      </w:r>
      <w:r>
        <w:t xml:space="preserve"> and, during the appeal’s pendency, sent confirmation to </w:t>
      </w:r>
      <w:r>
        <w:t>USAC</w:t>
      </w:r>
      <w:r>
        <w:t xml:space="preserve"> that six of the seven E-Rate contracts received funding commitments, which </w:t>
      </w:r>
      <w:r>
        <w:t>UETN</w:t>
      </w:r>
      <w:r>
        <w:t xml:space="preserve"> claimed demonstrated that “the rationale for the denial of [the funding requests] no longer applies and that [</w:t>
      </w:r>
      <w:r>
        <w:t>UETN</w:t>
      </w:r>
      <w:r>
        <w:t xml:space="preserve">] complied with the </w:t>
      </w:r>
      <w:r>
        <w:t>HCF</w:t>
      </w:r>
      <w:r>
        <w:t xml:space="preserve"> competitive bidding exemption standard afforded E-Rate negotiated contracts.”</w:t>
      </w:r>
      <w:r>
        <w:rPr>
          <w:rStyle w:val="FootnoteReference"/>
        </w:rPr>
        <w:footnoteReference w:id="15"/>
      </w:r>
      <w:r>
        <w:t xml:space="preserve">  </w:t>
      </w:r>
      <w:r>
        <w:t>USAC</w:t>
      </w:r>
      <w:r>
        <w:t xml:space="preserve"> nevertheless denied the </w:t>
      </w:r>
      <w:r>
        <w:t>appeals on September 27, 2018 because the contracts had not been approved in the E-Rate Program at the time they were submitted as part of the funding requests, as required by our rules.</w:t>
      </w:r>
      <w:r>
        <w:rPr>
          <w:rStyle w:val="FootnoteReference"/>
        </w:rPr>
        <w:footnoteReference w:id="16"/>
      </w:r>
      <w:r>
        <w:t xml:space="preserve">  After examining the record, we upheld </w:t>
      </w:r>
      <w:r>
        <w:t>USAC’s</w:t>
      </w:r>
      <w:r>
        <w:t xml:space="preserve"> decision on that same basis.</w:t>
      </w:r>
      <w:r>
        <w:rPr>
          <w:rStyle w:val="FootnoteReference"/>
        </w:rPr>
        <w:footnoteReference w:id="17"/>
      </w:r>
      <w:r>
        <w:t xml:space="preserve">  We also denied </w:t>
      </w:r>
      <w:r>
        <w:t>UETN’s</w:t>
      </w:r>
      <w:r>
        <w:t xml:space="preserve"> request for a waiver of the competitive bidding requirements because the underlying record did not reveal the existence of special circumstances warranting a waiver.</w:t>
      </w:r>
      <w:r>
        <w:rPr>
          <w:rStyle w:val="FootnoteReference"/>
        </w:rPr>
        <w:footnoteReference w:id="18"/>
      </w:r>
      <w:r>
        <w:t xml:space="preserve"> </w:t>
      </w:r>
    </w:p>
    <w:p w:rsidR="00883299" w:rsidP="00883299" w14:paraId="57512EF7" w14:textId="77777777">
      <w:pPr>
        <w:pStyle w:val="ParaNum"/>
      </w:pPr>
      <w:r>
        <w:t>UETN</w:t>
      </w:r>
      <w:r>
        <w:t xml:space="preserve"> now seeks reconsideration of our decision and, in the alternative, renews its request for a waiver of the Healthcare Connect Fund competitive bidding requirements.  In support of its request for reconsideration, </w:t>
      </w:r>
      <w:r>
        <w:t>UETN</w:t>
      </w:r>
      <w:r>
        <w:t xml:space="preserve"> asserts for the first time that the rule is unclear as to what an “approved” master contract is for purposes of the competitive bidding exemption, and thus “inappropriate for </w:t>
      </w:r>
      <w:r>
        <w:t>USAC</w:t>
      </w:r>
      <w:r>
        <w:t xml:space="preserve"> to deny </w:t>
      </w:r>
      <w:r>
        <w:t>UETN’s</w:t>
      </w:r>
      <w:r>
        <w:t xml:space="preserve"> funding requests on this basis, and for the Bureau to uphold that decision.”</w:t>
      </w:r>
      <w:r>
        <w:rPr>
          <w:rStyle w:val="FootnoteReference"/>
        </w:rPr>
        <w:footnoteReference w:id="19"/>
      </w:r>
      <w:r>
        <w:t xml:space="preserve">  </w:t>
      </w:r>
      <w:r>
        <w:t>UETN</w:t>
      </w:r>
      <w:r>
        <w:t xml:space="preserve"> also asserts that, when upholding </w:t>
      </w:r>
      <w:r>
        <w:t>USAC’s</w:t>
      </w:r>
      <w:r>
        <w:t xml:space="preserve"> decision, the Bureau did not apply the required </w:t>
      </w:r>
      <w:r>
        <w:rPr>
          <w:i/>
        </w:rPr>
        <w:t xml:space="preserve">de </w:t>
      </w:r>
      <w:r w:rsidRPr="00717659">
        <w:rPr>
          <w:i/>
        </w:rPr>
        <w:t>novo</w:t>
      </w:r>
      <w:r>
        <w:rPr>
          <w:iCs/>
        </w:rPr>
        <w:t xml:space="preserve"> standard of review and instead improperly deferred to </w:t>
      </w:r>
      <w:r>
        <w:t>USAC’s</w:t>
      </w:r>
      <w:r>
        <w:t xml:space="preserve"> analysis.</w:t>
      </w:r>
      <w:r>
        <w:rPr>
          <w:rStyle w:val="FootnoteReference"/>
        </w:rPr>
        <w:footnoteReference w:id="20"/>
      </w:r>
      <w:r>
        <w:t xml:space="preserve">  </w:t>
      </w:r>
      <w:r>
        <w:t>UETN</w:t>
      </w:r>
      <w:r>
        <w:t xml:space="preserve"> alternatively requests a waiver of the competitive bidding requirements on the grounds that the waiver would advance the Commission’s Rural Health Care (RHC) Program’s goals and be in the public interest.</w:t>
      </w:r>
      <w:r>
        <w:rPr>
          <w:rStyle w:val="FootnoteReference"/>
        </w:rPr>
        <w:footnoteReference w:id="21"/>
      </w:r>
    </w:p>
    <w:p w:rsidR="00883299" w:rsidP="00883299" w14:paraId="723BECDF" w14:textId="507A5A38">
      <w:pPr>
        <w:pStyle w:val="Heading1"/>
      </w:pPr>
      <w:r>
        <w:t>Discussion</w:t>
      </w:r>
    </w:p>
    <w:p w:rsidR="00883299" w:rsidP="00883299" w14:paraId="26CB7646" w14:textId="77777777">
      <w:pPr>
        <w:pStyle w:val="ParaNum"/>
      </w:pPr>
      <w:r w:rsidRPr="00600313">
        <w:t>We deny the Petition</w:t>
      </w:r>
      <w:r>
        <w:t xml:space="preserve"> in part</w:t>
      </w:r>
      <w:r w:rsidRPr="00600313">
        <w:t xml:space="preserve"> because </w:t>
      </w:r>
      <w:r w:rsidRPr="00600313">
        <w:t>UETN</w:t>
      </w:r>
      <w:r w:rsidRPr="00600313">
        <w:t xml:space="preserve"> fails to present any argument warranting </w:t>
      </w:r>
      <w:r>
        <w:t xml:space="preserve">reversal </w:t>
      </w:r>
      <w:r w:rsidRPr="00600313">
        <w:t xml:space="preserve">of </w:t>
      </w:r>
      <w:r>
        <w:t xml:space="preserve">our </w:t>
      </w:r>
      <w:r w:rsidRPr="00600313">
        <w:t>prior decision</w:t>
      </w:r>
      <w:r>
        <w:t xml:space="preserve"> regarding the proper interpretation of our rules</w:t>
      </w:r>
      <w:r w:rsidRPr="00600313">
        <w:t xml:space="preserve">.  </w:t>
      </w:r>
      <w:r w:rsidRPr="00600313">
        <w:t>UETN</w:t>
      </w:r>
      <w:r w:rsidRPr="00600313">
        <w:t xml:space="preserve"> principally bases its reconsideration request on the argument</w:t>
      </w:r>
      <w:r>
        <w:t xml:space="preserve"> that the rule is unclear as what an “approved” contract is for purposes of the E-Rate master contracts competitive bidding exemption, which in turn leaves applicants such as </w:t>
      </w:r>
      <w:r>
        <w:t>UETN</w:t>
      </w:r>
      <w:r>
        <w:t xml:space="preserve"> to “draw their own conclusions” as to how they are to satisfy the exemption’s requirements.</w:t>
      </w:r>
      <w:r>
        <w:rPr>
          <w:rStyle w:val="FootnoteReference"/>
        </w:rPr>
        <w:footnoteReference w:id="22"/>
      </w:r>
      <w:r>
        <w:t xml:space="preserve">  We disagree that the language of the controlling rule reasonably can be interpreted in a </w:t>
      </w:r>
      <w:r>
        <w:t xml:space="preserve">manner that would render </w:t>
      </w:r>
      <w:r>
        <w:t>UETN</w:t>
      </w:r>
      <w:r>
        <w:t xml:space="preserve"> compliant.  Section 54.642(h)(5) requires that the contract must be “approved in the schools and libraries universal service support program as a master contract” to exempt an applicant from the Healthcare Connect Fund competitive bidding requirements in section 54.642.</w:t>
      </w:r>
      <w:r>
        <w:rPr>
          <w:rStyle w:val="FootnoteReference"/>
        </w:rPr>
        <w:footnoteReference w:id="23"/>
      </w:r>
      <w:r>
        <w:t xml:space="preserve">  In turn, section 54.643(a)(4) requires that at the time a funding request is submitted, the applicant must “submit relevant documentation to allow the administrator to verify that the applicant is eligible for the claimed exception” from competitive bidding requirements under the Healthcare Connect Fund program.</w:t>
      </w:r>
      <w:r>
        <w:rPr>
          <w:rStyle w:val="FootnoteReference"/>
        </w:rPr>
        <w:footnoteReference w:id="24"/>
      </w:r>
      <w:r>
        <w:t xml:space="preserve">  As the “is eligible” wording establishes, the criteria of the competitive bidding exception must already be met at the time the applicant files the support request and accompanying documentation.  This interpretation comports with the </w:t>
      </w:r>
      <w:r>
        <w:rPr>
          <w:i/>
          <w:iCs/>
        </w:rPr>
        <w:t>Healthcare Connect Fund Order</w:t>
      </w:r>
      <w:r>
        <w:t xml:space="preserve"> itself, which explained that an applicant “utilizing this exemption must submit documentation with its request for funding that demonstrates that . . . the consortium contract was approved as a master contract in the E-rate program.”</w:t>
      </w:r>
      <w:r>
        <w:rPr>
          <w:rStyle w:val="FootnoteReference"/>
        </w:rPr>
        <w:footnoteReference w:id="25"/>
      </w:r>
      <w:r>
        <w:t xml:space="preserve">  It therefore follows that a master contract must be “approved in the schools and libraries universal service program as a master contract” by the time the request for Healthcare Connect Fund support is filed in order for the applicant to be exempt from the competitive bidding requirements under the Healthcare Connect Fund rules.  </w:t>
      </w:r>
    </w:p>
    <w:p w:rsidR="00883299" w:rsidP="00883299" w14:paraId="66851559" w14:textId="77777777">
      <w:pPr>
        <w:pStyle w:val="ParaNum"/>
        <w:widowControl/>
      </w:pPr>
      <w:r>
        <w:t xml:space="preserve">In addition, section 54.642(h)(5) is most reasonably read as requiring prior approval in the form of an E-Rate funding commitment decision letter issued by </w:t>
      </w:r>
      <w:r>
        <w:t>USAC’s</w:t>
      </w:r>
      <w:r>
        <w:t xml:space="preserve"> Schools and Libraries Division for a funding request relying on the master contracts exemption.</w:t>
      </w:r>
      <w:r>
        <w:rPr>
          <w:rStyle w:val="FootnoteReference"/>
        </w:rPr>
        <w:footnoteReference w:id="26"/>
      </w:r>
      <w:r>
        <w:t xml:space="preserve">  Section 54.642(h)(5) states that the relevant contract must be “approved in the schools and libraries universal service support program,” indicating that the meaning of that language should be understood by reference to the E-Rate rules.  Under those rules, applicants “must conduct a fair and open competitive bidding process” consistent with requirements set forth in Subpart 54.5 of the Commission’s rules.</w:t>
      </w:r>
      <w:r>
        <w:rPr>
          <w:rStyle w:val="FootnoteReference"/>
        </w:rPr>
        <w:footnoteReference w:id="27"/>
      </w:r>
      <w:r>
        <w:t xml:space="preserve">  </w:t>
      </w:r>
      <w:r>
        <w:rPr>
          <w:szCs w:val="22"/>
        </w:rPr>
        <w:t xml:space="preserve">After </w:t>
      </w:r>
      <w:r w:rsidRPr="007100B7">
        <w:rPr>
          <w:szCs w:val="22"/>
        </w:rPr>
        <w:t>select</w:t>
      </w:r>
      <w:r>
        <w:rPr>
          <w:szCs w:val="22"/>
        </w:rPr>
        <w:t>ing</w:t>
      </w:r>
      <w:r w:rsidRPr="007100B7">
        <w:rPr>
          <w:szCs w:val="22"/>
        </w:rPr>
        <w:t xml:space="preserve"> the</w:t>
      </w:r>
      <w:r>
        <w:t xml:space="preserve"> </w:t>
      </w:r>
      <w:r w:rsidRPr="007100B7">
        <w:rPr>
          <w:szCs w:val="22"/>
        </w:rPr>
        <w:t>most cost-effective service offering</w:t>
      </w:r>
      <w:r>
        <w:rPr>
          <w:szCs w:val="22"/>
        </w:rPr>
        <w:t xml:space="preserve"> at the conclusion of the process</w:t>
      </w:r>
      <w:r>
        <w:t xml:space="preserve">, applicants then must submit an FCC Form 471 to </w:t>
      </w:r>
      <w:r>
        <w:t>USAC</w:t>
      </w:r>
      <w:r>
        <w:t xml:space="preserve"> detailing information about the applicants and the contracted-for services, certifying compliance with applicable E-Rate program requirements—including those designed to ensure fair and open competitive bidding processes—among other things.</w:t>
      </w:r>
      <w:r>
        <w:rPr>
          <w:rStyle w:val="FootnoteReference"/>
        </w:rPr>
        <w:footnoteReference w:id="28"/>
      </w:r>
      <w:r>
        <w:t xml:space="preserve">  As is the case with all universal service programs, </w:t>
      </w:r>
      <w:r>
        <w:t>USAC</w:t>
      </w:r>
      <w:r>
        <w:t xml:space="preserve"> must employ procedures “to verify [E-Rate] discounts . . . and support amounts,”</w:t>
      </w:r>
      <w:r>
        <w:rPr>
          <w:rStyle w:val="FootnoteReference"/>
        </w:rPr>
        <w:footnoteReference w:id="29"/>
      </w:r>
      <w:r>
        <w:t xml:space="preserve"> culminating in a funding commitment decision letter where support is justified.</w:t>
      </w:r>
      <w:r>
        <w:rPr>
          <w:rStyle w:val="FootnoteReference"/>
        </w:rPr>
        <w:footnoteReference w:id="30"/>
      </w:r>
      <w:r>
        <w:t xml:space="preserve">  The issuance of a funding commitment decision letter provides a clear signal to applicants that the master contract is “approved” under the E-Rate program for purposes of section 54.642(h)(5).</w:t>
      </w:r>
      <w:r>
        <w:rPr>
          <w:rStyle w:val="FootnoteReference"/>
        </w:rPr>
        <w:footnoteReference w:id="31"/>
      </w:r>
    </w:p>
    <w:p w:rsidR="00883299" w:rsidP="00883299" w14:paraId="1A90E0D5" w14:textId="77777777">
      <w:pPr>
        <w:pStyle w:val="ParaNum"/>
      </w:pPr>
      <w:r>
        <w:t xml:space="preserve">We disagree with </w:t>
      </w:r>
      <w:r>
        <w:t>UETN’s</w:t>
      </w:r>
      <w:r>
        <w:t xml:space="preserve"> contention that E-Rate master contracts are not “approved” by </w:t>
      </w:r>
      <w:r>
        <w:t>USAC</w:t>
      </w:r>
      <w:r>
        <w:t xml:space="preserve">, and that </w:t>
      </w:r>
      <w:r>
        <w:t>USAC</w:t>
      </w:r>
      <w:r>
        <w:t xml:space="preserve"> “merely ensures there was a signed contract before the application was submitted.”</w:t>
      </w:r>
      <w:r>
        <w:rPr>
          <w:rStyle w:val="FootnoteReference"/>
        </w:rPr>
        <w:footnoteReference w:id="32"/>
      </w:r>
      <w:r>
        <w:t xml:space="preserve">  This argument overlooks the critical role of </w:t>
      </w:r>
      <w:r>
        <w:t>USAC’s</w:t>
      </w:r>
      <w:r>
        <w:t xml:space="preserve"> issuance of funding commitment decision letters discussed above.  </w:t>
      </w:r>
      <w:r>
        <w:t>UETN’s</w:t>
      </w:r>
      <w:r>
        <w:t xml:space="preserve"> position also neglects the fact that Commission orders commonly have referred to </w:t>
      </w:r>
      <w:r>
        <w:t>USAC’s</w:t>
      </w:r>
      <w:r>
        <w:t xml:space="preserve"> role in the E-Rate process, described above, in terms of “</w:t>
      </w:r>
      <w:r>
        <w:t>approv</w:t>
      </w:r>
      <w:r>
        <w:t>[al]” of the funding requests premised on competitively-bid contracts.</w:t>
      </w:r>
      <w:r>
        <w:rPr>
          <w:rStyle w:val="FootnoteReference"/>
        </w:rPr>
        <w:footnoteReference w:id="33"/>
      </w:r>
      <w:r>
        <w:t xml:space="preserve">  Significantly, </w:t>
      </w:r>
      <w:r>
        <w:t>USAC’s</w:t>
      </w:r>
      <w:r>
        <w:t xml:space="preserve"> role also entails more than a mere administrative check, instead embodying key safeguards and protections including for ensuring the validity of competitive bidding.  The fact that the Commission has adopted detailed rules governing the competitive bidding process in both the E-Rate and Healthcare Connect Fund contexts demonstrates that it would not simply assume that its fiscal responsibility and cost effectiveness goals would be protected absent such measures.  Yet unless “approved” in section 54.642(h)(5) were interpreted to mean approval by </w:t>
      </w:r>
      <w:r>
        <w:t>USAC</w:t>
      </w:r>
      <w:r>
        <w:t xml:space="preserve"> through the culmination of the regulatory process established under the E-Rate rules—</w:t>
      </w:r>
      <w:r w:rsidRPr="00A733E9">
        <w:rPr>
          <w:i/>
          <w:iCs/>
        </w:rPr>
        <w:t>i.e</w:t>
      </w:r>
      <w:r>
        <w:t xml:space="preserve">., issuance of a funding commitment decision letter—those protections would be missing in the case of contracts like </w:t>
      </w:r>
      <w:r>
        <w:t>UETN’s</w:t>
      </w:r>
      <w:r>
        <w:t>.</w:t>
      </w:r>
      <w:r>
        <w:rPr>
          <w:rStyle w:val="FootnoteReference"/>
        </w:rPr>
        <w:footnoteReference w:id="34"/>
      </w:r>
      <w:r>
        <w:t xml:space="preserve">  </w:t>
      </w:r>
      <w:r>
        <w:t>USAC</w:t>
      </w:r>
      <w:r>
        <w:t xml:space="preserve"> therefore properly applied our Healthcare Connect Fund rules when it denied </w:t>
      </w:r>
      <w:r>
        <w:t>UETN’s</w:t>
      </w:r>
      <w:r>
        <w:t xml:space="preserve"> funding requests because the necessary master contract approvals from </w:t>
      </w:r>
      <w:r>
        <w:t>USAC</w:t>
      </w:r>
      <w:r>
        <w:t xml:space="preserve">—in the form of funding commitment decision letters relating to each of those contracts—came after </w:t>
      </w:r>
      <w:r>
        <w:t>UETN’s</w:t>
      </w:r>
      <w:r>
        <w:t xml:space="preserve"> funding requests were submitted.</w:t>
      </w:r>
      <w:r>
        <w:rPr>
          <w:rStyle w:val="FootnoteReference"/>
        </w:rPr>
        <w:footnoteReference w:id="35"/>
      </w:r>
      <w:r>
        <w:t xml:space="preserve">  Because </w:t>
      </w:r>
      <w:r>
        <w:t>UETN</w:t>
      </w:r>
      <w:r>
        <w:t xml:space="preserve"> offers nothing persuasive to contradict that conclusion or offer any plausible alternative interpretation of the master contract approval requirement, we deny this aspect of the Petition.</w:t>
      </w:r>
      <w:r>
        <w:rPr>
          <w:rStyle w:val="FootnoteReference"/>
        </w:rPr>
        <w:footnoteReference w:id="36"/>
      </w:r>
      <w:r>
        <w:t xml:space="preserve">  </w:t>
      </w:r>
    </w:p>
    <w:p w:rsidR="00883299" w:rsidP="00883299" w14:paraId="430E1BA1" w14:textId="77777777">
      <w:pPr>
        <w:pStyle w:val="ParaNum"/>
      </w:pPr>
      <w:r>
        <w:t xml:space="preserve">Although we determine that there is no basis to overturn our prior decision upholding </w:t>
      </w:r>
      <w:r>
        <w:t>USAC’s</w:t>
      </w:r>
      <w:r>
        <w:t xml:space="preserve"> funding denial, upon re-examination of the record, we conclude that it is appropriate to grant </w:t>
      </w:r>
      <w:r>
        <w:t>UETN’s</w:t>
      </w:r>
      <w:r>
        <w:t xml:space="preserve"> waiver request.  The Commission’s rules may be waived for good cause shown.</w:t>
      </w:r>
      <w:r>
        <w:rPr>
          <w:rStyle w:val="FootnoteReference"/>
        </w:rPr>
        <w:footnoteReference w:id="37"/>
      </w:r>
      <w:r>
        <w:t xml:space="preserve">  The Commission may exercise its discretion to waive a rule where the particular facts make strict compliance inconsistent with the public interest.</w:t>
      </w:r>
      <w:r>
        <w:rPr>
          <w:rStyle w:val="FootnoteReference"/>
        </w:rPr>
        <w:footnoteReference w:id="38"/>
      </w:r>
      <w:r>
        <w:t xml:space="preserve">  In addition, the Commission may take into account considerations of hardship, equity, or more effective implementation of overall policy on an individual basis.</w:t>
      </w:r>
      <w:r>
        <w:rPr>
          <w:rStyle w:val="FootnoteReference"/>
        </w:rPr>
        <w:footnoteReference w:id="39"/>
      </w:r>
      <w:r>
        <w:t xml:space="preserve">  Waiver of the Commission’s rules is appropriate if both (i) special circumstances warrant a deviation from the general rule, and (ii) such deviation will serve the public interest.</w:t>
      </w:r>
      <w:r>
        <w:rPr>
          <w:rStyle w:val="FootnoteReference"/>
        </w:rPr>
        <w:footnoteReference w:id="40"/>
      </w:r>
      <w:r>
        <w:t xml:space="preserve">  We conclude that it is appropriate to waive the competitive bidding requirements as they apply to </w:t>
      </w:r>
      <w:r>
        <w:t>UETN</w:t>
      </w:r>
      <w:r>
        <w:t xml:space="preserve"> in this particular case because strict application of section 54.642(h)(5) would not be consistent with the public interest or further the policy goals of the master contracts competitive bidding exemption.  </w:t>
      </w:r>
    </w:p>
    <w:p w:rsidR="00883299" w:rsidP="00883299" w14:paraId="0F46B793" w14:textId="77777777">
      <w:pPr>
        <w:pStyle w:val="ParaNum"/>
      </w:pPr>
      <w:r>
        <w:t xml:space="preserve">The issues raised in this case are a consequence of timing.  </w:t>
      </w:r>
      <w:r>
        <w:t>UETN</w:t>
      </w:r>
      <w:r>
        <w:t xml:space="preserve"> submitted contracts prior to those contracts </w:t>
      </w:r>
      <w:r>
        <w:t>actually receiving</w:t>
      </w:r>
      <w:r>
        <w:t xml:space="preserve"> approval in the form of funding commitments.  </w:t>
      </w:r>
      <w:r>
        <w:t>UETN</w:t>
      </w:r>
      <w:r>
        <w:t xml:space="preserve"> argues that waiver is appropriate because the timing could have been different, in that </w:t>
      </w:r>
      <w:r>
        <w:t>USAC</w:t>
      </w:r>
      <w:r>
        <w:t xml:space="preserve"> could have waited until the E-Rate funding commitments were issued before considering </w:t>
      </w:r>
      <w:r>
        <w:t>UETN’s</w:t>
      </w:r>
      <w:r>
        <w:t xml:space="preserve"> funding requests.</w:t>
      </w:r>
      <w:r>
        <w:rPr>
          <w:rStyle w:val="FootnoteReference"/>
        </w:rPr>
        <w:footnoteReference w:id="41"/>
      </w:r>
      <w:r>
        <w:t xml:space="preserve">  </w:t>
      </w:r>
      <w:r>
        <w:t>UETN</w:t>
      </w:r>
      <w:r>
        <w:t xml:space="preserve"> also maintains that </w:t>
      </w:r>
      <w:r>
        <w:t>USAC</w:t>
      </w:r>
      <w:r>
        <w:t xml:space="preserve"> could have granted the funding requests at the appeal stage because all seven E-Rate funding commitments had been issued prior to </w:t>
      </w:r>
      <w:r>
        <w:t>USAC’s</w:t>
      </w:r>
      <w:r>
        <w:t xml:space="preserve"> decision denying the appeal.</w:t>
      </w:r>
      <w:r>
        <w:rPr>
          <w:rStyle w:val="FootnoteReference"/>
        </w:rPr>
        <w:footnoteReference w:id="42"/>
      </w:r>
      <w:r>
        <w:t xml:space="preserve">  While we conclude that </w:t>
      </w:r>
      <w:r>
        <w:t>USAC</w:t>
      </w:r>
      <w:r>
        <w:t xml:space="preserve"> acted properly by not ignoring the actual timing sequence when applying the requirements of section 54.642(h)(5), we are now persuaded that those requirements should be waived in this instance.  We agree with </w:t>
      </w:r>
      <w:r>
        <w:t>UETN</w:t>
      </w:r>
      <w:r>
        <w:t xml:space="preserve"> that denying its funding requests </w:t>
      </w:r>
      <w:r>
        <w:t>on the basis of</w:t>
      </w:r>
      <w:r>
        <w:t xml:space="preserve"> prematurely filed, but ultimately approved, contracts would run counter to the policy goals of cost-effectiveness and consortium facilitation announced in the order adopting the master contracts competitive bidding exemption.</w:t>
      </w:r>
      <w:r>
        <w:rPr>
          <w:rStyle w:val="FootnoteReference"/>
        </w:rPr>
        <w:footnoteReference w:id="43"/>
      </w:r>
      <w:r>
        <w:t xml:space="preserve">  These goals serve the public interest by saving universal service funds through the lower contract prices often associated with consortia bulk-buying.</w:t>
      </w:r>
      <w:r>
        <w:rPr>
          <w:rStyle w:val="FootnoteReference"/>
        </w:rPr>
        <w:footnoteReference w:id="44"/>
      </w:r>
      <w:r>
        <w:t xml:space="preserve">  </w:t>
      </w:r>
    </w:p>
    <w:p w:rsidR="00883299" w:rsidP="00883299" w14:paraId="26FD2BD7" w14:textId="77777777">
      <w:pPr>
        <w:pStyle w:val="ParaNum"/>
      </w:pPr>
      <w:r>
        <w:t xml:space="preserve">Waiver in this case is also supported by the special circumstances involving </w:t>
      </w:r>
      <w:r>
        <w:t>UETN’s</w:t>
      </w:r>
      <w:r>
        <w:t xml:space="preserve"> position.  The E-Rate Program ultimately approved the master contracts that </w:t>
      </w:r>
      <w:r>
        <w:t>UETN</w:t>
      </w:r>
      <w:r>
        <w:t xml:space="preserve"> relied upon, which means that the contracts were deemed to be competitively bid.  Had such approval not be granted, </w:t>
      </w:r>
      <w:r>
        <w:t>UETN’s</w:t>
      </w:r>
      <w:r>
        <w:t xml:space="preserve"> reliance on the master contracts exemption would be misplaced and </w:t>
      </w:r>
      <w:r>
        <w:t>UETN</w:t>
      </w:r>
      <w:r>
        <w:t xml:space="preserve"> would be compelled to undergo competitive bidding to ensure that it was aware of cost-effective alternatives to the master contracts.  But that is not the case here.  Under </w:t>
      </w:r>
      <w:r>
        <w:t>UETN’s</w:t>
      </w:r>
      <w:r>
        <w:t xml:space="preserve"> circumstances, a deviation from the general rule is warranted because the competitive bidding requirement, and the public interest benefits derived therefrom, were met, albeit after </w:t>
      </w:r>
      <w:r>
        <w:t>UETN</w:t>
      </w:r>
      <w:r>
        <w:t xml:space="preserve"> filed its funding requests.  We also note that the record includes no evidence of waste, fraud, or abuse on the part of </w:t>
      </w:r>
      <w:r>
        <w:t>UETN</w:t>
      </w:r>
      <w:r>
        <w:t>.</w:t>
      </w:r>
      <w:r>
        <w:rPr>
          <w:rStyle w:val="FootnoteReference"/>
        </w:rPr>
        <w:footnoteReference w:id="45"/>
      </w:r>
      <w:r>
        <w:t xml:space="preserve">  Accordingly, under this set of facts, we find </w:t>
      </w:r>
      <w:r>
        <w:t>that a limited waiver of section 54.642(a) of the Commission’s rules, which requires applicants to engage in competitive bidding unless one or more of the competitive bidding exemptions applies, is warranted.</w:t>
      </w:r>
      <w:r>
        <w:rPr>
          <w:rStyle w:val="FootnoteReference"/>
        </w:rPr>
        <w:footnoteReference w:id="46"/>
      </w:r>
    </w:p>
    <w:p w:rsidR="00883299" w:rsidP="00883299" w14:paraId="59879BBD" w14:textId="77777777">
      <w:pPr>
        <w:pStyle w:val="ParaNum"/>
      </w:pPr>
      <w:r>
        <w:t>We emphasize that the waiver we grant today does not constitute Commission or Bureau approval for RHC Program applicants to disregard the requirement that the master contracts competitive bidding exemption only applies in the case of approved contracts, with approval requiring an E-Rate Program funding commitment.</w:t>
      </w:r>
      <w:r>
        <w:rPr>
          <w:rStyle w:val="FootnoteReference"/>
        </w:rPr>
        <w:footnoteReference w:id="47"/>
      </w:r>
      <w:r>
        <w:t xml:space="preserve">  Such disregard for the rule puts applicants at risk of missing out on RHC Program support if they file funding requests invoking this exemption when E-Rate funding requests citing to a common master contract are still pending because it is no guarantee that the E-Rate funding requests will be approved.  Even if the E-Rate funding requests are approved, it is possible that they will have been approved after the deadline has lapsed for the RHC Program applicant to file a request for waiver for its RHC Program funding request</w:t>
      </w:r>
      <w:r>
        <w:rPr>
          <w:rStyle w:val="FootnoteReference"/>
        </w:rPr>
        <w:footnoteReference w:id="48"/>
      </w:r>
      <w:r>
        <w:t xml:space="preserve">  We expect RHC Program applicants to submit funding requests in compliance with this requirement and for </w:t>
      </w:r>
      <w:r>
        <w:t>USAC</w:t>
      </w:r>
      <w:r>
        <w:t xml:space="preserve"> to continue to apply the competitive bidding exemption requirements strictly.  </w:t>
      </w:r>
    </w:p>
    <w:p w:rsidR="00883299" w:rsidP="00883299" w14:paraId="00E3F8E1" w14:textId="1F46B27C">
      <w:pPr>
        <w:pStyle w:val="Heading1"/>
      </w:pPr>
      <w:r>
        <w:t>Ordering Clauses</w:t>
      </w:r>
    </w:p>
    <w:p w:rsidR="00883299" w:rsidP="00883299" w14:paraId="2025A3A4" w14:textId="77777777">
      <w:pPr>
        <w:pStyle w:val="ParaNum"/>
      </w:pPr>
      <w:r>
        <w:t>ACCORDINGLY, IT IS ORDERED that, pursuant to the authority contained in sections 1-4 and 254 of the Communications Act of 1934, as amended, 47 U.S.C. §§ 151-154 and 254, and sections 0.91, 0.291, and 1.106 of the Commission’s rules, 47 CFR §§ 0.91, 0.291, and1.106, that the Petition for Reconsideration filed by Utah Education and Telehealth Network IS GRANTED IN PART and DENIED IN PART to the extent provided herein.</w:t>
      </w:r>
    </w:p>
    <w:p w:rsidR="00883299" w:rsidP="00883299" w14:paraId="5F037C41" w14:textId="77777777">
      <w:pPr>
        <w:pStyle w:val="ParaNum"/>
      </w:pPr>
      <w:r>
        <w:t>IT IS FURTHER ORDERED, pursuant to the authority contained in sections 1-4 and 254 of the Communications Act of 1934, as amended, 47 U.S.C. §§ 151-154 and 254, and sections 0.91, 0.291, 1.3, and 54.722(a) of the Commission’s rules, 47 CFR §§ 0.91, 0.291, 1.3, and 54.722(a), section 54.642(a) of the Commission’s rules, 47 CFR § 54.642(a), IS WAIVED to the extent described herein.</w:t>
      </w:r>
    </w:p>
    <w:p w:rsidR="00883299" w:rsidP="00883299" w14:paraId="23C2B3DD" w14:textId="77777777">
      <w:pPr>
        <w:pStyle w:val="ParaNum"/>
      </w:pPr>
      <w:r>
        <w:t xml:space="preserve">IT IS FURTHER ORDERED, pursuant to the authority contained in sections 1-4 and 254 of the Communications Act of 1934, as amended, 47 U.S.C. §§ 151-154 and 254, and sections 0.91, 0.291, 1.3, and 54.722(a) of the Commission’s rules, 47 CFR §§ 0.91, 0.291, 1.3, and 54.722(a), that the denied applications identified in Appendix A ARE REMANDED to </w:t>
      </w:r>
      <w:r>
        <w:t>USAC</w:t>
      </w:r>
      <w:r>
        <w:t xml:space="preserve"> for further action in accordance with the terms of this Order on Reconsideration.</w:t>
      </w:r>
    </w:p>
    <w:p w:rsidR="00883299" w:rsidP="00DB521F" w14:paraId="74A7A066" w14:textId="2DAAD3D2">
      <w:pPr>
        <w:pStyle w:val="ParaNum"/>
        <w:pageBreakBefore/>
      </w:pPr>
      <w:r>
        <w:t>IT IS FURTHER ORDERED that, pursuant to the authority delegated in section 1.102(b)(1) of the Commission’s rules, 47 C.F.R. § 1.102(b)(1), this order SHALL BE EFFECTIVE upon release.</w:t>
      </w:r>
      <w:r w:rsidR="00DB521F">
        <w:t xml:space="preserve">  </w:t>
      </w:r>
    </w:p>
    <w:p w:rsidR="00DB521F" w:rsidP="0017296B" w14:paraId="76B55D3F" w14:textId="77777777"/>
    <w:p w:rsidR="00DB521F" w:rsidP="0017296B" w14:paraId="41AAF185" w14:textId="77777777"/>
    <w:p w:rsidR="00DB521F" w:rsidP="0017296B" w14:paraId="39BAC72F" w14:textId="26C72A35">
      <w:r>
        <w:tab/>
      </w:r>
      <w:r>
        <w:tab/>
      </w:r>
      <w:r>
        <w:tab/>
      </w:r>
      <w:r>
        <w:tab/>
      </w:r>
      <w:r>
        <w:tab/>
      </w:r>
      <w:r>
        <w:tab/>
        <w:t>FEDERAL COMMUNICATIONS COMMISSION</w:t>
      </w:r>
    </w:p>
    <w:p w:rsidR="00DB521F" w:rsidP="0017296B" w14:paraId="4D783B14" w14:textId="77777777"/>
    <w:p w:rsidR="00DB521F" w:rsidP="0017296B" w14:paraId="187F426A" w14:textId="77777777"/>
    <w:p w:rsidR="00DB521F" w:rsidP="0017296B" w14:paraId="65238F4F" w14:textId="77777777"/>
    <w:p w:rsidR="00DB521F" w:rsidP="0017296B" w14:paraId="203DA963" w14:textId="77777777"/>
    <w:p w:rsidR="00DB521F" w:rsidP="0017296B" w14:paraId="7897ECB7" w14:textId="68B52709">
      <w:r>
        <w:tab/>
      </w:r>
      <w:r>
        <w:tab/>
      </w:r>
      <w:r>
        <w:tab/>
      </w:r>
      <w:r>
        <w:tab/>
      </w:r>
      <w:r>
        <w:tab/>
      </w:r>
      <w:r>
        <w:tab/>
        <w:t>Ryan B. Palmer</w:t>
      </w:r>
    </w:p>
    <w:p w:rsidR="00DB521F" w:rsidRPr="00DB521F" w:rsidP="00DB521F" w14:paraId="020C2966" w14:textId="77777777">
      <w:r>
        <w:tab/>
      </w:r>
      <w:r>
        <w:tab/>
      </w:r>
      <w:r>
        <w:tab/>
      </w:r>
      <w:r>
        <w:tab/>
      </w:r>
      <w:r>
        <w:tab/>
      </w:r>
      <w:r>
        <w:tab/>
      </w:r>
      <w:r w:rsidRPr="00DB521F">
        <w:t>Chief, Telecommunications Access Policy Division</w:t>
      </w:r>
    </w:p>
    <w:p w:rsidR="00DB521F" w:rsidP="0017296B" w14:paraId="7F8B6474" w14:textId="08397625">
      <w:r>
        <w:tab/>
      </w:r>
      <w:r>
        <w:tab/>
      </w:r>
      <w:r>
        <w:tab/>
      </w:r>
      <w:r>
        <w:tab/>
      </w:r>
      <w:r>
        <w:tab/>
      </w:r>
      <w:r>
        <w:tab/>
        <w:t>Wireline Competition Bureau</w:t>
      </w:r>
    </w:p>
    <w:p w:rsidR="00DB521F" w:rsidP="0017296B" w14:paraId="1F7616A0" w14:textId="77777777"/>
    <w:p w:rsidR="00DB521F" w:rsidP="00DB521F" w14:paraId="7CF890F4" w14:textId="77777777">
      <w:pPr>
        <w:pStyle w:val="ParaNum"/>
        <w:widowControl/>
        <w:numPr>
          <w:ilvl w:val="0"/>
          <w:numId w:val="0"/>
        </w:numPr>
        <w:spacing w:after="0"/>
        <w:ind w:firstLine="720"/>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pPr>
    </w:p>
    <w:p w:rsidR="00DB521F" w:rsidRPr="00DB521F" w:rsidP="00DB521F" w14:paraId="0135E943" w14:textId="7AC745CE">
      <w:pPr>
        <w:pStyle w:val="ParaNum"/>
        <w:numPr>
          <w:ilvl w:val="0"/>
          <w:numId w:val="0"/>
        </w:numPr>
        <w:jc w:val="center"/>
        <w:rPr>
          <w:b/>
          <w:bCs/>
        </w:rPr>
      </w:pPr>
      <w:r w:rsidRPr="00DB521F">
        <w:rPr>
          <w:b/>
          <w:bCs/>
        </w:rPr>
        <w:t>APPENDIX A</w:t>
      </w:r>
    </w:p>
    <w:p w:rsidR="00DB521F" w:rsidP="00DB521F" w14:paraId="0C4252EF" w14:textId="4A06CCB0">
      <w:pPr>
        <w:pStyle w:val="ParaNum"/>
        <w:numPr>
          <w:ilvl w:val="0"/>
          <w:numId w:val="0"/>
        </w:numPr>
        <w:spacing w:after="0"/>
        <w:jc w:val="center"/>
        <w:rPr>
          <w:b/>
          <w:bCs/>
        </w:rPr>
      </w:pPr>
      <w:r>
        <w:rPr>
          <w:b/>
          <w:bCs/>
        </w:rPr>
        <w:t xml:space="preserve">List of </w:t>
      </w:r>
      <w:r>
        <w:rPr>
          <w:b/>
          <w:bCs/>
        </w:rPr>
        <w:t>UETN</w:t>
      </w:r>
      <w:r>
        <w:rPr>
          <w:b/>
          <w:bCs/>
        </w:rPr>
        <w:t xml:space="preserve"> </w:t>
      </w:r>
      <w:r>
        <w:rPr>
          <w:b/>
          <w:bCs/>
        </w:rPr>
        <w:t>FRNs</w:t>
      </w:r>
      <w:r>
        <w:rPr>
          <w:b/>
          <w:bCs/>
        </w:rPr>
        <w:t xml:space="preserve"> Claiming Approved E-Rate Master Contracts Competitive Bidding Exemption</w:t>
      </w:r>
    </w:p>
    <w:p w:rsidR="00DB521F" w:rsidP="00DB521F" w14:paraId="01E75555" w14:textId="77777777">
      <w:pPr>
        <w:pStyle w:val="ParaNum"/>
        <w:numPr>
          <w:ilvl w:val="0"/>
          <w:numId w:val="0"/>
        </w:num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479"/>
        <w:gridCol w:w="2880"/>
      </w:tblGrid>
      <w:tr w14:paraId="7F188905" w14:textId="77777777" w:rsidTr="00DB521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96" w:type="dxa"/>
            <w:shd w:val="clear" w:color="auto" w:fill="auto"/>
          </w:tcPr>
          <w:p w:rsidR="00DB521F" w:rsidRPr="00DB521F" w:rsidP="00DB521F" w14:paraId="7587CAA6" w14:textId="77777777">
            <w:pPr>
              <w:pStyle w:val="ParaNum"/>
              <w:numPr>
                <w:ilvl w:val="0"/>
                <w:numId w:val="0"/>
              </w:numPr>
              <w:spacing w:after="0"/>
              <w:jc w:val="center"/>
              <w:rPr>
                <w:b/>
                <w:bCs/>
              </w:rPr>
            </w:pPr>
            <w:r w:rsidRPr="00DB521F">
              <w:rPr>
                <w:b/>
                <w:bCs/>
              </w:rPr>
              <w:t>FRN</w:t>
            </w:r>
          </w:p>
        </w:tc>
        <w:tc>
          <w:tcPr>
            <w:tcW w:w="4479" w:type="dxa"/>
            <w:shd w:val="clear" w:color="auto" w:fill="auto"/>
          </w:tcPr>
          <w:p w:rsidR="00DB521F" w:rsidRPr="00DB521F" w:rsidP="00DB521F" w14:paraId="757642E1" w14:textId="77777777">
            <w:pPr>
              <w:pStyle w:val="ParaNum"/>
              <w:numPr>
                <w:ilvl w:val="0"/>
                <w:numId w:val="0"/>
              </w:numPr>
              <w:spacing w:after="0"/>
              <w:jc w:val="center"/>
              <w:rPr>
                <w:b/>
                <w:bCs/>
              </w:rPr>
            </w:pPr>
            <w:r w:rsidRPr="00DB521F">
              <w:rPr>
                <w:b/>
                <w:bCs/>
              </w:rPr>
              <w:t>Service Provider</w:t>
            </w:r>
          </w:p>
        </w:tc>
        <w:tc>
          <w:tcPr>
            <w:tcW w:w="2880" w:type="dxa"/>
            <w:shd w:val="clear" w:color="auto" w:fill="auto"/>
          </w:tcPr>
          <w:p w:rsidR="00DB521F" w:rsidRPr="00DB521F" w:rsidP="00DB521F" w14:paraId="54F0A640" w14:textId="77777777">
            <w:pPr>
              <w:pStyle w:val="ParaNum"/>
              <w:numPr>
                <w:ilvl w:val="0"/>
                <w:numId w:val="0"/>
              </w:numPr>
              <w:spacing w:after="0"/>
              <w:jc w:val="center"/>
              <w:rPr>
                <w:b/>
                <w:bCs/>
              </w:rPr>
            </w:pPr>
            <w:r w:rsidRPr="00DB521F">
              <w:rPr>
                <w:b/>
                <w:bCs/>
              </w:rPr>
              <w:t xml:space="preserve">E-Rate </w:t>
            </w:r>
            <w:r w:rsidRPr="00DB521F">
              <w:rPr>
                <w:b/>
                <w:bCs/>
              </w:rPr>
              <w:t>FRN</w:t>
            </w:r>
            <w:r w:rsidRPr="00DB521F">
              <w:rPr>
                <w:b/>
                <w:bCs/>
              </w:rPr>
              <w:t>/</w:t>
            </w:r>
          </w:p>
          <w:p w:rsidR="00DB521F" w:rsidRPr="00DB521F" w:rsidP="00DB521F" w14:paraId="2F26D079" w14:textId="77777777">
            <w:pPr>
              <w:pStyle w:val="ParaNum"/>
              <w:numPr>
                <w:ilvl w:val="0"/>
                <w:numId w:val="0"/>
              </w:numPr>
              <w:spacing w:after="0"/>
              <w:jc w:val="center"/>
              <w:rPr>
                <w:b/>
                <w:bCs/>
              </w:rPr>
            </w:pPr>
            <w:r w:rsidRPr="00DB521F">
              <w:rPr>
                <w:b/>
                <w:bCs/>
              </w:rPr>
              <w:t>Contract Approval Date</w:t>
            </w:r>
          </w:p>
        </w:tc>
      </w:tr>
      <w:tr w14:paraId="3C27AD5B" w14:textId="77777777" w:rsidTr="00DB521F">
        <w:tblPrEx>
          <w:tblW w:w="0" w:type="auto"/>
          <w:jc w:val="center"/>
          <w:tblLook w:val="04A0"/>
        </w:tblPrEx>
        <w:trPr>
          <w:jc w:val="center"/>
        </w:trPr>
        <w:tc>
          <w:tcPr>
            <w:tcW w:w="1096" w:type="dxa"/>
            <w:shd w:val="clear" w:color="auto" w:fill="auto"/>
          </w:tcPr>
          <w:p w:rsidR="00DB521F" w:rsidRPr="000E2EE8" w:rsidP="00DB521F" w14:paraId="6B4D8790" w14:textId="77777777">
            <w:pPr>
              <w:pStyle w:val="ParaNum"/>
              <w:numPr>
                <w:ilvl w:val="0"/>
                <w:numId w:val="0"/>
              </w:numPr>
              <w:spacing w:after="0"/>
              <w:jc w:val="center"/>
            </w:pPr>
            <w:r>
              <w:t>17267181</w:t>
            </w:r>
          </w:p>
        </w:tc>
        <w:tc>
          <w:tcPr>
            <w:tcW w:w="4479" w:type="dxa"/>
            <w:shd w:val="clear" w:color="auto" w:fill="auto"/>
          </w:tcPr>
          <w:p w:rsidR="00DB521F" w:rsidRPr="000E2EE8" w:rsidP="00DB521F" w14:paraId="18569E2B" w14:textId="77777777">
            <w:pPr>
              <w:pStyle w:val="ParaNum"/>
              <w:numPr>
                <w:ilvl w:val="0"/>
                <w:numId w:val="0"/>
              </w:numPr>
              <w:spacing w:after="0"/>
            </w:pPr>
            <w:r w:rsidRPr="000E2EE8">
              <w:t>All West Communications, Inc.</w:t>
            </w:r>
          </w:p>
        </w:tc>
        <w:tc>
          <w:tcPr>
            <w:tcW w:w="2880" w:type="dxa"/>
            <w:shd w:val="clear" w:color="auto" w:fill="auto"/>
          </w:tcPr>
          <w:p w:rsidR="00DB521F" w:rsidRPr="006A748C" w:rsidP="00DB521F" w14:paraId="4DFE9F07" w14:textId="77777777">
            <w:pPr>
              <w:pStyle w:val="ParaNum"/>
              <w:numPr>
                <w:ilvl w:val="0"/>
                <w:numId w:val="0"/>
              </w:numPr>
              <w:spacing w:after="0"/>
            </w:pPr>
            <w:r w:rsidRPr="006A748C">
              <w:t>1799076991 (Dec. 1, 2017)</w:t>
            </w:r>
          </w:p>
        </w:tc>
      </w:tr>
      <w:tr w14:paraId="1E689C57" w14:textId="77777777" w:rsidTr="00DB521F">
        <w:tblPrEx>
          <w:tblW w:w="0" w:type="auto"/>
          <w:jc w:val="center"/>
          <w:tblLook w:val="04A0"/>
        </w:tblPrEx>
        <w:trPr>
          <w:jc w:val="center"/>
        </w:trPr>
        <w:tc>
          <w:tcPr>
            <w:tcW w:w="1096" w:type="dxa"/>
            <w:shd w:val="clear" w:color="auto" w:fill="auto"/>
          </w:tcPr>
          <w:p w:rsidR="00DB521F" w:rsidRPr="000E2EE8" w:rsidP="00DB521F" w14:paraId="59323F6B" w14:textId="77777777">
            <w:pPr>
              <w:pStyle w:val="ParaNum"/>
              <w:numPr>
                <w:ilvl w:val="0"/>
                <w:numId w:val="0"/>
              </w:numPr>
              <w:spacing w:after="0"/>
              <w:jc w:val="center"/>
            </w:pPr>
            <w:r w:rsidRPr="000E2EE8">
              <w:t>17269321</w:t>
            </w:r>
          </w:p>
        </w:tc>
        <w:tc>
          <w:tcPr>
            <w:tcW w:w="4479" w:type="dxa"/>
            <w:shd w:val="clear" w:color="auto" w:fill="auto"/>
          </w:tcPr>
          <w:p w:rsidR="00DB521F" w:rsidRPr="000E2EE8" w:rsidP="00DB521F" w14:paraId="77B7D105" w14:textId="77777777">
            <w:pPr>
              <w:pStyle w:val="ParaNum"/>
              <w:numPr>
                <w:ilvl w:val="0"/>
                <w:numId w:val="0"/>
              </w:numPr>
              <w:spacing w:after="0"/>
            </w:pPr>
            <w:r w:rsidRPr="000E2EE8">
              <w:t>South Central Utah Telephone Association, Inc.</w:t>
            </w:r>
          </w:p>
        </w:tc>
        <w:tc>
          <w:tcPr>
            <w:tcW w:w="2880" w:type="dxa"/>
            <w:shd w:val="clear" w:color="auto" w:fill="auto"/>
          </w:tcPr>
          <w:p w:rsidR="00DB521F" w:rsidRPr="006A748C" w:rsidP="00DB521F" w14:paraId="61DAB542" w14:textId="77777777">
            <w:pPr>
              <w:pStyle w:val="ParaNum"/>
              <w:numPr>
                <w:ilvl w:val="0"/>
                <w:numId w:val="0"/>
              </w:numPr>
              <w:spacing w:after="0"/>
            </w:pPr>
            <w:r w:rsidRPr="006A748C">
              <w:t>1799067528 (Sept. 1, 2017)</w:t>
            </w:r>
          </w:p>
        </w:tc>
      </w:tr>
      <w:tr w14:paraId="0CD565B7" w14:textId="77777777" w:rsidTr="00DB521F">
        <w:tblPrEx>
          <w:tblW w:w="0" w:type="auto"/>
          <w:jc w:val="center"/>
          <w:tblLook w:val="04A0"/>
        </w:tblPrEx>
        <w:trPr>
          <w:jc w:val="center"/>
        </w:trPr>
        <w:tc>
          <w:tcPr>
            <w:tcW w:w="1096" w:type="dxa"/>
            <w:shd w:val="clear" w:color="auto" w:fill="auto"/>
          </w:tcPr>
          <w:p w:rsidR="00DB521F" w:rsidRPr="000E2EE8" w:rsidP="00DB521F" w14:paraId="2E4276A5" w14:textId="77777777">
            <w:pPr>
              <w:pStyle w:val="ParaNum"/>
              <w:numPr>
                <w:ilvl w:val="0"/>
                <w:numId w:val="0"/>
              </w:numPr>
              <w:spacing w:after="0"/>
              <w:jc w:val="center"/>
            </w:pPr>
            <w:r w:rsidRPr="000E2EE8">
              <w:t>17270941</w:t>
            </w:r>
          </w:p>
        </w:tc>
        <w:tc>
          <w:tcPr>
            <w:tcW w:w="4479" w:type="dxa"/>
            <w:shd w:val="clear" w:color="auto" w:fill="auto"/>
          </w:tcPr>
          <w:p w:rsidR="00DB521F" w:rsidRPr="000E2EE8" w:rsidP="00DB521F" w14:paraId="46CE64E5" w14:textId="77777777">
            <w:pPr>
              <w:pStyle w:val="ParaNum"/>
              <w:numPr>
                <w:ilvl w:val="0"/>
                <w:numId w:val="0"/>
              </w:numPr>
              <w:spacing w:after="0"/>
            </w:pPr>
            <w:r w:rsidRPr="000E2EE8">
              <w:t>CenturyLink Qwest Corporation</w:t>
            </w:r>
          </w:p>
        </w:tc>
        <w:tc>
          <w:tcPr>
            <w:tcW w:w="2880" w:type="dxa"/>
            <w:shd w:val="clear" w:color="auto" w:fill="auto"/>
          </w:tcPr>
          <w:p w:rsidR="00DB521F" w:rsidRPr="006A748C" w:rsidP="00DB521F" w14:paraId="77016D92" w14:textId="77777777">
            <w:pPr>
              <w:pStyle w:val="ParaNum"/>
              <w:numPr>
                <w:ilvl w:val="0"/>
                <w:numId w:val="0"/>
              </w:numPr>
              <w:spacing w:after="0"/>
            </w:pPr>
            <w:r w:rsidRPr="006A748C">
              <w:t>1799106755 (Sept. 8, 2017)</w:t>
            </w:r>
          </w:p>
        </w:tc>
      </w:tr>
      <w:tr w14:paraId="20B1DA6A" w14:textId="77777777" w:rsidTr="00DB521F">
        <w:tblPrEx>
          <w:tblW w:w="0" w:type="auto"/>
          <w:jc w:val="center"/>
          <w:tblLook w:val="04A0"/>
        </w:tblPrEx>
        <w:trPr>
          <w:jc w:val="center"/>
        </w:trPr>
        <w:tc>
          <w:tcPr>
            <w:tcW w:w="1096" w:type="dxa"/>
            <w:shd w:val="clear" w:color="auto" w:fill="auto"/>
          </w:tcPr>
          <w:p w:rsidR="00DB521F" w:rsidRPr="000E2EE8" w:rsidP="00DB521F" w14:paraId="71ABD1B4" w14:textId="77777777">
            <w:pPr>
              <w:pStyle w:val="ParaNum"/>
              <w:numPr>
                <w:ilvl w:val="0"/>
                <w:numId w:val="0"/>
              </w:numPr>
              <w:spacing w:after="0"/>
              <w:jc w:val="center"/>
            </w:pPr>
            <w:r w:rsidRPr="000E2EE8">
              <w:t>17273181</w:t>
            </w:r>
          </w:p>
        </w:tc>
        <w:tc>
          <w:tcPr>
            <w:tcW w:w="4479" w:type="dxa"/>
            <w:shd w:val="clear" w:color="auto" w:fill="auto"/>
          </w:tcPr>
          <w:p w:rsidR="00DB521F" w:rsidRPr="000E2EE8" w:rsidP="00DB521F" w14:paraId="6798D761" w14:textId="77777777">
            <w:pPr>
              <w:pStyle w:val="ParaNum"/>
              <w:numPr>
                <w:ilvl w:val="0"/>
                <w:numId w:val="0"/>
              </w:numPr>
              <w:spacing w:after="0"/>
            </w:pPr>
            <w:r w:rsidRPr="000E2EE8">
              <w:t>Central Utah Telephone Inc.</w:t>
            </w:r>
          </w:p>
        </w:tc>
        <w:tc>
          <w:tcPr>
            <w:tcW w:w="2880" w:type="dxa"/>
            <w:shd w:val="clear" w:color="auto" w:fill="auto"/>
          </w:tcPr>
          <w:p w:rsidR="00DB521F" w:rsidRPr="006A748C" w:rsidP="00DB521F" w14:paraId="6D8BA124" w14:textId="77777777">
            <w:pPr>
              <w:pStyle w:val="ParaNum"/>
              <w:numPr>
                <w:ilvl w:val="0"/>
                <w:numId w:val="0"/>
              </w:numPr>
              <w:spacing w:after="0"/>
            </w:pPr>
            <w:r w:rsidRPr="006A748C">
              <w:t>1799067558 (Jan. 18, 2018)</w:t>
            </w:r>
          </w:p>
        </w:tc>
      </w:tr>
      <w:tr w14:paraId="5F394E23" w14:textId="77777777" w:rsidTr="00DB521F">
        <w:tblPrEx>
          <w:tblW w:w="0" w:type="auto"/>
          <w:jc w:val="center"/>
          <w:tblLook w:val="04A0"/>
        </w:tblPrEx>
        <w:trPr>
          <w:jc w:val="center"/>
        </w:trPr>
        <w:tc>
          <w:tcPr>
            <w:tcW w:w="1096" w:type="dxa"/>
            <w:shd w:val="clear" w:color="auto" w:fill="auto"/>
          </w:tcPr>
          <w:p w:rsidR="00DB521F" w:rsidRPr="000E2EE8" w:rsidP="00DB521F" w14:paraId="6214E38E" w14:textId="77777777">
            <w:pPr>
              <w:pStyle w:val="ParaNum"/>
              <w:numPr>
                <w:ilvl w:val="0"/>
                <w:numId w:val="0"/>
              </w:numPr>
              <w:spacing w:after="0"/>
              <w:jc w:val="center"/>
            </w:pPr>
            <w:r w:rsidRPr="000E2EE8">
              <w:t>17273581</w:t>
            </w:r>
          </w:p>
        </w:tc>
        <w:tc>
          <w:tcPr>
            <w:tcW w:w="4479" w:type="dxa"/>
            <w:shd w:val="clear" w:color="auto" w:fill="auto"/>
          </w:tcPr>
          <w:p w:rsidR="00DB521F" w:rsidRPr="000E2EE8" w:rsidP="00DB521F" w14:paraId="566AB0A0" w14:textId="77777777">
            <w:pPr>
              <w:pStyle w:val="ParaNum"/>
              <w:numPr>
                <w:ilvl w:val="0"/>
                <w:numId w:val="0"/>
              </w:numPr>
              <w:spacing w:after="0"/>
            </w:pPr>
            <w:r w:rsidRPr="000E2EE8">
              <w:t>Emery Telephone</w:t>
            </w:r>
          </w:p>
        </w:tc>
        <w:tc>
          <w:tcPr>
            <w:tcW w:w="2880" w:type="dxa"/>
            <w:shd w:val="clear" w:color="auto" w:fill="auto"/>
          </w:tcPr>
          <w:p w:rsidR="00DB521F" w:rsidRPr="006A748C" w:rsidP="00DB521F" w14:paraId="5606D57F" w14:textId="77777777">
            <w:pPr>
              <w:pStyle w:val="ParaNum"/>
              <w:numPr>
                <w:ilvl w:val="0"/>
                <w:numId w:val="0"/>
              </w:numPr>
              <w:spacing w:after="0"/>
            </w:pPr>
            <w:r w:rsidRPr="006A748C">
              <w:t>1799075392 (Jan. 13, 2018)</w:t>
            </w:r>
          </w:p>
        </w:tc>
      </w:tr>
      <w:tr w14:paraId="0FE3ECC8" w14:textId="77777777" w:rsidTr="00DB521F">
        <w:tblPrEx>
          <w:tblW w:w="0" w:type="auto"/>
          <w:jc w:val="center"/>
          <w:tblLook w:val="04A0"/>
        </w:tblPrEx>
        <w:trPr>
          <w:jc w:val="center"/>
        </w:trPr>
        <w:tc>
          <w:tcPr>
            <w:tcW w:w="1096" w:type="dxa"/>
            <w:shd w:val="clear" w:color="auto" w:fill="auto"/>
          </w:tcPr>
          <w:p w:rsidR="00DB521F" w:rsidRPr="000E2EE8" w:rsidP="00DB521F" w14:paraId="34778F39" w14:textId="77777777">
            <w:pPr>
              <w:pStyle w:val="ParaNum"/>
              <w:numPr>
                <w:ilvl w:val="0"/>
                <w:numId w:val="0"/>
              </w:numPr>
              <w:spacing w:after="0"/>
              <w:jc w:val="center"/>
            </w:pPr>
            <w:r w:rsidRPr="000E2EE8">
              <w:t>17274321</w:t>
            </w:r>
          </w:p>
        </w:tc>
        <w:tc>
          <w:tcPr>
            <w:tcW w:w="4479" w:type="dxa"/>
            <w:shd w:val="clear" w:color="auto" w:fill="auto"/>
          </w:tcPr>
          <w:p w:rsidR="00DB521F" w:rsidRPr="000E2EE8" w:rsidP="00DB521F" w14:paraId="69BE56DF" w14:textId="77777777">
            <w:pPr>
              <w:pStyle w:val="ParaNum"/>
              <w:numPr>
                <w:ilvl w:val="0"/>
                <w:numId w:val="0"/>
              </w:numPr>
              <w:spacing w:after="0"/>
            </w:pPr>
            <w:r w:rsidRPr="000E2EE8">
              <w:t>Comcast Business Communications</w:t>
            </w:r>
          </w:p>
        </w:tc>
        <w:tc>
          <w:tcPr>
            <w:tcW w:w="2880" w:type="dxa"/>
            <w:shd w:val="clear" w:color="auto" w:fill="auto"/>
          </w:tcPr>
          <w:p w:rsidR="00DB521F" w:rsidRPr="006A748C" w:rsidP="00DB521F" w14:paraId="461788B2" w14:textId="77777777">
            <w:pPr>
              <w:pStyle w:val="ParaNum"/>
              <w:numPr>
                <w:ilvl w:val="0"/>
                <w:numId w:val="0"/>
              </w:numPr>
              <w:spacing w:after="0"/>
            </w:pPr>
            <w:r w:rsidRPr="006A748C">
              <w:t>1799088613 (Feb. 8, 2018)</w:t>
            </w:r>
          </w:p>
        </w:tc>
      </w:tr>
      <w:tr w14:paraId="5E8C9387" w14:textId="77777777" w:rsidTr="00DB521F">
        <w:tblPrEx>
          <w:tblW w:w="0" w:type="auto"/>
          <w:jc w:val="center"/>
          <w:tblLook w:val="04A0"/>
        </w:tblPrEx>
        <w:trPr>
          <w:jc w:val="center"/>
        </w:trPr>
        <w:tc>
          <w:tcPr>
            <w:tcW w:w="1096" w:type="dxa"/>
            <w:shd w:val="clear" w:color="auto" w:fill="auto"/>
          </w:tcPr>
          <w:p w:rsidR="00DB521F" w:rsidRPr="000E2EE8" w:rsidP="00DB521F" w14:paraId="35FF7F83" w14:textId="77777777">
            <w:pPr>
              <w:pStyle w:val="ParaNum"/>
              <w:numPr>
                <w:ilvl w:val="0"/>
                <w:numId w:val="0"/>
              </w:numPr>
              <w:spacing w:after="0"/>
              <w:jc w:val="center"/>
            </w:pPr>
            <w:r w:rsidRPr="000E2EE8">
              <w:t>17281301</w:t>
            </w:r>
          </w:p>
        </w:tc>
        <w:tc>
          <w:tcPr>
            <w:tcW w:w="4479" w:type="dxa"/>
            <w:shd w:val="clear" w:color="auto" w:fill="auto"/>
          </w:tcPr>
          <w:p w:rsidR="00DB521F" w:rsidRPr="000E2EE8" w:rsidP="00DB521F" w14:paraId="25CB89AD" w14:textId="77777777">
            <w:pPr>
              <w:pStyle w:val="ParaNum"/>
              <w:numPr>
                <w:ilvl w:val="0"/>
                <w:numId w:val="0"/>
              </w:numPr>
              <w:spacing w:after="0"/>
            </w:pPr>
            <w:r w:rsidRPr="000E2EE8">
              <w:t>UBTA-UBET</w:t>
            </w:r>
            <w:r w:rsidRPr="000E2EE8">
              <w:t xml:space="preserve"> Communications, Inc.</w:t>
            </w:r>
          </w:p>
        </w:tc>
        <w:tc>
          <w:tcPr>
            <w:tcW w:w="2880" w:type="dxa"/>
            <w:shd w:val="clear" w:color="auto" w:fill="auto"/>
          </w:tcPr>
          <w:p w:rsidR="00DB521F" w:rsidRPr="006A748C" w:rsidP="00DB521F" w14:paraId="0C6D7776" w14:textId="77777777">
            <w:pPr>
              <w:pStyle w:val="ParaNum"/>
              <w:numPr>
                <w:ilvl w:val="0"/>
                <w:numId w:val="0"/>
              </w:numPr>
              <w:spacing w:after="0"/>
            </w:pPr>
            <w:r w:rsidRPr="006A748C">
              <w:t>1799096201 (Sept. 8, 2017)</w:t>
            </w:r>
          </w:p>
        </w:tc>
      </w:tr>
    </w:tbl>
    <w:p w:rsidR="00DB521F" w:rsidP="00DB521F" w14:paraId="52047B95" w14:textId="49A23FAB">
      <w:pPr>
        <w:pStyle w:val="ParaNum"/>
        <w:numPr>
          <w:ilvl w:val="0"/>
          <w:numId w:val="0"/>
        </w:numPr>
        <w:spacing w:after="0"/>
        <w:rPr>
          <w:b/>
          <w:bCs/>
        </w:rPr>
      </w:pPr>
    </w:p>
    <w:sectPr w:rsidSect="00DB521F">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B0BB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20BC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A741C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1B2" w14:paraId="2A9E0291" w14:textId="77777777">
      <w:r>
        <w:separator/>
      </w:r>
    </w:p>
  </w:footnote>
  <w:footnote w:type="continuationSeparator" w:id="1">
    <w:p w:rsidR="003541B2" w:rsidP="00C721AC" w14:paraId="2FC56295" w14:textId="77777777">
      <w:pPr>
        <w:spacing w:before="120"/>
        <w:rPr>
          <w:sz w:val="20"/>
        </w:rPr>
      </w:pPr>
      <w:r>
        <w:rPr>
          <w:sz w:val="20"/>
        </w:rPr>
        <w:t xml:space="preserve">(Continued from previous page)  </w:t>
      </w:r>
      <w:r>
        <w:rPr>
          <w:sz w:val="20"/>
        </w:rPr>
        <w:separator/>
      </w:r>
    </w:p>
  </w:footnote>
  <w:footnote w:type="continuationNotice" w:id="2">
    <w:p w:rsidR="003541B2" w:rsidP="00C721AC" w14:paraId="0507744B" w14:textId="77777777">
      <w:pPr>
        <w:jc w:val="right"/>
        <w:rPr>
          <w:sz w:val="20"/>
        </w:rPr>
      </w:pPr>
      <w:r>
        <w:rPr>
          <w:sz w:val="20"/>
        </w:rPr>
        <w:t>(continued….)</w:t>
      </w:r>
    </w:p>
  </w:footnote>
  <w:footnote w:id="3">
    <w:p w:rsidR="00883299" w:rsidP="00883299" w14:paraId="50FC04FA" w14:textId="77777777">
      <w:pPr>
        <w:pStyle w:val="FootnoteText"/>
      </w:pPr>
      <w:r>
        <w:rPr>
          <w:rStyle w:val="FootnoteReference"/>
        </w:rPr>
        <w:footnoteRef/>
      </w:r>
      <w:r>
        <w:t xml:space="preserve"> </w:t>
      </w:r>
      <w:r>
        <w:rPr>
          <w:i/>
          <w:iCs/>
        </w:rPr>
        <w:t xml:space="preserve">See </w:t>
      </w:r>
      <w:r>
        <w:t>Petition for Reconsideration, WC Docket No. 02-60 (filed Apr. 25, 2019) (Petition).  The seven funding requests at issue and their assigned Funding Request Numbers (</w:t>
      </w:r>
      <w:r>
        <w:t>FRNs</w:t>
      </w:r>
      <w:r>
        <w:t>) are listed in Appendix A.</w:t>
      </w:r>
    </w:p>
  </w:footnote>
  <w:footnote w:id="4">
    <w:p w:rsidR="00883299" w:rsidP="00883299" w14:paraId="6F57C57B" w14:textId="77777777">
      <w:pPr>
        <w:pStyle w:val="FootnoteText"/>
      </w:pPr>
      <w:r>
        <w:rPr>
          <w:rStyle w:val="FootnoteReference"/>
        </w:rPr>
        <w:footnoteRef/>
      </w:r>
      <w:r>
        <w:t xml:space="preserve"> </w:t>
      </w:r>
      <w:r>
        <w:rPr>
          <w:i/>
          <w:iCs/>
        </w:rPr>
        <w:t>Streamlined Resolution of Requests Related to Actions by the Universal Service Administrative Company</w:t>
      </w:r>
      <w:r>
        <w:t xml:space="preserve">, WC Docket No. 02-60, Public Notice, 34 FCC </w:t>
      </w:r>
      <w:r>
        <w:t>Rcd</w:t>
      </w:r>
      <w:r>
        <w:t xml:space="preserve"> 1926, 1936 &amp; n.24 (WCB 2019) (</w:t>
      </w:r>
      <w:r w:rsidRPr="00C75423">
        <w:rPr>
          <w:i/>
          <w:iCs/>
        </w:rPr>
        <w:t>March 201</w:t>
      </w:r>
      <w:r>
        <w:rPr>
          <w:i/>
          <w:iCs/>
        </w:rPr>
        <w:t>9</w:t>
      </w:r>
      <w:r w:rsidRPr="00C75423">
        <w:rPr>
          <w:i/>
          <w:iCs/>
        </w:rPr>
        <w:t xml:space="preserve"> Streamlined Resolution </w:t>
      </w:r>
      <w:r w:rsidRPr="00C75423">
        <w:rPr>
          <w:i/>
          <w:iCs/>
        </w:rPr>
        <w:t>PN</w:t>
      </w:r>
      <w:r>
        <w:t>).</w:t>
      </w:r>
    </w:p>
  </w:footnote>
  <w:footnote w:id="5">
    <w:p w:rsidR="00883299" w:rsidP="00883299" w14:paraId="153FF7A6" w14:textId="77777777">
      <w:pPr>
        <w:pStyle w:val="FootnoteText"/>
      </w:pPr>
      <w:r>
        <w:rPr>
          <w:rStyle w:val="FootnoteReference"/>
        </w:rPr>
        <w:footnoteRef/>
      </w:r>
      <w:r>
        <w:t xml:space="preserve"> In remanding the subject applications to </w:t>
      </w:r>
      <w:r>
        <w:t>USAC</w:t>
      </w:r>
      <w:r>
        <w:t xml:space="preserve">, we make no finding as to whether </w:t>
      </w:r>
      <w:r>
        <w:t>USAC</w:t>
      </w:r>
      <w:r>
        <w:t xml:space="preserve"> has a basis to issue funding commitments in response to these funding requests. </w:t>
      </w:r>
    </w:p>
  </w:footnote>
  <w:footnote w:id="6">
    <w:p w:rsidR="00883299" w:rsidRPr="006E067C" w:rsidP="00883299" w14:paraId="6083A1BB" w14:textId="77777777">
      <w:pPr>
        <w:pStyle w:val="FootnoteText"/>
      </w:pPr>
      <w:r w:rsidRPr="006E067C">
        <w:rPr>
          <w:rStyle w:val="FootnoteReference"/>
        </w:rPr>
        <w:footnoteRef/>
      </w:r>
      <w:r w:rsidRPr="006E067C">
        <w:t xml:space="preserve"> </w:t>
      </w:r>
      <w:r w:rsidRPr="006E067C">
        <w:rPr>
          <w:i/>
        </w:rPr>
        <w:t>See</w:t>
      </w:r>
      <w:r w:rsidRPr="006E067C">
        <w:t xml:space="preserve"> 47 </w:t>
      </w:r>
      <w:r>
        <w:t>CFR</w:t>
      </w:r>
      <w:r w:rsidRPr="006E067C">
        <w:t xml:space="preserve"> §§ 54.</w:t>
      </w:r>
      <w:r>
        <w:t>630</w:t>
      </w:r>
      <w:r w:rsidRPr="006E067C">
        <w:t>-54.</w:t>
      </w:r>
      <w:r>
        <w:t>649 (2018)</w:t>
      </w:r>
      <w:r w:rsidRPr="006E067C">
        <w:t>.</w:t>
      </w:r>
      <w:r>
        <w:t xml:space="preserve">  The prior Healthcare Connect Fund Program rules cited herein </w:t>
      </w:r>
      <w:r>
        <w:t>reflect the rules in effect at all times</w:t>
      </w:r>
      <w:r>
        <w:t xml:space="preserve"> relevant to this proceeding.</w:t>
      </w:r>
      <w:r w:rsidRPr="006E067C">
        <w:t xml:space="preserve">  </w:t>
      </w:r>
    </w:p>
  </w:footnote>
  <w:footnote w:id="7">
    <w:p w:rsidR="00883299" w:rsidRPr="004C5E67" w:rsidP="00883299" w14:paraId="34E06145" w14:textId="77777777">
      <w:pPr>
        <w:pStyle w:val="FootnoteText"/>
        <w:rPr>
          <w:i/>
          <w:iCs/>
        </w:rPr>
      </w:pPr>
      <w:r w:rsidRPr="006E067C">
        <w:rPr>
          <w:rStyle w:val="FootnoteReference"/>
        </w:rPr>
        <w:footnoteRef/>
      </w:r>
      <w:r w:rsidRPr="006E067C">
        <w:t xml:space="preserve"> 47 </w:t>
      </w:r>
      <w:r>
        <w:t>CFR</w:t>
      </w:r>
      <w:r w:rsidRPr="006E067C">
        <w:t xml:space="preserve"> § 54.</w:t>
      </w:r>
      <w:r>
        <w:t>642(a), (h) (2018)</w:t>
      </w:r>
      <w:r w:rsidRPr="006E067C">
        <w:t>.</w:t>
      </w:r>
      <w:r>
        <w:t xml:space="preserve">  The exemptions to the competitive bidding requirement applicable to the Healthcare Connect Fund Program were recently extended to the Telecommunications Program.  </w:t>
      </w:r>
      <w:r>
        <w:rPr>
          <w:i/>
          <w:iCs/>
        </w:rPr>
        <w:t>See Promoting Telehealth in Rural America</w:t>
      </w:r>
      <w:r>
        <w:t xml:space="preserve">, WC Docket No. 17-310, Report and Order, 34 FCC </w:t>
      </w:r>
      <w:r>
        <w:t>Rcd</w:t>
      </w:r>
      <w:r>
        <w:t xml:space="preserve"> 7335, 7411-12 (2019); </w:t>
      </w:r>
      <w:r>
        <w:rPr>
          <w:i/>
          <w:iCs/>
        </w:rPr>
        <w:t xml:space="preserve">see also </w:t>
      </w:r>
      <w:r>
        <w:t>47 CFR § 54.622(i).</w:t>
      </w:r>
    </w:p>
  </w:footnote>
  <w:footnote w:id="8">
    <w:p w:rsidR="00883299" w:rsidP="00883299" w14:paraId="1F0061D8" w14:textId="77777777">
      <w:pPr>
        <w:pStyle w:val="FootnoteText"/>
      </w:pPr>
      <w:r>
        <w:rPr>
          <w:rStyle w:val="FootnoteReference"/>
        </w:rPr>
        <w:footnoteRef/>
      </w:r>
      <w:r>
        <w:t xml:space="preserve"> E-Rate Program rules define a “</w:t>
      </w:r>
      <w:r w:rsidRPr="00016C2F">
        <w:t>master contract</w:t>
      </w:r>
      <w:r>
        <w:t>” as</w:t>
      </w:r>
      <w:r w:rsidRPr="00016C2F">
        <w:t xml:space="preserve"> </w:t>
      </w:r>
      <w:r>
        <w:t>“</w:t>
      </w:r>
      <w:r w:rsidRPr="00016C2F">
        <w:t>a contract negotiated with a service provider by a third party, the terms and conditions of which are then made available to an eligible school, library, rural health care provider, or consortium that purchases directly from the service provider.</w:t>
      </w:r>
      <w:r>
        <w:t xml:space="preserve">”  47 CFR § 54.500.  </w:t>
      </w:r>
    </w:p>
  </w:footnote>
  <w:footnote w:id="9">
    <w:p w:rsidR="00883299" w:rsidRPr="001B479A" w:rsidP="00883299" w14:paraId="6CB663C6" w14:textId="77777777">
      <w:pPr>
        <w:pStyle w:val="FootnoteText"/>
        <w:rPr>
          <w:u w:val="single"/>
        </w:rPr>
      </w:pPr>
      <w:r>
        <w:rPr>
          <w:rStyle w:val="FootnoteReference"/>
        </w:rPr>
        <w:footnoteRef/>
      </w:r>
      <w:r>
        <w:t xml:space="preserve"> 47 CFR § 54.642(h)(5) (2018).  The E-Rate Program master contracts competitive bidding exemption is currently contained in section 54.622(i)(4) of the Commission’s rules.  47 CFR § 54.622(i)(4).  Other competitive bidding exemptions apply for </w:t>
      </w:r>
      <w:r w:rsidRPr="00FF2EF7">
        <w:t xml:space="preserve">(1) </w:t>
      </w:r>
      <w:r>
        <w:t>applicants</w:t>
      </w:r>
      <w:r w:rsidRPr="00FF2EF7">
        <w:t xml:space="preserve"> seeking support for $10,000 or less of total undiscounted eligible expenses for a single year; (2) applicants who are purchasing services and/or equipment from master services agreements (</w:t>
      </w:r>
      <w:r w:rsidRPr="00FF2EF7">
        <w:t>MSAs</w:t>
      </w:r>
      <w:r w:rsidRPr="00FF2EF7">
        <w:t xml:space="preserve">) negotiated by federal, state, Tribal, or local government entities on behalf of such applicants; (3) applicants purchasing services and/or equipment from an </w:t>
      </w:r>
      <w:r w:rsidRPr="00FF2EF7">
        <w:t>MSA</w:t>
      </w:r>
      <w:r w:rsidRPr="00FF2EF7">
        <w:t xml:space="preserve"> that was subject to the Healthcare Connect Fund and Pilot Programs competitive bidding requirements; </w:t>
      </w:r>
      <w:r>
        <w:t xml:space="preserve">and </w:t>
      </w:r>
      <w:r w:rsidRPr="00FF2EF7">
        <w:t>(4) applicants seeking support under a contract that was deemed “evergreen” by the Administrator</w:t>
      </w:r>
      <w:r>
        <w:rPr>
          <w:i/>
          <w:iCs/>
        </w:rPr>
        <w:t xml:space="preserve">.  See </w:t>
      </w:r>
      <w:r>
        <w:t xml:space="preserve">47 CFR § 54.622(i). </w:t>
      </w:r>
    </w:p>
  </w:footnote>
  <w:footnote w:id="10">
    <w:p w:rsidR="00883299" w:rsidRPr="001472C7" w:rsidP="00883299" w14:paraId="2C1E87A3" w14:textId="77777777">
      <w:pPr>
        <w:pStyle w:val="FootnoteText"/>
      </w:pPr>
      <w:r>
        <w:rPr>
          <w:rStyle w:val="FootnoteReference"/>
        </w:rPr>
        <w:footnoteRef/>
      </w:r>
      <w:r>
        <w:t xml:space="preserve"> Petition at 4.  </w:t>
      </w:r>
      <w:r>
        <w:t>UETN</w:t>
      </w:r>
      <w:r>
        <w:t xml:space="preserve"> comprises the Utah Telehealth Network and the Utah Education Network, with the former responsible for Rural Health Care Program funding and the latter responsible for E-Rate Program funding.  </w:t>
      </w:r>
      <w:r>
        <w:rPr>
          <w:i/>
          <w:iCs/>
        </w:rPr>
        <w:t>Id</w:t>
      </w:r>
      <w:r>
        <w:t>.</w:t>
      </w:r>
    </w:p>
  </w:footnote>
  <w:footnote w:id="11">
    <w:p w:rsidR="00883299" w:rsidRPr="00CA243D" w:rsidP="00883299" w14:paraId="2A46307D" w14:textId="77777777">
      <w:pPr>
        <w:pStyle w:val="FootnoteText"/>
      </w:pPr>
      <w:r>
        <w:rPr>
          <w:rStyle w:val="FootnoteReference"/>
        </w:rPr>
        <w:footnoteRef/>
      </w:r>
      <w:r>
        <w:t xml:space="preserve"> </w:t>
      </w:r>
      <w:r>
        <w:rPr>
          <w:i/>
          <w:iCs/>
        </w:rPr>
        <w:t>Id</w:t>
      </w:r>
      <w:r>
        <w:t xml:space="preserve">.  </w:t>
      </w:r>
    </w:p>
  </w:footnote>
  <w:footnote w:id="12">
    <w:p w:rsidR="00883299" w:rsidRPr="00377E0B" w:rsidP="00883299" w14:paraId="61BEEEB2" w14:textId="77777777">
      <w:pPr>
        <w:pStyle w:val="FootnoteText"/>
      </w:pPr>
      <w:r>
        <w:rPr>
          <w:rStyle w:val="FootnoteReference"/>
        </w:rPr>
        <w:footnoteRef/>
      </w:r>
      <w:r>
        <w:t xml:space="preserve"> </w:t>
      </w:r>
      <w:r>
        <w:rPr>
          <w:i/>
          <w:iCs/>
        </w:rPr>
        <w:t>Id</w:t>
      </w:r>
      <w:r>
        <w:t xml:space="preserve">.  Each of the FCC Forms 462 (Healthcare Connect Fund Funding Request Form) for the </w:t>
      </w:r>
      <w:r>
        <w:t>FRNs</w:t>
      </w:r>
      <w:r>
        <w:t xml:space="preserve"> listed in Appendix A indicated that the “E-Rate Approved Contract” competitive bidding exemption applied and specified the applicable contract ID and “friendly name.”  </w:t>
      </w:r>
      <w:r>
        <w:rPr>
          <w:i/>
          <w:iCs/>
        </w:rPr>
        <w:t>See</w:t>
      </w:r>
      <w:r>
        <w:t xml:space="preserve">, </w:t>
      </w:r>
      <w:r>
        <w:rPr>
          <w:i/>
          <w:iCs/>
        </w:rPr>
        <w:t>e.g.</w:t>
      </w:r>
      <w:r>
        <w:t xml:space="preserve">, FCC Form 462 for </w:t>
      </w:r>
      <w:r>
        <w:t>FRN</w:t>
      </w:r>
      <w:r>
        <w:t xml:space="preserve"> 17267181, Block 2, Section 8 (June 30, 2017) (specifying contract ID 948743 and friendly name “</w:t>
      </w:r>
      <w:r>
        <w:t>UETN</w:t>
      </w:r>
      <w:r>
        <w:t xml:space="preserve"> E-Rate All West-81293952”).  These contracts were entered into by the respective service providers listed in Appendix A and the University of Utah as “a body politic and corporate of the State of Utah, on behalf of its Utah Education and Telehealth Network.”  Because the contracts provided for services, including telehealth services, to public education, libraries, and other entities affiliated with </w:t>
      </w:r>
      <w:r>
        <w:t>UETN</w:t>
      </w:r>
      <w:r>
        <w:t xml:space="preserve">, they constitute master contracts under the Commission’s E-Rate Program rules.  </w:t>
      </w:r>
      <w:r>
        <w:rPr>
          <w:i/>
          <w:iCs/>
        </w:rPr>
        <w:t xml:space="preserve">See </w:t>
      </w:r>
      <w:r>
        <w:t>47 CFR § 54.500 (defining “master contract” under the E-Rate Program rules).</w:t>
      </w:r>
    </w:p>
  </w:footnote>
  <w:footnote w:id="13">
    <w:p w:rsidR="00883299" w:rsidP="00883299" w14:paraId="74D800D9" w14:textId="77777777">
      <w:pPr>
        <w:pStyle w:val="FootnoteText"/>
      </w:pPr>
      <w:r>
        <w:rPr>
          <w:rStyle w:val="FootnoteReference"/>
        </w:rPr>
        <w:footnoteRef/>
      </w:r>
      <w:r>
        <w:t xml:space="preserve"> </w:t>
      </w:r>
      <w:r>
        <w:rPr>
          <w:i/>
          <w:iCs/>
        </w:rPr>
        <w:t xml:space="preserve">See </w:t>
      </w:r>
      <w:r>
        <w:t xml:space="preserve">e-mails </w:t>
      </w:r>
      <w:r w:rsidRPr="003F5B2E">
        <w:t xml:space="preserve">from </w:t>
      </w:r>
      <w:hyperlink r:id="rId1" w:history="1">
        <w:r w:rsidRPr="003F5B2E">
          <w:rPr>
            <w:rStyle w:val="Hyperlink"/>
            <w:color w:val="auto"/>
            <w:u w:val="none"/>
          </w:rPr>
          <w:t>rhcadmin@usac.org</w:t>
        </w:r>
      </w:hyperlink>
      <w:r>
        <w:t xml:space="preserve"> to Sabrina Scott, </w:t>
      </w:r>
      <w:r>
        <w:t>UETN</w:t>
      </w:r>
      <w:r>
        <w:t xml:space="preserve"> (July 28, </w:t>
      </w:r>
      <w:r w:rsidRPr="00D120EE">
        <w:t>2017</w:t>
      </w:r>
      <w:r>
        <w:t xml:space="preserve">).  </w:t>
      </w:r>
    </w:p>
  </w:footnote>
  <w:footnote w:id="14">
    <w:p w:rsidR="00883299" w:rsidRPr="00CA5FA3" w:rsidP="00883299" w14:paraId="1DA56B09" w14:textId="77777777">
      <w:pPr>
        <w:pStyle w:val="FootnoteText"/>
      </w:pPr>
      <w:r>
        <w:rPr>
          <w:rStyle w:val="FootnoteReference"/>
        </w:rPr>
        <w:footnoteRef/>
      </w:r>
      <w:r>
        <w:t xml:space="preserve"> </w:t>
      </w:r>
      <w:r>
        <w:rPr>
          <w:i/>
          <w:iCs/>
        </w:rPr>
        <w:t xml:space="preserve">See </w:t>
      </w:r>
      <w:r>
        <w:t xml:space="preserve">Appeal of Administrator Decision in the Healthcare Connect Fund, attached to emails from Sabrina Scott, Utah State E-rate Coordinator, </w:t>
      </w:r>
      <w:r>
        <w:t>UETN</w:t>
      </w:r>
      <w:r>
        <w:t>, to rhc-appeals@usac.org (Aug. 11, 2017) (</w:t>
      </w:r>
      <w:r>
        <w:t>USAC</w:t>
      </w:r>
      <w:r>
        <w:t xml:space="preserve"> Appeal).  </w:t>
      </w:r>
    </w:p>
  </w:footnote>
  <w:footnote w:id="15">
    <w:p w:rsidR="00883299" w:rsidP="00883299" w14:paraId="6E0808D1" w14:textId="77777777">
      <w:pPr>
        <w:pStyle w:val="FootnoteText"/>
      </w:pPr>
      <w:r>
        <w:rPr>
          <w:rStyle w:val="FootnoteReference"/>
        </w:rPr>
        <w:footnoteRef/>
      </w:r>
      <w:r>
        <w:t xml:space="preserve"> </w:t>
      </w:r>
      <w:r>
        <w:rPr>
          <w:i/>
          <w:iCs/>
        </w:rPr>
        <w:t xml:space="preserve">See </w:t>
      </w:r>
      <w:r>
        <w:t xml:space="preserve">e-mails from Sabrina Scott, Utah State E-rate Coordinator, </w:t>
      </w:r>
      <w:r>
        <w:t>UETN</w:t>
      </w:r>
      <w:r>
        <w:t xml:space="preserve">, to rhc-appeals@usac.org, </w:t>
      </w:r>
      <w:r>
        <w:t>USAC</w:t>
      </w:r>
      <w:r>
        <w:t xml:space="preserve"> (Nov. 9, 2017 (</w:t>
      </w:r>
      <w:r>
        <w:t>FRNs</w:t>
      </w:r>
      <w:r>
        <w:t xml:space="preserve"> 17269321, 17270941, and 17281301) and Jan. 26, 2018 (</w:t>
      </w:r>
      <w:r>
        <w:t>FRNs</w:t>
      </w:r>
      <w:r>
        <w:t xml:space="preserve"> 17273181, 17267181, and 17273581)) (</w:t>
      </w:r>
      <w:r>
        <w:t>UETN</w:t>
      </w:r>
      <w:r>
        <w:t xml:space="preserve"> Approval Confirmations).  </w:t>
      </w:r>
      <w:r>
        <w:t>UETN</w:t>
      </w:r>
      <w:r>
        <w:t xml:space="preserve"> did not provide confirmation of a funding commitment for the seventh </w:t>
      </w:r>
      <w:r>
        <w:t>FRN</w:t>
      </w:r>
      <w:r>
        <w:t xml:space="preserve"> (17274321), which eventually received a commitment on February 8, 2018.  </w:t>
      </w:r>
      <w:r>
        <w:rPr>
          <w:i/>
          <w:iCs/>
        </w:rPr>
        <w:t xml:space="preserve">See </w:t>
      </w:r>
      <w:r>
        <w:t xml:space="preserve">Appendix A.  </w:t>
      </w:r>
    </w:p>
  </w:footnote>
  <w:footnote w:id="16">
    <w:p w:rsidR="00883299" w:rsidRPr="00A03BDA" w:rsidP="00883299" w14:paraId="45471DE1" w14:textId="77777777">
      <w:pPr>
        <w:pStyle w:val="FootnoteText"/>
      </w:pPr>
      <w:r>
        <w:rPr>
          <w:rStyle w:val="FootnoteReference"/>
        </w:rPr>
        <w:footnoteRef/>
      </w:r>
      <w:r>
        <w:t xml:space="preserve"> Letter from Rural Health Care Division, </w:t>
      </w:r>
      <w:r>
        <w:t>USAC</w:t>
      </w:r>
      <w:r>
        <w:t xml:space="preserve">, to Deb </w:t>
      </w:r>
      <w:r>
        <w:t>LaMarche</w:t>
      </w:r>
      <w:r>
        <w:t xml:space="preserve">, </w:t>
      </w:r>
      <w:r>
        <w:t>UETN</w:t>
      </w:r>
      <w:r>
        <w:t xml:space="preserve"> at 1 (Sept. 27, 2018); 47 CFR § 54.642(h)(5).  In the same decision, </w:t>
      </w:r>
      <w:r>
        <w:t>USAC</w:t>
      </w:r>
      <w:r>
        <w:t xml:space="preserve"> reversed a previous denial of a funding request for </w:t>
      </w:r>
      <w:r>
        <w:t>FRN</w:t>
      </w:r>
      <w:r>
        <w:t xml:space="preserve"> 17275101.  That funding request, which involved a competitive bidding exemption other than the E-Rate master contracts exemption, is not at issue in this proceeding.</w:t>
      </w:r>
    </w:p>
  </w:footnote>
  <w:footnote w:id="17">
    <w:p w:rsidR="00883299" w:rsidRPr="00C75423" w:rsidP="00883299" w14:paraId="54522691" w14:textId="77777777">
      <w:pPr>
        <w:pStyle w:val="FootnoteText"/>
      </w:pPr>
      <w:r>
        <w:rPr>
          <w:rStyle w:val="FootnoteReference"/>
        </w:rPr>
        <w:footnoteRef/>
      </w:r>
      <w:r>
        <w:t xml:space="preserve"> </w:t>
      </w:r>
      <w:r w:rsidRPr="00C75423">
        <w:rPr>
          <w:i/>
          <w:iCs/>
        </w:rPr>
        <w:t>March 201</w:t>
      </w:r>
      <w:r>
        <w:rPr>
          <w:i/>
          <w:iCs/>
        </w:rPr>
        <w:t>9</w:t>
      </w:r>
      <w:r w:rsidRPr="00C75423">
        <w:rPr>
          <w:i/>
          <w:iCs/>
        </w:rPr>
        <w:t xml:space="preserve"> Streamlined Resolution </w:t>
      </w:r>
      <w:r w:rsidRPr="00C75423">
        <w:rPr>
          <w:i/>
          <w:iCs/>
        </w:rPr>
        <w:t>PN</w:t>
      </w:r>
      <w:r>
        <w:t xml:space="preserve">, 34 FCC </w:t>
      </w:r>
      <w:r>
        <w:t>Rcd</w:t>
      </w:r>
      <w:r>
        <w:t xml:space="preserve"> 1926, 1936 &amp; n.24 (explaining that the contracts at issue in this proceeding did not receive approval for use in the E-Rate Program until three to eight months after </w:t>
      </w:r>
      <w:r>
        <w:t>UETN</w:t>
      </w:r>
      <w:r>
        <w:t xml:space="preserve"> submitted its funding requests).</w:t>
      </w:r>
    </w:p>
  </w:footnote>
  <w:footnote w:id="18">
    <w:p w:rsidR="00883299" w:rsidRPr="005063DB" w:rsidP="00883299" w14:paraId="6E9E5CBE" w14:textId="77777777">
      <w:pPr>
        <w:pStyle w:val="FootnoteText"/>
        <w:rPr>
          <w:i/>
          <w:iCs/>
        </w:rPr>
      </w:pPr>
      <w:r>
        <w:rPr>
          <w:rStyle w:val="FootnoteReference"/>
        </w:rPr>
        <w:footnoteRef/>
      </w:r>
      <w:r>
        <w:t xml:space="preserve"> </w:t>
      </w:r>
      <w:r>
        <w:rPr>
          <w:i/>
          <w:iCs/>
        </w:rPr>
        <w:t>Id.</w:t>
      </w:r>
    </w:p>
  </w:footnote>
  <w:footnote w:id="19">
    <w:p w:rsidR="00883299" w:rsidRPr="009D35B6" w:rsidP="00883299" w14:paraId="4C58DD95" w14:textId="77777777">
      <w:pPr>
        <w:pStyle w:val="FootnoteText"/>
      </w:pPr>
      <w:r>
        <w:rPr>
          <w:rStyle w:val="FootnoteReference"/>
        </w:rPr>
        <w:footnoteRef/>
      </w:r>
      <w:r>
        <w:t xml:space="preserve"> Petition at 6-7.  </w:t>
      </w:r>
      <w:r>
        <w:t>UETN</w:t>
      </w:r>
      <w:r>
        <w:t xml:space="preserve"> also maintains that “neither the Commission itself nor </w:t>
      </w:r>
      <w:r>
        <w:t>USAC</w:t>
      </w:r>
      <w:r>
        <w:t xml:space="preserve"> can articulate the requirements of the rule clearly and consistently.”  </w:t>
      </w:r>
      <w:r>
        <w:rPr>
          <w:i/>
          <w:iCs/>
        </w:rPr>
        <w:t>Id</w:t>
      </w:r>
      <w:r>
        <w:t>. at 7.</w:t>
      </w:r>
    </w:p>
  </w:footnote>
  <w:footnote w:id="20">
    <w:p w:rsidR="00883299" w:rsidRPr="00717659" w:rsidP="00883299" w14:paraId="08398103" w14:textId="77777777">
      <w:pPr>
        <w:pStyle w:val="FootnoteText"/>
      </w:pPr>
      <w:r>
        <w:rPr>
          <w:rStyle w:val="FootnoteReference"/>
        </w:rPr>
        <w:footnoteRef/>
      </w:r>
      <w:r>
        <w:t xml:space="preserve"> </w:t>
      </w:r>
      <w:r>
        <w:rPr>
          <w:i/>
          <w:iCs/>
        </w:rPr>
        <w:t>Id</w:t>
      </w:r>
      <w:r>
        <w:t xml:space="preserve">. at 9-10.  </w:t>
      </w:r>
      <w:r>
        <w:rPr>
          <w:i/>
          <w:iCs/>
        </w:rPr>
        <w:t xml:space="preserve">See </w:t>
      </w:r>
      <w:r>
        <w:t xml:space="preserve">47 CFR § 54.723(a) (“The Wireline Competition Bureau shall conduct </w:t>
      </w:r>
      <w:r>
        <w:rPr>
          <w:i/>
          <w:iCs/>
        </w:rPr>
        <w:t>de novo</w:t>
      </w:r>
      <w:r>
        <w:t xml:space="preserve"> review of request for review of decisions issue[d] by the Administrator.”).  </w:t>
      </w:r>
    </w:p>
  </w:footnote>
  <w:footnote w:id="21">
    <w:p w:rsidR="00883299" w:rsidRPr="00AD5EBD" w:rsidP="00883299" w14:paraId="21170870" w14:textId="77777777">
      <w:pPr>
        <w:pStyle w:val="FootnoteText"/>
      </w:pPr>
      <w:r>
        <w:rPr>
          <w:rStyle w:val="FootnoteReference"/>
        </w:rPr>
        <w:footnoteRef/>
      </w:r>
      <w:r>
        <w:t xml:space="preserve"> Petition at 10-11.</w:t>
      </w:r>
    </w:p>
  </w:footnote>
  <w:footnote w:id="22">
    <w:p w:rsidR="00883299" w:rsidRPr="0072653B" w:rsidP="00883299" w14:paraId="426E8A2F" w14:textId="77777777">
      <w:pPr>
        <w:pStyle w:val="FootnoteText"/>
      </w:pPr>
      <w:r>
        <w:rPr>
          <w:rStyle w:val="FootnoteReference"/>
        </w:rPr>
        <w:footnoteRef/>
      </w:r>
      <w:r>
        <w:t xml:space="preserve"> </w:t>
      </w:r>
      <w:r w:rsidRPr="002F0D1D">
        <w:rPr>
          <w:i/>
          <w:iCs/>
        </w:rPr>
        <w:t>Id</w:t>
      </w:r>
      <w:r>
        <w:t xml:space="preserve">. at 9.  </w:t>
      </w:r>
      <w:r w:rsidRPr="002F0D1D">
        <w:t>Although</w:t>
      </w:r>
      <w:r>
        <w:t xml:space="preserve"> </w:t>
      </w:r>
      <w:r>
        <w:t>UETN</w:t>
      </w:r>
      <w:r>
        <w:t xml:space="preserve"> did not expressly profess confusion over section 54.642(h)(5)’s use of the word “approved” in its prior pleadings before </w:t>
      </w:r>
      <w:r>
        <w:t>USAC</w:t>
      </w:r>
      <w:r>
        <w:t xml:space="preserve"> or the Bureau, it did cite, in support of its prior appeals, reliance on language formerly available on </w:t>
      </w:r>
      <w:r>
        <w:t>USAC’s</w:t>
      </w:r>
      <w:r>
        <w:t xml:space="preserve"> website that the E-Rate master contracts competitive bidding exemption applies to contracts “negotiated” under the E-Rate Program.  </w:t>
      </w:r>
      <w:r>
        <w:rPr>
          <w:i/>
          <w:iCs/>
        </w:rPr>
        <w:t>See</w:t>
      </w:r>
      <w:r>
        <w:t xml:space="preserve"> </w:t>
      </w:r>
      <w:r>
        <w:t>USAC</w:t>
      </w:r>
      <w:r>
        <w:t xml:space="preserve"> Appeal at 1 (explaining </w:t>
      </w:r>
      <w:r>
        <w:t>UETN</w:t>
      </w:r>
      <w:r>
        <w:t xml:space="preserve"> “negotiated and executed” the contracts in question pursuant to a comprehensive Request for Proposal issued under the E-Rate Program); </w:t>
      </w:r>
      <w:r>
        <w:rPr>
          <w:i/>
          <w:iCs/>
        </w:rPr>
        <w:t xml:space="preserve">cf., </w:t>
      </w:r>
      <w:r>
        <w:t xml:space="preserve">Petition at 7-8 (listing the “variety of . . . formulations” used by the Commission and </w:t>
      </w:r>
      <w:r>
        <w:t>USAC</w:t>
      </w:r>
      <w:r>
        <w:t xml:space="preserve"> to describe the E-Rate master contracts competitive bidding exemption requirements).  While we recognize the inconsistency between </w:t>
      </w:r>
      <w:r>
        <w:t>USAC’s</w:t>
      </w:r>
      <w:r>
        <w:t xml:space="preserve"> use of “negotiated” and section 54.642(h)(5)’s use of “approved,” the language of our rule must control in this case, as </w:t>
      </w:r>
      <w:r>
        <w:t>UETN</w:t>
      </w:r>
      <w:r>
        <w:t xml:space="preserve"> itself acknowledges.  </w:t>
      </w:r>
      <w:r>
        <w:rPr>
          <w:i/>
          <w:iCs/>
        </w:rPr>
        <w:t xml:space="preserve">See </w:t>
      </w:r>
      <w:r>
        <w:t>Petition at 7 (“</w:t>
      </w:r>
      <w:r>
        <w:t>UETN</w:t>
      </w:r>
      <w:r>
        <w:t xml:space="preserve"> recognizes that it is the applicant’s responsibility to ensure that it complies with the Commission’s </w:t>
      </w:r>
      <w:r>
        <w:t>rules, and</w:t>
      </w:r>
      <w:r>
        <w:t xml:space="preserve"> emphasizes that it is not trying to shirk that responsibility.”).  </w:t>
      </w:r>
    </w:p>
  </w:footnote>
  <w:footnote w:id="23">
    <w:p w:rsidR="00883299" w:rsidP="00883299" w14:paraId="25B815D3" w14:textId="77777777">
      <w:pPr>
        <w:pStyle w:val="FootnoteText"/>
      </w:pPr>
      <w:r>
        <w:rPr>
          <w:rStyle w:val="FootnoteReference"/>
        </w:rPr>
        <w:footnoteRef/>
      </w:r>
      <w:r>
        <w:t xml:space="preserve"> 47 CFR § 54.642(h)(5) (2018).</w:t>
      </w:r>
    </w:p>
  </w:footnote>
  <w:footnote w:id="24">
    <w:p w:rsidR="00883299" w:rsidP="00883299" w14:paraId="222A16F2" w14:textId="77777777">
      <w:pPr>
        <w:pStyle w:val="FootnoteText"/>
      </w:pPr>
      <w:r>
        <w:rPr>
          <w:rStyle w:val="FootnoteReference"/>
        </w:rPr>
        <w:footnoteRef/>
      </w:r>
      <w:r>
        <w:t xml:space="preserve"> 47 CFR § 54.643(a)(4) (2018).  The requirement that applicants claiming a competitive bidding exemption submit relevant information to allow </w:t>
      </w:r>
      <w:r>
        <w:t>USAC</w:t>
      </w:r>
      <w:r>
        <w:t xml:space="preserve"> to verify that the applicant is eligible for the claimed exemption is currently contained in section 54.623(a)(3) of the Commission’s rules.  47 CFR § 54.623(a)(3).</w:t>
      </w:r>
    </w:p>
  </w:footnote>
  <w:footnote w:id="25">
    <w:p w:rsidR="00883299" w:rsidRPr="00D42542" w:rsidP="00883299" w14:paraId="43BF0CD8" w14:textId="77777777">
      <w:pPr>
        <w:pStyle w:val="FootnoteText"/>
      </w:pPr>
      <w:r>
        <w:rPr>
          <w:rStyle w:val="FootnoteReference"/>
        </w:rPr>
        <w:footnoteRef/>
      </w:r>
      <w:r>
        <w:t xml:space="preserve"> </w:t>
      </w:r>
      <w:r>
        <w:rPr>
          <w:i/>
          <w:iCs/>
        </w:rPr>
        <w:t>Healthcare Connect Fund Order</w:t>
      </w:r>
      <w:r>
        <w:t xml:space="preserve">, 27 FCC </w:t>
      </w:r>
      <w:r>
        <w:t>Rcd</w:t>
      </w:r>
      <w:r>
        <w:t xml:space="preserve"> at 16793, para. 267.</w:t>
      </w:r>
    </w:p>
  </w:footnote>
  <w:footnote w:id="26">
    <w:p w:rsidR="00883299" w:rsidP="00883299" w14:paraId="135C8686" w14:textId="77777777">
      <w:pPr>
        <w:pStyle w:val="FootnoteText"/>
      </w:pPr>
      <w:r>
        <w:rPr>
          <w:rStyle w:val="FootnoteReference"/>
        </w:rPr>
        <w:footnoteRef/>
      </w:r>
      <w:r>
        <w:t xml:space="preserve"> We note that </w:t>
      </w:r>
      <w:r>
        <w:t>UETN</w:t>
      </w:r>
      <w:r>
        <w:t xml:space="preserve"> indirectly acknowledged this requirement when it submitted the </w:t>
      </w:r>
      <w:r>
        <w:t>UETN</w:t>
      </w:r>
      <w:r>
        <w:t xml:space="preserve"> Approval Confirmations, which it used to notify </w:t>
      </w:r>
      <w:r>
        <w:t>USAC</w:t>
      </w:r>
      <w:r>
        <w:t xml:space="preserve"> of the approval of the E-Rate contracts, thereby demonstrating that </w:t>
      </w:r>
      <w:r>
        <w:t>UETN</w:t>
      </w:r>
      <w:r>
        <w:t xml:space="preserve"> “complied with the [Healthcare Connect Fund] competitive bidding exemption standard afforded E-rate negotiated contracts, as set forth in the [Healthcare Connect Fund] program rules.”  </w:t>
      </w:r>
      <w:r>
        <w:rPr>
          <w:i/>
          <w:iCs/>
        </w:rPr>
        <w:t xml:space="preserve">See </w:t>
      </w:r>
      <w:r>
        <w:t>UETN</w:t>
      </w:r>
      <w:r>
        <w:t xml:space="preserve"> Approval Confirmations. </w:t>
      </w:r>
    </w:p>
  </w:footnote>
  <w:footnote w:id="27">
    <w:p w:rsidR="00883299" w:rsidP="00883299" w14:paraId="5FA1842A" w14:textId="77777777">
      <w:pPr>
        <w:pStyle w:val="FootnoteText"/>
      </w:pPr>
      <w:r>
        <w:rPr>
          <w:rStyle w:val="FootnoteReference"/>
        </w:rPr>
        <w:footnoteRef/>
      </w:r>
      <w:r>
        <w:t xml:space="preserve"> 47 CFR § 54.503(a) (2018).</w:t>
      </w:r>
    </w:p>
  </w:footnote>
  <w:footnote w:id="28">
    <w:p w:rsidR="00883299" w:rsidP="00883299" w14:paraId="52583605" w14:textId="77777777">
      <w:pPr>
        <w:pStyle w:val="FootnoteText"/>
      </w:pPr>
      <w:r>
        <w:rPr>
          <w:rStyle w:val="FootnoteReference"/>
        </w:rPr>
        <w:footnoteRef/>
      </w:r>
      <w:r>
        <w:t xml:space="preserve"> 47 CFR § 54.504(a) (2018).</w:t>
      </w:r>
    </w:p>
  </w:footnote>
  <w:footnote w:id="29">
    <w:p w:rsidR="00883299" w:rsidP="00883299" w14:paraId="1D1D33D6" w14:textId="77777777">
      <w:pPr>
        <w:pStyle w:val="FootnoteText"/>
      </w:pPr>
      <w:r>
        <w:rPr>
          <w:rStyle w:val="FootnoteReference"/>
        </w:rPr>
        <w:footnoteRef/>
      </w:r>
      <w:r>
        <w:t xml:space="preserve"> 47 CFR § 54.707(a) (2018).</w:t>
      </w:r>
    </w:p>
  </w:footnote>
  <w:footnote w:id="30">
    <w:p w:rsidR="00883299" w:rsidRPr="002C7B3E" w:rsidP="00883299" w14:paraId="045A604D" w14:textId="77777777">
      <w:pPr>
        <w:pStyle w:val="FootnoteText"/>
      </w:pPr>
      <w:r>
        <w:rPr>
          <w:rStyle w:val="FootnoteReference"/>
        </w:rPr>
        <w:footnoteRef/>
      </w:r>
      <w:r>
        <w:t xml:space="preserve"> </w:t>
      </w:r>
      <w:r>
        <w:rPr>
          <w:i/>
          <w:iCs/>
        </w:rPr>
        <w:t>See, e.g.</w:t>
      </w:r>
      <w:r>
        <w:t xml:space="preserve">, </w:t>
      </w:r>
      <w:r w:rsidRPr="002C7B3E">
        <w:rPr>
          <w:i/>
          <w:iCs/>
        </w:rPr>
        <w:t xml:space="preserve">Request </w:t>
      </w:r>
      <w:r w:rsidRPr="002C7B3E">
        <w:rPr>
          <w:i/>
          <w:iCs/>
        </w:rPr>
        <w:t>For</w:t>
      </w:r>
      <w:r w:rsidRPr="002C7B3E">
        <w:rPr>
          <w:i/>
          <w:iCs/>
        </w:rPr>
        <w:t xml:space="preserve"> Review </w:t>
      </w:r>
      <w:r>
        <w:rPr>
          <w:i/>
          <w:iCs/>
        </w:rPr>
        <w:t>of</w:t>
      </w:r>
      <w:r w:rsidRPr="002C7B3E">
        <w:rPr>
          <w:i/>
          <w:iCs/>
        </w:rPr>
        <w:t xml:space="preserve"> Decisions </w:t>
      </w:r>
      <w:r>
        <w:rPr>
          <w:i/>
          <w:iCs/>
        </w:rPr>
        <w:t>of the</w:t>
      </w:r>
      <w:r w:rsidRPr="002C7B3E">
        <w:rPr>
          <w:i/>
          <w:iCs/>
        </w:rPr>
        <w:t xml:space="preserve"> Universal Service Administrator By Joseph M. Hill Trustee In Bankruptcy For </w:t>
      </w:r>
      <w:r w:rsidRPr="002C7B3E">
        <w:rPr>
          <w:i/>
          <w:iCs/>
        </w:rPr>
        <w:t>Lakehills</w:t>
      </w:r>
      <w:r w:rsidRPr="002C7B3E">
        <w:rPr>
          <w:i/>
          <w:iCs/>
        </w:rPr>
        <w:t xml:space="preserve"> Consulting, LP., et al</w:t>
      </w:r>
      <w:r>
        <w:t xml:space="preserve">., Order, </w:t>
      </w:r>
      <w:r w:rsidRPr="009934E9">
        <w:t xml:space="preserve">26 FCC </w:t>
      </w:r>
      <w:r w:rsidRPr="009934E9">
        <w:t>Rcd</w:t>
      </w:r>
      <w:r w:rsidRPr="009934E9">
        <w:t xml:space="preserve"> 16586</w:t>
      </w:r>
      <w:r>
        <w:t xml:space="preserve">, 16587, para. 3 (2011); </w:t>
      </w:r>
      <w:r w:rsidRPr="00A6056B">
        <w:rPr>
          <w:i/>
          <w:iCs/>
        </w:rPr>
        <w:t xml:space="preserve">Schools </w:t>
      </w:r>
      <w:r>
        <w:rPr>
          <w:i/>
          <w:iCs/>
        </w:rPr>
        <w:t>a</w:t>
      </w:r>
      <w:r w:rsidRPr="00205C27">
        <w:rPr>
          <w:i/>
          <w:iCs/>
        </w:rPr>
        <w:t>nd Libraries Universal Service Support Mechanism</w:t>
      </w:r>
      <w:r>
        <w:t xml:space="preserve">, Order, </w:t>
      </w:r>
      <w:r w:rsidRPr="002660F2">
        <w:t xml:space="preserve">26 FCC </w:t>
      </w:r>
      <w:r w:rsidRPr="002660F2">
        <w:t>Rcd</w:t>
      </w:r>
      <w:r w:rsidRPr="002660F2">
        <w:t xml:space="preserve"> 6487,</w:t>
      </w:r>
      <w:r>
        <w:t xml:space="preserve"> 6487-88, para. 3 (2011).</w:t>
      </w:r>
    </w:p>
  </w:footnote>
  <w:footnote w:id="31">
    <w:p w:rsidR="00883299" w:rsidP="00883299" w14:paraId="1A2D2F5C" w14:textId="77777777">
      <w:pPr>
        <w:pStyle w:val="FootnoteText"/>
      </w:pPr>
      <w:r>
        <w:rPr>
          <w:rStyle w:val="FootnoteReference"/>
        </w:rPr>
        <w:footnoteRef/>
      </w:r>
      <w:r>
        <w:t xml:space="preserve"> We note that </w:t>
      </w:r>
      <w:r>
        <w:t>UETN</w:t>
      </w:r>
      <w:r>
        <w:t xml:space="preserve"> offers no plausible alternative interpretation of “approved” and does not identify any other </w:t>
      </w:r>
      <w:r>
        <w:t>USAC</w:t>
      </w:r>
      <w:r>
        <w:t xml:space="preserve"> action that signals to an applicant that an E-Rate master contract has been approved.  The absence of any alternative documentation of contract approval is significant, as Healthcare Connect Fund applicants “must submit relevant documentation to allow the Administrator to verify that the applicant is eligible for the claimed exemption.”  47 CFR § 54.643(a)(4).</w:t>
      </w:r>
    </w:p>
  </w:footnote>
  <w:footnote w:id="32">
    <w:p w:rsidR="00883299" w:rsidP="00883299" w14:paraId="527E978A" w14:textId="77777777">
      <w:pPr>
        <w:pStyle w:val="FootnoteText"/>
      </w:pPr>
      <w:r>
        <w:rPr>
          <w:rStyle w:val="FootnoteReference"/>
        </w:rPr>
        <w:footnoteRef/>
      </w:r>
      <w:r>
        <w:t xml:space="preserve"> Petition at 6.</w:t>
      </w:r>
    </w:p>
  </w:footnote>
  <w:footnote w:id="33">
    <w:p w:rsidR="00883299" w:rsidRPr="008A5046" w:rsidP="00883299" w14:paraId="5D886F09" w14:textId="77777777">
      <w:pPr>
        <w:pStyle w:val="FootnoteText"/>
      </w:pPr>
      <w:r w:rsidRPr="00E562BC">
        <w:rPr>
          <w:rStyle w:val="FootnoteReference"/>
        </w:rPr>
        <w:footnoteRef/>
      </w:r>
      <w:r w:rsidRPr="00E562BC">
        <w:t xml:space="preserve"> </w:t>
      </w:r>
      <w:r w:rsidRPr="00E562BC">
        <w:rPr>
          <w:i/>
          <w:iCs/>
        </w:rPr>
        <w:t>See, e.g.</w:t>
      </w:r>
      <w:r w:rsidRPr="00E562BC">
        <w:t xml:space="preserve">, </w:t>
      </w:r>
      <w:r w:rsidRPr="00E562BC">
        <w:rPr>
          <w:i/>
          <w:iCs/>
        </w:rPr>
        <w:t xml:space="preserve">Requests </w:t>
      </w:r>
      <w:r w:rsidRPr="00E562BC">
        <w:rPr>
          <w:i/>
          <w:iCs/>
        </w:rPr>
        <w:t>For</w:t>
      </w:r>
      <w:r w:rsidRPr="00E562BC">
        <w:rPr>
          <w:i/>
          <w:iCs/>
        </w:rPr>
        <w:t xml:space="preserve"> Waiver of Sections 54.504(c), 54.504(f), 54.507(c), and 54.507(g) of the Commission’s Rules, et al.</w:t>
      </w:r>
      <w:r w:rsidRPr="00E562BC">
        <w:t xml:space="preserve">, Order, 25 FCC </w:t>
      </w:r>
      <w:r w:rsidRPr="00E562BC">
        <w:t>Rcd</w:t>
      </w:r>
      <w:r w:rsidRPr="00E562BC">
        <w:t xml:space="preserve"> 1653, 1666, para. 25 (2010); </w:t>
      </w:r>
      <w:r w:rsidRPr="00E562BC">
        <w:rPr>
          <w:i/>
          <w:iCs/>
        </w:rPr>
        <w:t xml:space="preserve">Requests </w:t>
      </w:r>
      <w:r w:rsidRPr="00E562BC">
        <w:rPr>
          <w:i/>
          <w:iCs/>
        </w:rPr>
        <w:t>For</w:t>
      </w:r>
      <w:r w:rsidRPr="00E562BC">
        <w:rPr>
          <w:i/>
          <w:iCs/>
        </w:rPr>
        <w:t xml:space="preserve"> Waiver of the Decision of the Universal Service Administrator By Adams County School District 14 Commerce City, Colorado, et al</w:t>
      </w:r>
      <w:r w:rsidRPr="00E562BC">
        <w:t xml:space="preserve">., Order, 22 FCC </w:t>
      </w:r>
      <w:r w:rsidRPr="00E562BC">
        <w:t>Rcd</w:t>
      </w:r>
      <w:r w:rsidRPr="00E562BC">
        <w:t xml:space="preserve"> 6019, 6022-23, para. 9 (2007); </w:t>
      </w:r>
      <w:r w:rsidRPr="00E562BC">
        <w:rPr>
          <w:i/>
          <w:iCs/>
        </w:rPr>
        <w:t xml:space="preserve">Request </w:t>
      </w:r>
      <w:r w:rsidRPr="00E562BC">
        <w:rPr>
          <w:i/>
          <w:iCs/>
        </w:rPr>
        <w:t>For</w:t>
      </w:r>
      <w:r w:rsidRPr="00E562BC">
        <w:rPr>
          <w:i/>
          <w:iCs/>
        </w:rPr>
        <w:t xml:space="preserve"> Review of A Decision of the Universal Service Administrator By Katy Independent School District Katy, Texas, et al.</w:t>
      </w:r>
      <w:r w:rsidRPr="00E562BC">
        <w:t xml:space="preserve">, Order, 26 FCC </w:t>
      </w:r>
      <w:r w:rsidRPr="00E562BC">
        <w:t>Rcd</w:t>
      </w:r>
      <w:r w:rsidRPr="00E562BC">
        <w:t xml:space="preserve"> 16433, 16435, para. 6 (WCB 2011); </w:t>
      </w:r>
      <w:r w:rsidRPr="00E562BC">
        <w:rPr>
          <w:i/>
          <w:iCs/>
        </w:rPr>
        <w:t xml:space="preserve">Request </w:t>
      </w:r>
      <w:r w:rsidRPr="00E562BC">
        <w:rPr>
          <w:i/>
          <w:iCs/>
        </w:rPr>
        <w:t>For</w:t>
      </w:r>
      <w:r w:rsidRPr="00E562BC">
        <w:rPr>
          <w:i/>
          <w:iCs/>
        </w:rPr>
        <w:t xml:space="preserve"> Review of A Decision of the Universal Service Administrator By Coahoma County School District Clarksdale, MS, et al.</w:t>
      </w:r>
      <w:r w:rsidRPr="00E562BC">
        <w:t xml:space="preserve">, Order, 26 FCC </w:t>
      </w:r>
      <w:r w:rsidRPr="00E562BC">
        <w:t>Rcd</w:t>
      </w:r>
      <w:r w:rsidRPr="00E562BC">
        <w:t xml:space="preserve"> 11201, 11203-04, para. 5 (WCB 2011); </w:t>
      </w:r>
      <w:r w:rsidRPr="00E562BC">
        <w:rPr>
          <w:i/>
          <w:iCs/>
        </w:rPr>
        <w:t xml:space="preserve">Request </w:t>
      </w:r>
      <w:r w:rsidRPr="00E562BC">
        <w:rPr>
          <w:i/>
          <w:iCs/>
        </w:rPr>
        <w:t>For</w:t>
      </w:r>
      <w:r w:rsidRPr="00E562BC">
        <w:rPr>
          <w:i/>
          <w:iCs/>
        </w:rPr>
        <w:t xml:space="preserve"> Review of Decisions of the Universal Service Administrator By Gila Bend Unified School District 24 Gila Bend, Arizona</w:t>
      </w:r>
      <w:r w:rsidRPr="00E562BC">
        <w:t xml:space="preserve">, Order, 26 FCC </w:t>
      </w:r>
      <w:r w:rsidRPr="00E562BC">
        <w:t>Rcd</w:t>
      </w:r>
      <w:r w:rsidRPr="00E562BC">
        <w:t xml:space="preserve"> 6870, 6872-73, para. 6 (WCB 2011); </w:t>
      </w:r>
      <w:r w:rsidRPr="00E562BC">
        <w:rPr>
          <w:i/>
          <w:iCs/>
        </w:rPr>
        <w:t xml:space="preserve">Request </w:t>
      </w:r>
      <w:r w:rsidRPr="00E562BC">
        <w:rPr>
          <w:i/>
          <w:iCs/>
        </w:rPr>
        <w:t>For</w:t>
      </w:r>
      <w:r w:rsidRPr="00E562BC">
        <w:rPr>
          <w:i/>
          <w:iCs/>
        </w:rPr>
        <w:t xml:space="preserve"> Waiver of Section 54.507(d) of the Commission’s Rules Harvest Preparatory School Yuma, Arizona, et al</w:t>
      </w:r>
      <w:r w:rsidRPr="00E562BC">
        <w:t xml:space="preserve">., Order, 25 FCC </w:t>
      </w:r>
      <w:r w:rsidRPr="00E562BC">
        <w:t>Rcd</w:t>
      </w:r>
      <w:r w:rsidRPr="00E562BC">
        <w:t xml:space="preserve"> 5501, 5502-03, para. 3 (WCB 2010)</w:t>
      </w:r>
      <w:r>
        <w:t>.</w:t>
      </w:r>
    </w:p>
  </w:footnote>
  <w:footnote w:id="34">
    <w:p w:rsidR="00883299" w:rsidRPr="00512585" w:rsidP="00883299" w14:paraId="5618874E" w14:textId="77777777">
      <w:pPr>
        <w:pStyle w:val="FootnoteText"/>
      </w:pPr>
      <w:r>
        <w:rPr>
          <w:rStyle w:val="FootnoteReference"/>
        </w:rPr>
        <w:footnoteRef/>
      </w:r>
      <w:r>
        <w:t xml:space="preserve"> We thus reject </w:t>
      </w:r>
      <w:r>
        <w:t>UETN’s</w:t>
      </w:r>
      <w:r>
        <w:t xml:space="preserve"> suggestion that “approval” could be interpreted to refer to mere “negotiation” of the contracts or the like, citing high-level characterizations of the exemption taken from the </w:t>
      </w:r>
      <w:r>
        <w:rPr>
          <w:i/>
          <w:iCs/>
        </w:rPr>
        <w:t>Healthcare Connect Fund Order</w:t>
      </w:r>
      <w:r>
        <w:t xml:space="preserve">.  Petition at 7.  As a threshold matter, </w:t>
      </w:r>
      <w:r>
        <w:t>UETN</w:t>
      </w:r>
      <w:r>
        <w:t xml:space="preserve"> does not explain how the language it draws from those high-level characterizations would fit within any reasonable understanding of the term “approved” as used in the text of the rule.  Independently, however, an exemption from competitive bidding requirements under the Healthcare Connect Fund program merely because a contract was “negotiated” in the E-rate context would provide none of the safeguards and protections that the Commission relies upon to help ensure fiscal responsibility and cost-effectiveness. </w:t>
      </w:r>
    </w:p>
  </w:footnote>
  <w:footnote w:id="35">
    <w:p w:rsidR="00883299" w:rsidRPr="008B64DD" w:rsidP="00883299" w14:paraId="060BAFC7" w14:textId="77777777">
      <w:pPr>
        <w:pStyle w:val="FootnoteText"/>
      </w:pPr>
      <w:r>
        <w:rPr>
          <w:rStyle w:val="FootnoteReference"/>
        </w:rPr>
        <w:footnoteRef/>
      </w:r>
      <w:r>
        <w:t xml:space="preserve"> </w:t>
      </w:r>
      <w:r>
        <w:rPr>
          <w:i/>
          <w:iCs/>
        </w:rPr>
        <w:t>See, e.g.</w:t>
      </w:r>
      <w:r>
        <w:t xml:space="preserve">, Petition at 11-12 (conceding that </w:t>
      </w:r>
      <w:r>
        <w:t>USAC</w:t>
      </w:r>
      <w:r>
        <w:t xml:space="preserve"> had not issued funding commitments for the relevant contracts by the time the Healthcare Connect Fund request for support was filed).</w:t>
      </w:r>
    </w:p>
  </w:footnote>
  <w:footnote w:id="36">
    <w:p w:rsidR="00883299" w:rsidRPr="009E59AB" w:rsidP="00883299" w14:paraId="0963231D" w14:textId="77777777">
      <w:pPr>
        <w:pStyle w:val="FootnoteText"/>
      </w:pPr>
      <w:r>
        <w:rPr>
          <w:rStyle w:val="FootnoteReference"/>
        </w:rPr>
        <w:footnoteRef/>
      </w:r>
      <w:r>
        <w:t xml:space="preserve"> We reject </w:t>
      </w:r>
      <w:r>
        <w:t>UETN’s</w:t>
      </w:r>
      <w:r>
        <w:t xml:space="preserve"> claim that the Bureau failed to conduct a </w:t>
      </w:r>
      <w:r>
        <w:rPr>
          <w:i/>
          <w:iCs/>
        </w:rPr>
        <w:t>de novo</w:t>
      </w:r>
      <w:r>
        <w:t xml:space="preserve"> review when considering </w:t>
      </w:r>
      <w:r>
        <w:t>UETN’s</w:t>
      </w:r>
      <w:r>
        <w:t xml:space="preserve"> appeal before the Bureau.  </w:t>
      </w:r>
      <w:r>
        <w:rPr>
          <w:i/>
          <w:iCs/>
        </w:rPr>
        <w:t xml:space="preserve">See </w:t>
      </w:r>
      <w:r>
        <w:t xml:space="preserve">Petition at 9-10.  The Bureau must conduct a </w:t>
      </w:r>
      <w:r>
        <w:rPr>
          <w:i/>
          <w:iCs/>
        </w:rPr>
        <w:t xml:space="preserve">de novo </w:t>
      </w:r>
      <w:r>
        <w:t xml:space="preserve">review of requests for review of decisions issued by </w:t>
      </w:r>
      <w:r>
        <w:t>USAC</w:t>
      </w:r>
      <w:r>
        <w:t xml:space="preserve">.  47 CFR § 54.723(a).  When reaching our decision in 2019 to uphold </w:t>
      </w:r>
      <w:r>
        <w:t>USAC’s</w:t>
      </w:r>
      <w:r>
        <w:t xml:space="preserve"> denials of </w:t>
      </w:r>
      <w:r>
        <w:t>UETN’s</w:t>
      </w:r>
      <w:r>
        <w:t xml:space="preserve"> funding requests, we examined the entire record and did not simply defer to the decision reached by </w:t>
      </w:r>
      <w:r>
        <w:t>USAC</w:t>
      </w:r>
      <w:r>
        <w:t xml:space="preserve">.  After conducting a </w:t>
      </w:r>
      <w:r w:rsidRPr="0009104D">
        <w:rPr>
          <w:i/>
          <w:iCs/>
        </w:rPr>
        <w:t>de novo</w:t>
      </w:r>
      <w:r>
        <w:t xml:space="preserve"> review, we concluded that “[t]he </w:t>
      </w:r>
      <w:r>
        <w:t>contract</w:t>
      </w:r>
      <w:r>
        <w:t xml:space="preserve"> at issue in these instances did not receive approval for use in the E-rate program until three to eight months after the health care providers submitted their FCC Forms 462 to [</w:t>
      </w:r>
      <w:r>
        <w:t>USAC</w:t>
      </w:r>
      <w:r>
        <w:t xml:space="preserve">] for processing.  As such, the [RHC] program competitive bidding exemption does not apply.”  </w:t>
      </w:r>
      <w:r w:rsidRPr="00C75423">
        <w:rPr>
          <w:i/>
          <w:iCs/>
        </w:rPr>
        <w:t>March 201</w:t>
      </w:r>
      <w:r>
        <w:rPr>
          <w:i/>
          <w:iCs/>
        </w:rPr>
        <w:t>9</w:t>
      </w:r>
      <w:r w:rsidRPr="00C75423">
        <w:rPr>
          <w:i/>
          <w:iCs/>
        </w:rPr>
        <w:t xml:space="preserve"> Streamlined Resolution </w:t>
      </w:r>
      <w:r w:rsidRPr="00C75423">
        <w:rPr>
          <w:i/>
          <w:iCs/>
        </w:rPr>
        <w:t>PN</w:t>
      </w:r>
      <w:r w:rsidRPr="0009104D">
        <w:t xml:space="preserve">, 34 FCC </w:t>
      </w:r>
      <w:r w:rsidRPr="0009104D">
        <w:t>Rcd</w:t>
      </w:r>
      <w:r w:rsidRPr="0009104D">
        <w:t xml:space="preserve"> at 1936 n.24.  </w:t>
      </w:r>
      <w:r w:rsidRPr="0009104D">
        <w:t>With regard to</w:t>
      </w:r>
      <w:r w:rsidRPr="0009104D">
        <w:t xml:space="preserve"> </w:t>
      </w:r>
      <w:r w:rsidRPr="0009104D">
        <w:t>UETN’s</w:t>
      </w:r>
      <w:r w:rsidRPr="0009104D">
        <w:t xml:space="preserve"> waiver request, we concluded that “the underlying record does not reveal the existence of special circumstances warranting a waiver of RHC program rules.”</w:t>
      </w:r>
      <w:r>
        <w:rPr>
          <w:i/>
          <w:iCs/>
        </w:rPr>
        <w:t xml:space="preserve">  Id.</w:t>
      </w:r>
    </w:p>
  </w:footnote>
  <w:footnote w:id="37">
    <w:p w:rsidR="00883299" w:rsidP="00883299" w14:paraId="3B46BD64" w14:textId="77777777">
      <w:pPr>
        <w:pStyle w:val="FootnoteText"/>
      </w:pPr>
      <w:r>
        <w:rPr>
          <w:rStyle w:val="FootnoteReference"/>
        </w:rPr>
        <w:footnoteRef/>
      </w:r>
      <w:r>
        <w:t xml:space="preserve"> 47 CFR § 1.3.</w:t>
      </w:r>
    </w:p>
  </w:footnote>
  <w:footnote w:id="38">
    <w:p w:rsidR="00883299" w:rsidRPr="009F19D8" w:rsidP="00883299" w14:paraId="23DC8577"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w:t>
      </w:r>
    </w:p>
  </w:footnote>
  <w:footnote w:id="39">
    <w:p w:rsidR="00883299" w:rsidRPr="009F19D8" w:rsidP="00883299" w14:paraId="5DF8DB6E"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40">
    <w:p w:rsidR="00883299" w:rsidRPr="00D02E7B" w:rsidP="00883299" w14:paraId="2F06E374" w14:textId="77777777">
      <w:pPr>
        <w:pStyle w:val="FootnoteText"/>
      </w:pPr>
      <w:r>
        <w:rPr>
          <w:rStyle w:val="FootnoteReference"/>
        </w:rPr>
        <w:footnoteRef/>
      </w:r>
      <w:r>
        <w:t xml:space="preserve"> </w:t>
      </w:r>
      <w:r>
        <w:rPr>
          <w:i/>
          <w:iCs/>
        </w:rPr>
        <w:t>Northeast Cellular</w:t>
      </w:r>
      <w:r>
        <w:t>, 897 F.2d at 1166.</w:t>
      </w:r>
    </w:p>
  </w:footnote>
  <w:footnote w:id="41">
    <w:p w:rsidR="00883299" w:rsidRPr="00AF773E" w:rsidP="00883299" w14:paraId="3650A079" w14:textId="77777777">
      <w:pPr>
        <w:pStyle w:val="FootnoteText"/>
      </w:pPr>
      <w:r>
        <w:rPr>
          <w:rStyle w:val="FootnoteReference"/>
        </w:rPr>
        <w:footnoteRef/>
      </w:r>
      <w:r>
        <w:t xml:space="preserve"> </w:t>
      </w:r>
      <w:r>
        <w:rPr>
          <w:i/>
          <w:iCs/>
        </w:rPr>
        <w:t xml:space="preserve">See </w:t>
      </w:r>
      <w:r>
        <w:t>Petition at 12.</w:t>
      </w:r>
    </w:p>
  </w:footnote>
  <w:footnote w:id="42">
    <w:p w:rsidR="00883299" w:rsidRPr="00AF773E" w:rsidP="00883299" w14:paraId="4E2918CC" w14:textId="77777777">
      <w:pPr>
        <w:pStyle w:val="FootnoteText"/>
        <w:rPr>
          <w:i/>
          <w:iCs/>
        </w:rPr>
      </w:pPr>
      <w:r>
        <w:rPr>
          <w:rStyle w:val="FootnoteReference"/>
        </w:rPr>
        <w:footnoteRef/>
      </w:r>
      <w:r>
        <w:t xml:space="preserve"> </w:t>
      </w:r>
      <w:r>
        <w:rPr>
          <w:i/>
          <w:iCs/>
        </w:rPr>
        <w:t xml:space="preserve">Id. </w:t>
      </w:r>
    </w:p>
  </w:footnote>
  <w:footnote w:id="43">
    <w:p w:rsidR="00883299" w:rsidP="00883299" w14:paraId="19A937F5" w14:textId="77777777">
      <w:pPr>
        <w:pStyle w:val="FootnoteText"/>
      </w:pPr>
      <w:r>
        <w:rPr>
          <w:rStyle w:val="FootnoteReference"/>
        </w:rPr>
        <w:footnoteRef/>
      </w:r>
      <w:r>
        <w:t xml:space="preserve"> </w:t>
      </w:r>
      <w:r>
        <w:rPr>
          <w:i/>
          <w:iCs/>
        </w:rPr>
        <w:t xml:space="preserve">See </w:t>
      </w:r>
      <w:r>
        <w:t xml:space="preserve">Petition at 11 (citing </w:t>
      </w:r>
      <w:r>
        <w:rPr>
          <w:i/>
          <w:iCs/>
        </w:rPr>
        <w:t xml:space="preserve">Healthcare Connect Fund </w:t>
      </w:r>
      <w:r w:rsidRPr="000B7876">
        <w:rPr>
          <w:i/>
          <w:iCs/>
        </w:rPr>
        <w:t>Order</w:t>
      </w:r>
      <w:r>
        <w:t xml:space="preserve">, 27 FCC </w:t>
      </w:r>
      <w:r>
        <w:t>Rcd</w:t>
      </w:r>
      <w:r>
        <w:t xml:space="preserve"> at 16793, para. 267).  </w:t>
      </w:r>
    </w:p>
  </w:footnote>
  <w:footnote w:id="44">
    <w:p w:rsidR="00883299" w:rsidP="00883299" w14:paraId="0BD4706C" w14:textId="77777777">
      <w:pPr>
        <w:pStyle w:val="FootnoteText"/>
      </w:pPr>
      <w:r>
        <w:rPr>
          <w:rStyle w:val="FootnoteReference"/>
        </w:rPr>
        <w:footnoteRef/>
      </w:r>
      <w:r>
        <w:t xml:space="preserve"> </w:t>
      </w:r>
      <w:r>
        <w:rPr>
          <w:i/>
          <w:iCs/>
        </w:rPr>
        <w:t xml:space="preserve">Healthcare Connect Fund </w:t>
      </w:r>
      <w:r w:rsidRPr="000B7876">
        <w:rPr>
          <w:i/>
          <w:iCs/>
        </w:rPr>
        <w:t>Order</w:t>
      </w:r>
      <w:r>
        <w:t xml:space="preserve">, 27 FCC </w:t>
      </w:r>
      <w:r>
        <w:t>Rcd</w:t>
      </w:r>
      <w:r>
        <w:t xml:space="preserve"> at 16793, para. 267.    </w:t>
      </w:r>
    </w:p>
  </w:footnote>
  <w:footnote w:id="45">
    <w:p w:rsidR="00883299" w:rsidP="00883299" w14:paraId="6FE99E79" w14:textId="77777777">
      <w:pPr>
        <w:pStyle w:val="FootnoteText"/>
      </w:pPr>
      <w:r>
        <w:rPr>
          <w:rStyle w:val="FootnoteReference"/>
        </w:rPr>
        <w:footnoteRef/>
      </w:r>
      <w:r>
        <w:t xml:space="preserve"> </w:t>
      </w:r>
      <w:r w:rsidRPr="00A004C5">
        <w:rPr>
          <w:i/>
        </w:rPr>
        <w:t xml:space="preserve">See Request for Review or Waiver by </w:t>
      </w:r>
      <w:r w:rsidRPr="00A004C5">
        <w:rPr>
          <w:i/>
        </w:rPr>
        <w:t>Maniilaq</w:t>
      </w:r>
      <w:r w:rsidRPr="00A004C5">
        <w:rPr>
          <w:i/>
        </w:rPr>
        <w:t xml:space="preserve"> Association of Decision of Universal Service Administrator, Rural Health Care Universal Service Support Mechanism</w:t>
      </w:r>
      <w:r w:rsidRPr="00A004C5">
        <w:t xml:space="preserve">, WC Docket No. 02-60, Order, 35 FCC </w:t>
      </w:r>
      <w:r w:rsidRPr="00A004C5">
        <w:t>Rcd</w:t>
      </w:r>
      <w:r w:rsidRPr="00A004C5">
        <w:t xml:space="preserve"> 1458, 1462, para. 9 (WCB 2020) (waiving RHC Program competitive bidding rule requirement in part due to absence of evidence of waste, fraud, or abuse).</w:t>
      </w:r>
    </w:p>
  </w:footnote>
  <w:footnote w:id="46">
    <w:p w:rsidR="00883299" w:rsidRPr="00C45ADB" w:rsidP="00883299" w14:paraId="70716D7B" w14:textId="77777777">
      <w:pPr>
        <w:pStyle w:val="FootnoteText"/>
      </w:pPr>
      <w:r>
        <w:rPr>
          <w:rStyle w:val="FootnoteReference"/>
        </w:rPr>
        <w:footnoteRef/>
      </w:r>
      <w:r>
        <w:t xml:space="preserve"> </w:t>
      </w:r>
      <w:r>
        <w:rPr>
          <w:i/>
          <w:iCs/>
        </w:rPr>
        <w:t xml:space="preserve">See </w:t>
      </w:r>
      <w:r>
        <w:t>47 CFR § 54.642(a) (2018).</w:t>
      </w:r>
    </w:p>
  </w:footnote>
  <w:footnote w:id="47">
    <w:p w:rsidR="00883299" w:rsidRPr="001B6271" w:rsidP="00883299" w14:paraId="4A820CAE" w14:textId="77777777">
      <w:pPr>
        <w:pStyle w:val="FootnoteText"/>
      </w:pPr>
      <w:r>
        <w:rPr>
          <w:rStyle w:val="FootnoteReference"/>
        </w:rPr>
        <w:footnoteRef/>
      </w:r>
      <w:r>
        <w:t xml:space="preserve"> As noted above, the master contracts competitive bidding exemption now applies to both Healthcare Connect Fund program and Telecommunications program applicants.  </w:t>
      </w:r>
      <w:r>
        <w:rPr>
          <w:i/>
          <w:iCs/>
        </w:rPr>
        <w:t xml:space="preserve">See </w:t>
      </w:r>
      <w:r>
        <w:t>47 CFR § 54.622(i)(4).</w:t>
      </w:r>
    </w:p>
  </w:footnote>
  <w:footnote w:id="48">
    <w:p w:rsidR="00883299" w:rsidRPr="003A1FA7" w:rsidP="00883299" w14:paraId="7A2D58EE" w14:textId="77777777">
      <w:pPr>
        <w:pStyle w:val="FootnoteText"/>
      </w:pPr>
      <w:r>
        <w:rPr>
          <w:rStyle w:val="FootnoteReference"/>
        </w:rPr>
        <w:footnoteRef/>
      </w:r>
      <w:r>
        <w:t xml:space="preserve"> </w:t>
      </w:r>
      <w:r>
        <w:rPr>
          <w:i/>
          <w:iCs/>
        </w:rPr>
        <w:t>See</w:t>
      </w:r>
      <w:r>
        <w:t xml:space="preserve"> 47 CFR § 54.720(a) (requiring that requests for waiver be filed within 60 days of the date of the </w:t>
      </w:r>
      <w:r>
        <w:t>USAC</w:t>
      </w:r>
      <w:r>
        <w:t xml:space="preserve"> decision for which the petitioner is seeking a waiver).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2EC813" w14:textId="37198C2E">
    <w:pPr>
      <w:pStyle w:val="Header"/>
      <w:rPr>
        <w:b w:val="0"/>
      </w:rPr>
    </w:pPr>
    <w:r>
      <w:tab/>
      <w:t>Federal Communications Commission</w:t>
    </w:r>
    <w:r>
      <w:tab/>
    </w:r>
    <w:r w:rsidR="00883299">
      <w:t>DA 21-998</w:t>
    </w:r>
  </w:p>
  <w:p w:rsidR="00D25FB5" w14:paraId="3BBE46F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F095F1" w14:textId="1E407EF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3299">
      <w:t>DA 21-998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2"/>
    <w:rsid w:val="00016C2F"/>
    <w:rsid w:val="00036039"/>
    <w:rsid w:val="00037F90"/>
    <w:rsid w:val="000875BF"/>
    <w:rsid w:val="0009104D"/>
    <w:rsid w:val="00096D8C"/>
    <w:rsid w:val="000B7876"/>
    <w:rsid w:val="000C0B65"/>
    <w:rsid w:val="000E05FE"/>
    <w:rsid w:val="000E2EE8"/>
    <w:rsid w:val="000E3D42"/>
    <w:rsid w:val="00122BD5"/>
    <w:rsid w:val="00133F79"/>
    <w:rsid w:val="001472C7"/>
    <w:rsid w:val="0017296B"/>
    <w:rsid w:val="00194A66"/>
    <w:rsid w:val="001B479A"/>
    <w:rsid w:val="001B6271"/>
    <w:rsid w:val="001D6BCF"/>
    <w:rsid w:val="001E01CA"/>
    <w:rsid w:val="00205C27"/>
    <w:rsid w:val="002660F2"/>
    <w:rsid w:val="00275CF5"/>
    <w:rsid w:val="0028301F"/>
    <w:rsid w:val="00285017"/>
    <w:rsid w:val="002A2D2E"/>
    <w:rsid w:val="002C00E8"/>
    <w:rsid w:val="002C7B3E"/>
    <w:rsid w:val="002F0D1D"/>
    <w:rsid w:val="00343749"/>
    <w:rsid w:val="003541B2"/>
    <w:rsid w:val="003660ED"/>
    <w:rsid w:val="00377E0B"/>
    <w:rsid w:val="003A1FA7"/>
    <w:rsid w:val="003B0550"/>
    <w:rsid w:val="003B694F"/>
    <w:rsid w:val="003F171C"/>
    <w:rsid w:val="003F5B2E"/>
    <w:rsid w:val="00412FC5"/>
    <w:rsid w:val="00422276"/>
    <w:rsid w:val="004242F1"/>
    <w:rsid w:val="00445A00"/>
    <w:rsid w:val="00451B0F"/>
    <w:rsid w:val="004C2EE3"/>
    <w:rsid w:val="004C5E67"/>
    <w:rsid w:val="004E4A22"/>
    <w:rsid w:val="005063DB"/>
    <w:rsid w:val="00511968"/>
    <w:rsid w:val="00512585"/>
    <w:rsid w:val="0055614C"/>
    <w:rsid w:val="00566D06"/>
    <w:rsid w:val="00596E76"/>
    <w:rsid w:val="005D6CC3"/>
    <w:rsid w:val="005E14C2"/>
    <w:rsid w:val="00600313"/>
    <w:rsid w:val="00607BA5"/>
    <w:rsid w:val="0061180A"/>
    <w:rsid w:val="00626EB6"/>
    <w:rsid w:val="00655D03"/>
    <w:rsid w:val="00683388"/>
    <w:rsid w:val="00683F84"/>
    <w:rsid w:val="006A6A81"/>
    <w:rsid w:val="006A748C"/>
    <w:rsid w:val="006E067C"/>
    <w:rsid w:val="006F7393"/>
    <w:rsid w:val="0070224F"/>
    <w:rsid w:val="007100B7"/>
    <w:rsid w:val="007115F7"/>
    <w:rsid w:val="00717659"/>
    <w:rsid w:val="0072653B"/>
    <w:rsid w:val="00785689"/>
    <w:rsid w:val="0079754B"/>
    <w:rsid w:val="007A1E6D"/>
    <w:rsid w:val="007B0EB2"/>
    <w:rsid w:val="00810B6F"/>
    <w:rsid w:val="00822CE0"/>
    <w:rsid w:val="00841AB1"/>
    <w:rsid w:val="00883299"/>
    <w:rsid w:val="008A5046"/>
    <w:rsid w:val="008B64DD"/>
    <w:rsid w:val="008C68F1"/>
    <w:rsid w:val="00921803"/>
    <w:rsid w:val="00926503"/>
    <w:rsid w:val="009726D8"/>
    <w:rsid w:val="009934E9"/>
    <w:rsid w:val="009D35B6"/>
    <w:rsid w:val="009D7308"/>
    <w:rsid w:val="009E59AB"/>
    <w:rsid w:val="009F19D8"/>
    <w:rsid w:val="009F76DB"/>
    <w:rsid w:val="00A004C5"/>
    <w:rsid w:val="00A03BDA"/>
    <w:rsid w:val="00A32C3B"/>
    <w:rsid w:val="00A45F4F"/>
    <w:rsid w:val="00A600A9"/>
    <w:rsid w:val="00A6056B"/>
    <w:rsid w:val="00A733E9"/>
    <w:rsid w:val="00AA55B7"/>
    <w:rsid w:val="00AA5B9E"/>
    <w:rsid w:val="00AB2407"/>
    <w:rsid w:val="00AB53DF"/>
    <w:rsid w:val="00AD5EBD"/>
    <w:rsid w:val="00AF773E"/>
    <w:rsid w:val="00B07E5C"/>
    <w:rsid w:val="00B811F7"/>
    <w:rsid w:val="00BA5DC6"/>
    <w:rsid w:val="00BA6196"/>
    <w:rsid w:val="00BC6D8C"/>
    <w:rsid w:val="00C34006"/>
    <w:rsid w:val="00C36B4C"/>
    <w:rsid w:val="00C426B1"/>
    <w:rsid w:val="00C45ADB"/>
    <w:rsid w:val="00C66160"/>
    <w:rsid w:val="00C721AC"/>
    <w:rsid w:val="00C75423"/>
    <w:rsid w:val="00C90D6A"/>
    <w:rsid w:val="00CA243D"/>
    <w:rsid w:val="00CA247E"/>
    <w:rsid w:val="00CA5FA3"/>
    <w:rsid w:val="00CA6D21"/>
    <w:rsid w:val="00CC72B6"/>
    <w:rsid w:val="00D0218D"/>
    <w:rsid w:val="00D02E7B"/>
    <w:rsid w:val="00D120EE"/>
    <w:rsid w:val="00D25FB5"/>
    <w:rsid w:val="00D42542"/>
    <w:rsid w:val="00D44223"/>
    <w:rsid w:val="00DA2529"/>
    <w:rsid w:val="00DB130A"/>
    <w:rsid w:val="00DB2EBB"/>
    <w:rsid w:val="00DB521F"/>
    <w:rsid w:val="00DC10A1"/>
    <w:rsid w:val="00DC655F"/>
    <w:rsid w:val="00DD0B59"/>
    <w:rsid w:val="00DD7EBD"/>
    <w:rsid w:val="00DF62B6"/>
    <w:rsid w:val="00E07225"/>
    <w:rsid w:val="00E5409F"/>
    <w:rsid w:val="00E562BC"/>
    <w:rsid w:val="00EE6488"/>
    <w:rsid w:val="00F021FA"/>
    <w:rsid w:val="00F62E97"/>
    <w:rsid w:val="00F64209"/>
    <w:rsid w:val="00F93BF5"/>
    <w:rsid w:val="00FF2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08C0FE"/>
  <w15:chartTrackingRefBased/>
  <w15:docId w15:val="{629A2BBA-0C1B-4BE6-9EFF-A9A75DF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883299"/>
  </w:style>
  <w:style w:type="table" w:styleId="TableGrid">
    <w:name w:val="Table Grid"/>
    <w:basedOn w:val="TableNormal"/>
    <w:rsid w:val="00DB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mailto:rhcadmin@usac.or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