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D0D11" w14:paraId="17B93E2B" w14:textId="77777777">
      <w:pPr>
        <w:jc w:val="right"/>
        <w:rPr>
          <w:sz w:val="24"/>
        </w:rPr>
      </w:pPr>
    </w:p>
    <w:p w:rsidR="00C736CB" w:rsidRPr="006539ED" w:rsidP="00C736CB" w14:paraId="58C9C41D" w14:textId="7CBCB41D">
      <w:pPr>
        <w:spacing w:after="120"/>
        <w:jc w:val="right"/>
        <w:rPr>
          <w:b/>
          <w:szCs w:val="22"/>
        </w:rPr>
      </w:pPr>
      <w:r>
        <w:rPr>
          <w:b/>
          <w:szCs w:val="22"/>
        </w:rPr>
        <w:t xml:space="preserve">                        </w:t>
      </w:r>
      <w:bookmarkStart w:id="0" w:name="_Hlk78364571"/>
      <w:r>
        <w:rPr>
          <w:b/>
          <w:szCs w:val="22"/>
        </w:rPr>
        <w:t>DA 21-</w:t>
      </w:r>
      <w:r w:rsidR="007D2720">
        <w:rPr>
          <w:b/>
          <w:szCs w:val="22"/>
        </w:rPr>
        <w:t>947</w:t>
      </w:r>
    </w:p>
    <w:p w:rsidR="00C736CB" w:rsidRPr="006539ED" w:rsidP="00C736CB" w14:paraId="4F75755C" w14:textId="77777777">
      <w:pPr>
        <w:spacing w:before="60" w:after="120"/>
        <w:jc w:val="right"/>
        <w:rPr>
          <w:szCs w:val="22"/>
        </w:rPr>
      </w:pPr>
      <w:r w:rsidRPr="006539ED">
        <w:rPr>
          <w:b/>
          <w:szCs w:val="22"/>
        </w:rPr>
        <w:t>Released:</w:t>
      </w:r>
      <w:r>
        <w:rPr>
          <w:b/>
          <w:szCs w:val="22"/>
        </w:rPr>
        <w:t xml:space="preserve">  August 3</w:t>
      </w:r>
      <w:r w:rsidRPr="006539ED">
        <w:rPr>
          <w:b/>
          <w:szCs w:val="22"/>
        </w:rPr>
        <w:t>, 2021</w:t>
      </w:r>
    </w:p>
    <w:p w:rsidR="00C736CB" w:rsidRPr="006539ED" w:rsidP="00C736CB" w14:paraId="682428AE" w14:textId="77777777">
      <w:pPr>
        <w:spacing w:after="120"/>
        <w:jc w:val="center"/>
        <w:rPr>
          <w:b/>
          <w:caps/>
          <w:szCs w:val="22"/>
        </w:rPr>
      </w:pPr>
      <w:bookmarkStart w:id="1" w:name="_Hlk78830710"/>
      <w:r w:rsidRPr="006539ED">
        <w:rPr>
          <w:b/>
          <w:caps/>
          <w:szCs w:val="22"/>
        </w:rPr>
        <w:t xml:space="preserve">Wireline Competition bureau </w:t>
      </w:r>
      <w:r>
        <w:rPr>
          <w:b/>
          <w:caps/>
          <w:szCs w:val="22"/>
        </w:rPr>
        <w:t xml:space="preserve">FinALIZES </w:t>
      </w:r>
      <w:r w:rsidRPr="006539ED">
        <w:rPr>
          <w:b/>
          <w:caps/>
          <w:szCs w:val="22"/>
        </w:rPr>
        <w:t xml:space="preserve">application </w:t>
      </w:r>
      <w:r>
        <w:rPr>
          <w:b/>
          <w:caps/>
          <w:szCs w:val="22"/>
        </w:rPr>
        <w:t xml:space="preserve">Filings, proceDures, cost cATALOG, and replacement list FOR the secure and trusted communications networks </w:t>
      </w:r>
      <w:r w:rsidRPr="006539ED">
        <w:rPr>
          <w:b/>
          <w:caps/>
          <w:szCs w:val="22"/>
        </w:rPr>
        <w:t xml:space="preserve">reimbursement program </w:t>
      </w:r>
    </w:p>
    <w:bookmarkEnd w:id="1"/>
    <w:p w:rsidR="00C736CB" w:rsidRPr="006539ED" w:rsidP="00C736CB" w14:paraId="4E398862" w14:textId="77777777">
      <w:pPr>
        <w:spacing w:after="120"/>
        <w:jc w:val="center"/>
        <w:rPr>
          <w:b/>
          <w:szCs w:val="22"/>
        </w:rPr>
      </w:pPr>
      <w:r w:rsidRPr="006539ED">
        <w:rPr>
          <w:b/>
          <w:szCs w:val="22"/>
        </w:rPr>
        <w:t>WC Docket No. 18-89</w:t>
      </w:r>
    </w:p>
    <w:p w:rsidR="00C736CB" w:rsidRPr="00C736CB" w:rsidP="00C736CB" w14:paraId="1031E408" w14:textId="77777777">
      <w:pPr>
        <w:pStyle w:val="TOCTitle"/>
      </w:pPr>
      <w:r w:rsidRPr="00C736CB">
        <w:t>Table of Contents</w:t>
      </w:r>
    </w:p>
    <w:p w:rsidR="00C736CB" w:rsidRPr="00C736CB" w:rsidP="00C736CB" w14:paraId="6505C4DF" w14:textId="77777777">
      <w:pPr>
        <w:pStyle w:val="TOC1"/>
        <w:rPr>
          <w:rFonts w:ascii="Calibri" w:hAnsi="Calibri"/>
          <w:caps w:val="0"/>
          <w:snapToGrid/>
          <w:kern w:val="0"/>
          <w:szCs w:val="22"/>
        </w:rPr>
      </w:pPr>
      <w:r>
        <w:t>I.</w:t>
      </w:r>
      <w:r w:rsidRPr="00C736CB">
        <w:rPr>
          <w:rFonts w:ascii="Calibri" w:hAnsi="Calibri"/>
          <w:caps w:val="0"/>
          <w:snapToGrid/>
          <w:kern w:val="0"/>
          <w:szCs w:val="22"/>
        </w:rPr>
        <w:tab/>
      </w:r>
      <w:r>
        <w:t>introduction</w:t>
      </w:r>
      <w:r>
        <w:tab/>
        <w:t>1</w:t>
      </w:r>
    </w:p>
    <w:p w:rsidR="00C736CB" w:rsidRPr="00C736CB" w:rsidP="00C736CB" w14:paraId="295E812B" w14:textId="77777777">
      <w:pPr>
        <w:pStyle w:val="TOC1"/>
        <w:rPr>
          <w:rFonts w:ascii="Calibri" w:hAnsi="Calibri"/>
          <w:caps w:val="0"/>
          <w:snapToGrid/>
          <w:kern w:val="0"/>
          <w:szCs w:val="22"/>
        </w:rPr>
      </w:pPr>
      <w:r>
        <w:t>II.</w:t>
      </w:r>
      <w:r w:rsidRPr="00C736CB">
        <w:rPr>
          <w:rFonts w:ascii="Calibri" w:hAnsi="Calibri"/>
          <w:caps w:val="0"/>
          <w:snapToGrid/>
          <w:kern w:val="0"/>
          <w:szCs w:val="22"/>
        </w:rPr>
        <w:tab/>
      </w:r>
      <w:r>
        <w:t>Background</w:t>
      </w:r>
      <w:r>
        <w:tab/>
        <w:t>2</w:t>
      </w:r>
    </w:p>
    <w:p w:rsidR="00C736CB" w:rsidRPr="00C736CB" w:rsidP="00C736CB" w14:paraId="298E2684" w14:textId="77777777">
      <w:pPr>
        <w:pStyle w:val="TOC1"/>
        <w:rPr>
          <w:rFonts w:ascii="Calibri" w:hAnsi="Calibri"/>
          <w:caps w:val="0"/>
          <w:snapToGrid/>
          <w:kern w:val="0"/>
          <w:szCs w:val="22"/>
        </w:rPr>
      </w:pPr>
      <w:r w:rsidRPr="00E30E76">
        <w:rPr>
          <w:caps w:val="0"/>
        </w:rPr>
        <w:t>III.</w:t>
      </w:r>
      <w:r w:rsidRPr="00C736CB">
        <w:rPr>
          <w:rFonts w:ascii="Calibri" w:hAnsi="Calibri"/>
          <w:caps w:val="0"/>
          <w:snapToGrid/>
          <w:kern w:val="0"/>
          <w:szCs w:val="22"/>
        </w:rPr>
        <w:tab/>
      </w:r>
      <w:r w:rsidRPr="00E30E76">
        <w:rPr>
          <w:caps w:val="0"/>
        </w:rPr>
        <w:t>DISCUSSION</w:t>
      </w:r>
      <w:r>
        <w:tab/>
        <w:t>6</w:t>
      </w:r>
    </w:p>
    <w:p w:rsidR="00C736CB" w:rsidRPr="00C736CB" w:rsidP="00C736CB" w14:paraId="4D684BE7" w14:textId="77777777">
      <w:pPr>
        <w:pStyle w:val="TOC2"/>
        <w:tabs>
          <w:tab w:val="left" w:pos="360"/>
        </w:tabs>
        <w:rPr>
          <w:rFonts w:ascii="Calibri" w:hAnsi="Calibri"/>
          <w:snapToGrid/>
          <w:kern w:val="0"/>
          <w:szCs w:val="22"/>
        </w:rPr>
      </w:pPr>
      <w:r>
        <w:t xml:space="preserve">A.  </w:t>
      </w:r>
      <w:r w:rsidRPr="00C736CB">
        <w:rPr>
          <w:rFonts w:ascii="Calibri" w:hAnsi="Calibri"/>
          <w:snapToGrid/>
          <w:kern w:val="0"/>
          <w:szCs w:val="22"/>
        </w:rPr>
        <w:tab/>
      </w:r>
      <w:r>
        <w:t>FCC Form 5640 - Application Re</w:t>
      </w:r>
      <w:r>
        <w:t>quest for Funding Allocation and Reimbursement Claim Requests</w:t>
      </w:r>
      <w:r>
        <w:tab/>
        <w:t>6</w:t>
      </w:r>
    </w:p>
    <w:p w:rsidR="00C736CB" w:rsidRPr="00C736CB" w:rsidP="00C736CB" w14:paraId="3534AE5E" w14:textId="77777777">
      <w:pPr>
        <w:pStyle w:val="TOC3"/>
        <w:tabs>
          <w:tab w:val="left" w:pos="360"/>
        </w:tabs>
        <w:rPr>
          <w:rFonts w:ascii="Calibri" w:hAnsi="Calibri"/>
          <w:snapToGrid/>
          <w:kern w:val="0"/>
          <w:szCs w:val="22"/>
        </w:rPr>
      </w:pPr>
      <w:r>
        <w:t>1.</w:t>
      </w:r>
      <w:r w:rsidRPr="00C736CB">
        <w:rPr>
          <w:rFonts w:ascii="Calibri" w:hAnsi="Calibri"/>
          <w:snapToGrid/>
          <w:kern w:val="0"/>
          <w:szCs w:val="22"/>
        </w:rPr>
        <w:tab/>
      </w:r>
      <w:r>
        <w:t>Application Request for Funding Allocation Form</w:t>
      </w:r>
      <w:r>
        <w:tab/>
        <w:t>7</w:t>
      </w:r>
    </w:p>
    <w:p w:rsidR="00C736CB" w:rsidRPr="00C736CB" w:rsidP="00C736CB" w14:paraId="411210A2" w14:textId="77777777">
      <w:pPr>
        <w:pStyle w:val="TOC3"/>
        <w:tabs>
          <w:tab w:val="left" w:pos="360"/>
        </w:tabs>
        <w:rPr>
          <w:rFonts w:ascii="Calibri" w:hAnsi="Calibri"/>
          <w:snapToGrid/>
          <w:kern w:val="0"/>
          <w:szCs w:val="22"/>
        </w:rPr>
      </w:pPr>
      <w:r>
        <w:t>2.</w:t>
      </w:r>
      <w:r w:rsidRPr="00C736CB">
        <w:rPr>
          <w:rFonts w:ascii="Calibri" w:hAnsi="Calibri"/>
          <w:snapToGrid/>
          <w:kern w:val="0"/>
          <w:szCs w:val="22"/>
        </w:rPr>
        <w:tab/>
      </w:r>
      <w:r>
        <w:t>Online Filing Portal</w:t>
      </w:r>
      <w:r>
        <w:tab/>
        <w:t>18</w:t>
      </w:r>
    </w:p>
    <w:p w:rsidR="00C736CB" w:rsidRPr="00C736CB" w:rsidP="00C736CB" w14:paraId="6D14F170" w14:textId="77777777">
      <w:pPr>
        <w:pStyle w:val="TOC3"/>
        <w:tabs>
          <w:tab w:val="left" w:pos="360"/>
        </w:tabs>
        <w:rPr>
          <w:rFonts w:ascii="Calibri" w:hAnsi="Calibri"/>
          <w:snapToGrid/>
          <w:kern w:val="0"/>
          <w:szCs w:val="22"/>
        </w:rPr>
      </w:pPr>
      <w:r>
        <w:t>3.</w:t>
      </w:r>
      <w:r w:rsidRPr="00C736CB">
        <w:rPr>
          <w:rFonts w:ascii="Calibri" w:hAnsi="Calibri"/>
          <w:snapToGrid/>
          <w:kern w:val="0"/>
          <w:szCs w:val="22"/>
        </w:rPr>
        <w:tab/>
      </w:r>
      <w:r>
        <w:t>Filing Window</w:t>
      </w:r>
      <w:r>
        <w:tab/>
        <w:t>20</w:t>
      </w:r>
    </w:p>
    <w:p w:rsidR="00C736CB" w:rsidRPr="00C736CB" w:rsidP="00C736CB" w14:paraId="577F46AE" w14:textId="77777777">
      <w:pPr>
        <w:pStyle w:val="TOC3"/>
        <w:tabs>
          <w:tab w:val="left" w:pos="360"/>
        </w:tabs>
        <w:rPr>
          <w:rFonts w:ascii="Calibri" w:hAnsi="Calibri"/>
          <w:snapToGrid/>
          <w:kern w:val="0"/>
          <w:szCs w:val="22"/>
        </w:rPr>
      </w:pPr>
      <w:r>
        <w:t>4.</w:t>
      </w:r>
      <w:r w:rsidRPr="00C736CB">
        <w:rPr>
          <w:rFonts w:ascii="Calibri" w:hAnsi="Calibri"/>
          <w:snapToGrid/>
          <w:kern w:val="0"/>
          <w:szCs w:val="22"/>
        </w:rPr>
        <w:tab/>
      </w:r>
      <w:r>
        <w:t>Reimbursement Program Eligibility Verification</w:t>
      </w:r>
      <w:r>
        <w:tab/>
        <w:t>21</w:t>
      </w:r>
    </w:p>
    <w:p w:rsidR="00C736CB" w:rsidRPr="00C736CB" w:rsidP="00C736CB" w14:paraId="48C757C1" w14:textId="77777777">
      <w:pPr>
        <w:pStyle w:val="TOC3"/>
        <w:tabs>
          <w:tab w:val="left" w:pos="360"/>
        </w:tabs>
        <w:rPr>
          <w:rFonts w:ascii="Calibri" w:hAnsi="Calibri"/>
          <w:snapToGrid/>
          <w:kern w:val="0"/>
          <w:szCs w:val="22"/>
        </w:rPr>
      </w:pPr>
      <w:r>
        <w:t>5.</w:t>
      </w:r>
      <w:r w:rsidRPr="00C736CB">
        <w:rPr>
          <w:rFonts w:ascii="Calibri" w:hAnsi="Calibri"/>
          <w:snapToGrid/>
          <w:kern w:val="0"/>
          <w:szCs w:val="22"/>
        </w:rPr>
        <w:tab/>
      </w:r>
      <w:r>
        <w:t>Cost Estimates</w:t>
      </w:r>
      <w:r>
        <w:tab/>
        <w:t>25</w:t>
      </w:r>
    </w:p>
    <w:p w:rsidR="00C736CB" w:rsidRPr="00C736CB" w:rsidP="00C736CB" w14:paraId="227E5916" w14:textId="77777777">
      <w:pPr>
        <w:pStyle w:val="TOC3"/>
        <w:tabs>
          <w:tab w:val="left" w:pos="360"/>
        </w:tabs>
        <w:rPr>
          <w:rFonts w:ascii="Calibri" w:hAnsi="Calibri"/>
          <w:snapToGrid/>
          <w:kern w:val="0"/>
          <w:szCs w:val="22"/>
        </w:rPr>
      </w:pPr>
      <w:r>
        <w:t>6.</w:t>
      </w:r>
      <w:r w:rsidRPr="00C736CB">
        <w:rPr>
          <w:rFonts w:ascii="Calibri" w:hAnsi="Calibri"/>
          <w:snapToGrid/>
          <w:kern w:val="0"/>
          <w:szCs w:val="22"/>
        </w:rPr>
        <w:tab/>
      </w:r>
      <w:r>
        <w:t>Reviewing Applications</w:t>
      </w:r>
      <w:r>
        <w:tab/>
        <w:t>33</w:t>
      </w:r>
    </w:p>
    <w:p w:rsidR="00C736CB" w:rsidRPr="00C736CB" w:rsidP="00C736CB" w14:paraId="642C6FE4" w14:textId="77777777">
      <w:pPr>
        <w:pStyle w:val="TOC3"/>
        <w:tabs>
          <w:tab w:val="left" w:pos="360"/>
        </w:tabs>
        <w:rPr>
          <w:rFonts w:ascii="Calibri" w:hAnsi="Calibri"/>
          <w:snapToGrid/>
          <w:kern w:val="0"/>
          <w:szCs w:val="22"/>
        </w:rPr>
      </w:pPr>
      <w:r>
        <w:t>7.</w:t>
      </w:r>
      <w:r w:rsidRPr="00C736CB">
        <w:rPr>
          <w:rFonts w:ascii="Calibri" w:hAnsi="Calibri"/>
          <w:snapToGrid/>
          <w:kern w:val="0"/>
          <w:szCs w:val="22"/>
        </w:rPr>
        <w:tab/>
      </w:r>
      <w:r>
        <w:t>Funding Allocation</w:t>
      </w:r>
      <w:r>
        <w:tab/>
        <w:t>41</w:t>
      </w:r>
    </w:p>
    <w:p w:rsidR="00C736CB" w:rsidRPr="00C736CB" w:rsidP="00C736CB" w14:paraId="17CD61EF" w14:textId="77777777">
      <w:pPr>
        <w:pStyle w:val="TOC3"/>
        <w:tabs>
          <w:tab w:val="left" w:pos="360"/>
        </w:tabs>
        <w:rPr>
          <w:rFonts w:ascii="Calibri" w:hAnsi="Calibri"/>
          <w:snapToGrid/>
          <w:kern w:val="0"/>
          <w:szCs w:val="22"/>
        </w:rPr>
      </w:pPr>
      <w:r>
        <w:t>8.</w:t>
      </w:r>
      <w:r w:rsidRPr="00C736CB">
        <w:rPr>
          <w:rFonts w:ascii="Calibri" w:hAnsi="Calibri"/>
          <w:snapToGrid/>
          <w:kern w:val="0"/>
          <w:szCs w:val="22"/>
        </w:rPr>
        <w:tab/>
      </w:r>
      <w:r>
        <w:t>Reimbursement Claim Requests</w:t>
      </w:r>
      <w:r>
        <w:tab/>
        <w:t>44</w:t>
      </w:r>
    </w:p>
    <w:p w:rsidR="00C736CB" w:rsidRPr="00C736CB" w:rsidP="00C736CB" w14:paraId="3D32DB13" w14:textId="77777777">
      <w:pPr>
        <w:pStyle w:val="TOC3"/>
        <w:tabs>
          <w:tab w:val="left" w:pos="360"/>
        </w:tabs>
        <w:rPr>
          <w:rFonts w:ascii="Calibri" w:hAnsi="Calibri"/>
          <w:snapToGrid/>
          <w:kern w:val="0"/>
          <w:szCs w:val="22"/>
        </w:rPr>
      </w:pPr>
      <w:r>
        <w:t>9.</w:t>
      </w:r>
      <w:r w:rsidRPr="00C736CB">
        <w:rPr>
          <w:rFonts w:ascii="Calibri" w:hAnsi="Calibri"/>
          <w:snapToGrid/>
          <w:kern w:val="0"/>
          <w:szCs w:val="22"/>
        </w:rPr>
        <w:tab/>
      </w:r>
      <w:r>
        <w:t>Amendments, Modifications, Administrative Updates, and Notification of Ownership Changes</w:t>
      </w:r>
      <w:r>
        <w:tab/>
        <w:t>52</w:t>
      </w:r>
    </w:p>
    <w:p w:rsidR="00C736CB" w:rsidRPr="00C736CB" w:rsidP="00C736CB" w14:paraId="630B4C28" w14:textId="77777777">
      <w:pPr>
        <w:pStyle w:val="TOC3"/>
        <w:tabs>
          <w:tab w:val="left" w:pos="360"/>
        </w:tabs>
        <w:rPr>
          <w:rFonts w:ascii="Calibri" w:hAnsi="Calibri"/>
          <w:snapToGrid/>
          <w:kern w:val="0"/>
          <w:szCs w:val="22"/>
        </w:rPr>
      </w:pPr>
      <w:r>
        <w:t>10.</w:t>
      </w:r>
      <w:r w:rsidRPr="00C736CB">
        <w:rPr>
          <w:rFonts w:ascii="Calibri" w:hAnsi="Calibri"/>
          <w:snapToGrid/>
          <w:kern w:val="0"/>
          <w:szCs w:val="22"/>
        </w:rPr>
        <w:tab/>
      </w:r>
      <w:r>
        <w:t>Removal, Replacement, and Disposal Term</w:t>
      </w:r>
      <w:r>
        <w:tab/>
        <w:t>56</w:t>
      </w:r>
    </w:p>
    <w:p w:rsidR="00C736CB" w:rsidRPr="00C736CB" w:rsidP="00C736CB" w14:paraId="437575B8" w14:textId="77777777">
      <w:pPr>
        <w:pStyle w:val="TOC3"/>
        <w:tabs>
          <w:tab w:val="left" w:pos="360"/>
        </w:tabs>
        <w:rPr>
          <w:rFonts w:ascii="Calibri" w:hAnsi="Calibri"/>
          <w:snapToGrid/>
          <w:kern w:val="0"/>
          <w:szCs w:val="22"/>
        </w:rPr>
      </w:pPr>
      <w:r>
        <w:t>11.</w:t>
      </w:r>
      <w:r w:rsidRPr="00C736CB">
        <w:rPr>
          <w:rFonts w:ascii="Calibri" w:hAnsi="Calibri"/>
          <w:snapToGrid/>
          <w:kern w:val="0"/>
          <w:szCs w:val="22"/>
        </w:rPr>
        <w:tab/>
      </w:r>
      <w:r>
        <w:t>Status Updates, Spending</w:t>
      </w:r>
      <w:r>
        <w:t xml:space="preserve"> Reports, and Final Certification and Update</w:t>
      </w:r>
      <w:r>
        <w:tab/>
        <w:t>61</w:t>
      </w:r>
    </w:p>
    <w:p w:rsidR="00C736CB" w:rsidRPr="00C736CB" w:rsidP="00C736CB" w14:paraId="0C31EFDC" w14:textId="77777777">
      <w:pPr>
        <w:pStyle w:val="TOC3"/>
        <w:tabs>
          <w:tab w:val="left" w:pos="360"/>
        </w:tabs>
        <w:rPr>
          <w:rFonts w:ascii="Calibri" w:hAnsi="Calibri"/>
          <w:snapToGrid/>
          <w:kern w:val="0"/>
          <w:szCs w:val="22"/>
        </w:rPr>
      </w:pPr>
      <w:r>
        <w:t>12.</w:t>
      </w:r>
      <w:r w:rsidRPr="00C736CB">
        <w:rPr>
          <w:rFonts w:ascii="Calibri" w:hAnsi="Calibri"/>
          <w:snapToGrid/>
          <w:kern w:val="0"/>
          <w:szCs w:val="22"/>
        </w:rPr>
        <w:tab/>
      </w:r>
      <w:r>
        <w:t>Public Search Portal and Confidentiality</w:t>
      </w:r>
      <w:r>
        <w:tab/>
        <w:t>66</w:t>
      </w:r>
    </w:p>
    <w:p w:rsidR="00C736CB" w:rsidRPr="00C736CB" w:rsidP="00C736CB" w14:paraId="72CB807E" w14:textId="77777777">
      <w:pPr>
        <w:pStyle w:val="TOC3"/>
        <w:tabs>
          <w:tab w:val="left" w:pos="360"/>
        </w:tabs>
        <w:rPr>
          <w:rFonts w:ascii="Calibri" w:hAnsi="Calibri"/>
          <w:snapToGrid/>
          <w:kern w:val="0"/>
          <w:szCs w:val="22"/>
        </w:rPr>
      </w:pPr>
      <w:r>
        <w:t>13.</w:t>
      </w:r>
      <w:r w:rsidRPr="00C736CB">
        <w:rPr>
          <w:rFonts w:ascii="Calibri" w:hAnsi="Calibri"/>
          <w:snapToGrid/>
          <w:kern w:val="0"/>
          <w:szCs w:val="22"/>
        </w:rPr>
        <w:tab/>
      </w:r>
      <w:r>
        <w:t>Audits, Reviews, and Field Investigations</w:t>
      </w:r>
      <w:r>
        <w:tab/>
        <w:t>71</w:t>
      </w:r>
    </w:p>
    <w:p w:rsidR="00C736CB" w:rsidRPr="00C736CB" w:rsidP="00C736CB" w14:paraId="040D5D1C" w14:textId="77777777">
      <w:pPr>
        <w:pStyle w:val="TOC2"/>
        <w:tabs>
          <w:tab w:val="left" w:pos="360"/>
        </w:tabs>
        <w:rPr>
          <w:rFonts w:ascii="Calibri" w:hAnsi="Calibri"/>
          <w:snapToGrid/>
          <w:kern w:val="0"/>
          <w:szCs w:val="22"/>
        </w:rPr>
      </w:pPr>
      <w:r>
        <w:t>B.</w:t>
      </w:r>
      <w:r w:rsidRPr="00C736CB">
        <w:rPr>
          <w:rFonts w:ascii="Calibri" w:hAnsi="Calibri"/>
          <w:snapToGrid/>
          <w:kern w:val="0"/>
          <w:szCs w:val="22"/>
        </w:rPr>
        <w:tab/>
      </w:r>
      <w:r>
        <w:t>Catalog of Eligible Expenses and Estimated Costs</w:t>
      </w:r>
      <w:r>
        <w:tab/>
        <w:t>73</w:t>
      </w:r>
    </w:p>
    <w:p w:rsidR="00C736CB" w:rsidRPr="00C736CB" w:rsidP="00C736CB" w14:paraId="0FB9AE0D" w14:textId="77777777">
      <w:pPr>
        <w:pStyle w:val="TOC2"/>
        <w:tabs>
          <w:tab w:val="left" w:pos="360"/>
        </w:tabs>
        <w:rPr>
          <w:rFonts w:ascii="Calibri" w:hAnsi="Calibri"/>
          <w:snapToGrid/>
          <w:kern w:val="0"/>
          <w:szCs w:val="22"/>
        </w:rPr>
      </w:pPr>
      <w:r>
        <w:t>C.</w:t>
      </w:r>
      <w:r w:rsidRPr="00C736CB">
        <w:rPr>
          <w:rFonts w:ascii="Calibri" w:hAnsi="Calibri"/>
          <w:snapToGrid/>
          <w:kern w:val="0"/>
          <w:szCs w:val="22"/>
        </w:rPr>
        <w:tab/>
      </w:r>
      <w:r>
        <w:t>Final Replacement List</w:t>
      </w:r>
      <w:r>
        <w:tab/>
        <w:t>106</w:t>
      </w:r>
    </w:p>
    <w:p w:rsidR="00C736CB" w:rsidRPr="00C736CB" w:rsidP="00C736CB" w14:paraId="6156E902" w14:textId="77777777">
      <w:pPr>
        <w:pStyle w:val="TOC2"/>
        <w:tabs>
          <w:tab w:val="left" w:pos="360"/>
        </w:tabs>
        <w:rPr>
          <w:rFonts w:ascii="Calibri" w:hAnsi="Calibri"/>
          <w:snapToGrid/>
          <w:kern w:val="0"/>
          <w:szCs w:val="22"/>
        </w:rPr>
      </w:pPr>
      <w:r>
        <w:t>D.</w:t>
      </w:r>
      <w:r w:rsidRPr="00C736CB">
        <w:rPr>
          <w:rFonts w:ascii="Calibri" w:hAnsi="Calibri"/>
          <w:snapToGrid/>
          <w:kern w:val="0"/>
          <w:szCs w:val="22"/>
        </w:rPr>
        <w:tab/>
      </w:r>
      <w:r>
        <w:t>Widelity Report</w:t>
      </w:r>
      <w:r>
        <w:tab/>
        <w:t>110</w:t>
      </w:r>
    </w:p>
    <w:p w:rsidR="00C736CB" w:rsidRPr="00C736CB" w:rsidP="00C736CB" w14:paraId="5E35EC15" w14:textId="77777777">
      <w:pPr>
        <w:pStyle w:val="TOC1"/>
      </w:pPr>
      <w:r>
        <w:t>IV.</w:t>
      </w:r>
      <w:r w:rsidRPr="00C736CB">
        <w:rPr>
          <w:rFonts w:ascii="Calibri" w:hAnsi="Calibri"/>
          <w:caps w:val="0"/>
          <w:snapToGrid/>
          <w:kern w:val="0"/>
          <w:szCs w:val="22"/>
        </w:rPr>
        <w:tab/>
      </w:r>
      <w:r>
        <w:t>Procedural Matters</w:t>
      </w:r>
      <w:r>
        <w:tab/>
        <w:t>111</w:t>
      </w:r>
    </w:p>
    <w:p w:rsidR="00C736CB" w:rsidRPr="00725A88" w:rsidP="00C736CB" w14:paraId="55AED338" w14:textId="77777777">
      <w:pPr>
        <w:pStyle w:val="ParaNum"/>
        <w:numPr>
          <w:ilvl w:val="0"/>
          <w:numId w:val="0"/>
        </w:numPr>
        <w:spacing w:after="0"/>
        <w:ind w:left="1890" w:hanging="1530"/>
      </w:pPr>
      <w:r>
        <w:t>APPENDIX A – FCC Form 5640: SCRP Application Request for Funding Allocation, Section 1.50004(c)</w:t>
      </w:r>
    </w:p>
    <w:p w:rsidR="00C736CB" w:rsidP="00C736CB" w14:paraId="2EE9F345" w14:textId="77777777">
      <w:pPr>
        <w:pStyle w:val="ParaNum"/>
        <w:numPr>
          <w:ilvl w:val="0"/>
          <w:numId w:val="0"/>
        </w:numPr>
        <w:spacing w:after="0"/>
        <w:ind w:left="360"/>
      </w:pPr>
      <w:r>
        <w:t>APPENDIX B – FCC Form 5640: SCRP Reimbursement Claim Request, Section 1.50004(g)</w:t>
      </w:r>
    </w:p>
    <w:p w:rsidR="00C736CB" w:rsidP="00C736CB" w14:paraId="6026756E" w14:textId="77777777">
      <w:pPr>
        <w:pStyle w:val="ParaNum"/>
        <w:numPr>
          <w:ilvl w:val="0"/>
          <w:numId w:val="0"/>
        </w:numPr>
        <w:spacing w:after="0"/>
        <w:ind w:left="360"/>
      </w:pPr>
      <w:r>
        <w:t xml:space="preserve">APPENDIX C – </w:t>
      </w:r>
      <w:r w:rsidRPr="00EE447B">
        <w:t>Final</w:t>
      </w:r>
      <w:r>
        <w:t xml:space="preserve"> </w:t>
      </w:r>
      <w:r w:rsidRPr="00B47078">
        <w:t xml:space="preserve">Catalog of Eligible Expenses and </w:t>
      </w:r>
      <w:r w:rsidRPr="00B47078">
        <w:t>Estimated Costs</w:t>
      </w:r>
      <w:r>
        <w:t xml:space="preserve"> </w:t>
      </w:r>
    </w:p>
    <w:p w:rsidR="00C736CB" w:rsidRPr="0073158F" w:rsidP="00C736CB" w14:paraId="3E73F539" w14:textId="77777777">
      <w:pPr>
        <w:pStyle w:val="ParaNum"/>
        <w:numPr>
          <w:ilvl w:val="0"/>
          <w:numId w:val="0"/>
        </w:numPr>
        <w:spacing w:after="0"/>
        <w:ind w:left="360"/>
      </w:pPr>
      <w:r>
        <w:t xml:space="preserve">APPENDIX D – </w:t>
      </w:r>
      <w:r w:rsidRPr="00EE447B">
        <w:t>Final</w:t>
      </w:r>
      <w:r>
        <w:t xml:space="preserve"> List of Categories of Suggested Replacement Equipment and Services </w:t>
      </w:r>
    </w:p>
    <w:p w:rsidR="00C736CB" w:rsidRPr="0073158F" w:rsidP="00C736CB" w14:paraId="019353A4" w14:textId="77777777">
      <w:pPr>
        <w:pStyle w:val="ParaNum"/>
        <w:numPr>
          <w:ilvl w:val="0"/>
          <w:numId w:val="0"/>
        </w:numPr>
        <w:ind w:left="360"/>
      </w:pPr>
      <w:r>
        <w:t>APPENDIX E – List of Commenters</w:t>
      </w:r>
    </w:p>
    <w:p w:rsidR="00C736CB" w:rsidRPr="00861A88" w:rsidP="00C736CB" w14:paraId="0BFC7C72" w14:textId="77777777">
      <w:pPr>
        <w:pStyle w:val="Heading1"/>
      </w:pPr>
      <w:bookmarkStart w:id="2" w:name="_Toc75940336"/>
      <w:bookmarkStart w:id="3" w:name="_Toc76912037"/>
      <w:bookmarkStart w:id="4" w:name="_Toc76912128"/>
      <w:bookmarkStart w:id="5" w:name="_Toc78364543"/>
      <w:bookmarkStart w:id="6" w:name="_Toc78815408"/>
      <w:bookmarkStart w:id="7" w:name="_Toc78815556"/>
      <w:r>
        <w:t>introduction</w:t>
      </w:r>
      <w:bookmarkEnd w:id="2"/>
      <w:bookmarkEnd w:id="3"/>
      <w:bookmarkEnd w:id="4"/>
      <w:bookmarkEnd w:id="5"/>
      <w:bookmarkEnd w:id="6"/>
      <w:bookmarkEnd w:id="7"/>
    </w:p>
    <w:p w:rsidR="00C736CB" w:rsidP="00C736CB" w14:paraId="703EC7ED" w14:textId="77777777">
      <w:pPr>
        <w:pStyle w:val="ParaNum"/>
        <w:widowControl/>
        <w:tabs>
          <w:tab w:val="left" w:pos="1440"/>
        </w:tabs>
      </w:pPr>
      <w:r w:rsidRPr="77659CA4">
        <w:t xml:space="preserve">By this Public Notice, the Wireline Competition Bureau (Bureau) </w:t>
      </w:r>
      <w:r>
        <w:t xml:space="preserve">adopts final procedures for, and </w:t>
      </w:r>
      <w:r w:rsidRPr="77659CA4">
        <w:t>provides eligible providers of advanced communications services with additional guidance regarding</w:t>
      </w:r>
      <w:r>
        <w:t>,</w:t>
      </w:r>
      <w:r w:rsidRPr="77659CA4">
        <w:t xml:space="preserve"> the application filing and reimbursement process for the $1</w:t>
      </w:r>
      <w:r w:rsidRPr="77659CA4">
        <w:t xml:space="preserve">.9 billion Secure and Trusted </w:t>
      </w:r>
      <w:r w:rsidRPr="77659CA4">
        <w:t>Communications Networks Reimbursement Program (Reimbursement Program).</w:t>
      </w:r>
      <w:r>
        <w:rPr>
          <w:rStyle w:val="FootnoteReference"/>
        </w:rPr>
        <w:footnoteReference w:id="3"/>
      </w:r>
      <w:r w:rsidRPr="77659CA4">
        <w:t xml:space="preserve">  </w:t>
      </w:r>
      <w:r>
        <w:t xml:space="preserve">After considering comments received in response to the </w:t>
      </w:r>
      <w:r w:rsidRPr="00735110">
        <w:rPr>
          <w:i/>
          <w:iCs/>
        </w:rPr>
        <w:t>Reimbursement Process Public Notice</w:t>
      </w:r>
      <w:r>
        <w:t>,</w:t>
      </w:r>
      <w:r>
        <w:rPr>
          <w:rStyle w:val="FootnoteReference"/>
        </w:rPr>
        <w:footnoteReference w:id="4"/>
      </w:r>
      <w:r>
        <w:t xml:space="preserve"> </w:t>
      </w:r>
      <w:r w:rsidRPr="77659CA4">
        <w:t>the Bureau finalizes the information fields on the new FCC</w:t>
      </w:r>
      <w:r w:rsidRPr="77659CA4">
        <w:t xml:space="preserve"> Form 5640</w:t>
      </w:r>
      <w:r w:rsidRPr="00C73490">
        <w:rPr>
          <w:szCs w:val="22"/>
        </w:rPr>
        <w:t xml:space="preserve">, </w:t>
      </w:r>
      <w:r w:rsidRPr="77659CA4">
        <w:t xml:space="preserve">which participants must submit to request funding allocations and disbursements from the Reimbursement Program, as well as the procedures </w:t>
      </w:r>
      <w:r>
        <w:t xml:space="preserve">governing the </w:t>
      </w:r>
      <w:r w:rsidRPr="77659CA4">
        <w:t xml:space="preserve">submission </w:t>
      </w:r>
      <w:r>
        <w:t xml:space="preserve">of </w:t>
      </w:r>
      <w:r w:rsidRPr="77659CA4">
        <w:t xml:space="preserve">and </w:t>
      </w:r>
      <w:r>
        <w:t xml:space="preserve">any </w:t>
      </w:r>
      <w:r w:rsidRPr="77659CA4">
        <w:t>modification</w:t>
      </w:r>
      <w:r>
        <w:t>s made</w:t>
      </w:r>
      <w:r w:rsidRPr="77659CA4">
        <w:t xml:space="preserve"> </w:t>
      </w:r>
      <w:r>
        <w:t xml:space="preserve">to </w:t>
      </w:r>
      <w:r w:rsidRPr="77659CA4">
        <w:t>that form</w:t>
      </w:r>
      <w:r w:rsidRPr="00C73490">
        <w:rPr>
          <w:szCs w:val="22"/>
        </w:rPr>
        <w:t>.</w:t>
      </w:r>
      <w:r>
        <w:rPr>
          <w:szCs w:val="22"/>
        </w:rPr>
        <w:t xml:space="preserve">  </w:t>
      </w:r>
      <w:r>
        <w:t>Acting Chairwoman Rosenworcel has an</w:t>
      </w:r>
      <w:r>
        <w:t>nounced a “target date” of October 29, 2021 to open the Reimbursement Program filing window to begin accepting applications.</w:t>
      </w:r>
      <w:r>
        <w:rPr>
          <w:rStyle w:val="FootnoteReference"/>
        </w:rPr>
        <w:footnoteReference w:id="5"/>
      </w:r>
      <w:r>
        <w:t xml:space="preserve">  Prior to the target date,</w:t>
      </w:r>
      <w:r w:rsidRPr="77659CA4">
        <w:t xml:space="preserve"> </w:t>
      </w:r>
      <w:r>
        <w:rPr>
          <w:szCs w:val="22"/>
        </w:rPr>
        <w:t>t</w:t>
      </w:r>
      <w:r w:rsidRPr="77659CA4">
        <w:t>he Bureau will announce in a forthcoming public notice when it will open the Reimbursement Program on</w:t>
      </w:r>
      <w:r w:rsidRPr="77659CA4">
        <w:t>line portal and</w:t>
      </w:r>
      <w:r w:rsidRPr="00C73490">
        <w:rPr>
          <w:szCs w:val="22"/>
        </w:rPr>
        <w:t xml:space="preserve"> </w:t>
      </w:r>
      <w:r w:rsidRPr="77659CA4">
        <w:t xml:space="preserve">begin accepting </w:t>
      </w:r>
      <w:r>
        <w:t>applications, and the filing window closing date</w:t>
      </w:r>
      <w:r w:rsidRPr="77659CA4">
        <w:t>.</w:t>
      </w:r>
      <w:r>
        <w:t xml:space="preserve">  Finally, after considering comments received in response to the </w:t>
      </w:r>
      <w:r w:rsidRPr="00C73490">
        <w:rPr>
          <w:i/>
        </w:rPr>
        <w:t>Catalog Public Notice</w:t>
      </w:r>
      <w:r>
        <w:t>,</w:t>
      </w:r>
      <w:r>
        <w:rPr>
          <w:rStyle w:val="FootnoteReference"/>
        </w:rPr>
        <w:footnoteReference w:id="6"/>
      </w:r>
      <w:r>
        <w:t xml:space="preserve"> t</w:t>
      </w:r>
      <w:r w:rsidRPr="77659CA4">
        <w:t xml:space="preserve">he Bureau also finalizes </w:t>
      </w:r>
      <w:r>
        <w:t xml:space="preserve">with this Public Notice </w:t>
      </w:r>
      <w:r w:rsidRPr="77659CA4">
        <w:t>the Catalog of Eligible Expenses a</w:t>
      </w:r>
      <w:r w:rsidRPr="77659CA4">
        <w:t>nd Estimated Costs (Catalog) and the List of Categories of Suggested Replacement Equipment and Services (Replacement List)</w:t>
      </w:r>
      <w:r>
        <w:t xml:space="preserve"> which will be made a</w:t>
      </w:r>
      <w:r w:rsidRPr="77659CA4">
        <w:t>vailable on the Commission’s website</w:t>
      </w:r>
      <w:r w:rsidRPr="00C73490">
        <w:rPr>
          <w:szCs w:val="22"/>
        </w:rPr>
        <w:t>.</w:t>
      </w:r>
      <w:r>
        <w:rPr>
          <w:rStyle w:val="FootnoteReference"/>
        </w:rPr>
        <w:footnoteReference w:id="7"/>
      </w:r>
    </w:p>
    <w:p w:rsidR="00C736CB" w:rsidP="00C736CB" w14:paraId="3388C260" w14:textId="77777777">
      <w:pPr>
        <w:pStyle w:val="Heading1"/>
      </w:pPr>
      <w:bookmarkStart w:id="8" w:name="_Toc75940337"/>
      <w:bookmarkStart w:id="9" w:name="_Toc76912038"/>
      <w:bookmarkStart w:id="10" w:name="_Toc76912129"/>
      <w:bookmarkStart w:id="11" w:name="_Toc78364544"/>
      <w:bookmarkStart w:id="12" w:name="_Toc78815409"/>
      <w:bookmarkStart w:id="13" w:name="_Toc78815557"/>
      <w:r w:rsidRPr="006539ED">
        <w:t>Backgroun</w:t>
      </w:r>
      <w:r>
        <w:t>d</w:t>
      </w:r>
      <w:bookmarkEnd w:id="8"/>
      <w:bookmarkEnd w:id="9"/>
      <w:bookmarkEnd w:id="10"/>
      <w:bookmarkEnd w:id="11"/>
      <w:bookmarkEnd w:id="12"/>
      <w:bookmarkEnd w:id="13"/>
    </w:p>
    <w:p w:rsidR="00C736CB" w:rsidRPr="00743E9B" w:rsidP="00C736CB" w14:paraId="2095B511" w14:textId="77777777">
      <w:pPr>
        <w:pStyle w:val="ParaNum"/>
        <w:widowControl/>
        <w:tabs>
          <w:tab w:val="left" w:pos="1440"/>
        </w:tabs>
      </w:pPr>
      <w:r w:rsidRPr="00743E9B">
        <w:t xml:space="preserve">The Secure and Trusted </w:t>
      </w:r>
      <w:r>
        <w:t xml:space="preserve">Communications </w:t>
      </w:r>
      <w:r w:rsidRPr="00743E9B">
        <w:t>Networks Act of 2019 (Se</w:t>
      </w:r>
      <w:r w:rsidRPr="00743E9B">
        <w:t>cure Networks Act)</w:t>
      </w:r>
      <w:r>
        <w:t xml:space="preserve"> </w:t>
      </w:r>
      <w:r w:rsidRPr="00743E9B">
        <w:t>direct</w:t>
      </w:r>
      <w:r>
        <w:t>s</w:t>
      </w:r>
      <w:r w:rsidRPr="00743E9B">
        <w:t xml:space="preserve"> the Commission to establish </w:t>
      </w:r>
      <w:r>
        <w:t>the</w:t>
      </w:r>
      <w:r w:rsidRPr="00743E9B">
        <w:t xml:space="preserve"> Reimbursement Progr</w:t>
      </w:r>
      <w:r>
        <w:t>am</w:t>
      </w:r>
      <w:r w:rsidRPr="00743E9B">
        <w:t>.</w:t>
      </w:r>
      <w:r>
        <w:rPr>
          <w:rStyle w:val="FootnoteReference"/>
        </w:rPr>
        <w:footnoteReference w:id="8"/>
      </w:r>
      <w:r>
        <w:t xml:space="preserve">  </w:t>
      </w:r>
      <w:r w:rsidRPr="00743E9B">
        <w:t>The</w:t>
      </w:r>
      <w:r>
        <w:t xml:space="preserve"> </w:t>
      </w:r>
      <w:r w:rsidRPr="00743E9B">
        <w:t xml:space="preserve">Reimbursement Program </w:t>
      </w:r>
      <w:r>
        <w:t>will</w:t>
      </w:r>
      <w:r w:rsidRPr="00743E9B">
        <w:t xml:space="preserve"> reimburs</w:t>
      </w:r>
      <w:r>
        <w:t>e</w:t>
      </w:r>
      <w:r w:rsidRPr="00743E9B">
        <w:t xml:space="preserve"> providers of advanced communications services with </w:t>
      </w:r>
      <w:r>
        <w:t xml:space="preserve">ten million or fewer </w:t>
      </w:r>
      <w:r w:rsidRPr="00743E9B">
        <w:t xml:space="preserve">customers for costs incurred </w:t>
      </w:r>
      <w:r>
        <w:t>in</w:t>
      </w:r>
      <w:r w:rsidRPr="00743E9B">
        <w:t xml:space="preserve"> the removal, replacement, and disposal of covered </w:t>
      </w:r>
      <w:r>
        <w:t xml:space="preserve">communications </w:t>
      </w:r>
      <w:r w:rsidRPr="00743E9B">
        <w:t>equipment or services</w:t>
      </w:r>
      <w:r>
        <w:t xml:space="preserve"> that pose a national security risk, i.e., communications equipment or services produced or provided by Huawei </w:t>
      </w:r>
      <w:r>
        <w:t>Technologies Company (Huawei)</w:t>
      </w:r>
      <w:r>
        <w:rPr>
          <w:rStyle w:val="FootnoteReference"/>
        </w:rPr>
        <w:footnoteReference w:id="9"/>
      </w:r>
      <w:r>
        <w:t xml:space="preserve"> or ZTE Corporation (ZTE),</w:t>
      </w:r>
      <w:r>
        <w:rPr>
          <w:rStyle w:val="FootnoteReference"/>
        </w:rPr>
        <w:footnoteReference w:id="10"/>
      </w:r>
      <w:r>
        <w:t xml:space="preserve"> that were obtained by providers on or before June 30, 2020.</w:t>
      </w:r>
      <w:r>
        <w:rPr>
          <w:rStyle w:val="FootnoteReference"/>
        </w:rPr>
        <w:footnoteReference w:id="11"/>
      </w:r>
      <w:r>
        <w:t xml:space="preserve">  </w:t>
      </w:r>
    </w:p>
    <w:p w:rsidR="00C736CB" w:rsidP="00C736CB" w14:paraId="2A501F00" w14:textId="77777777">
      <w:pPr>
        <w:pStyle w:val="ParaNum"/>
        <w:tabs>
          <w:tab w:val="left" w:pos="1440"/>
        </w:tabs>
      </w:pPr>
      <w:r>
        <w:t xml:space="preserve">On December 10, 2020, the Commission adopted the </w:t>
      </w:r>
      <w:r>
        <w:rPr>
          <w:i/>
          <w:iCs/>
        </w:rPr>
        <w:t xml:space="preserve">2020 Supply Chain </w:t>
      </w:r>
      <w:r w:rsidRPr="009C5CDD">
        <w:rPr>
          <w:i/>
          <w:iCs/>
        </w:rPr>
        <w:t>Order</w:t>
      </w:r>
      <w:r>
        <w:t>, which established the Reimbursement Program.</w:t>
      </w:r>
      <w:r>
        <w:rPr>
          <w:rStyle w:val="FootnoteReference"/>
        </w:rPr>
        <w:footnoteReference w:id="12"/>
      </w:r>
      <w:r>
        <w:t xml:space="preserve">  Along with adopting rules to create the Reimbursement Program, t</w:t>
      </w:r>
      <w:r w:rsidRPr="526D6F39">
        <w:t>he</w:t>
      </w:r>
      <w:r>
        <w:t xml:space="preserve"> C</w:t>
      </w:r>
      <w:r>
        <w:t>ommission directed the Bureau to create reimbursement forms that “</w:t>
      </w:r>
      <w:r w:rsidRPr="0088197F">
        <w:t>establish the timing and calculate the amount of the allocations</w:t>
      </w:r>
      <w:r>
        <w:t>,”</w:t>
      </w:r>
      <w:r>
        <w:rPr>
          <w:rStyle w:val="FootnoteReference"/>
        </w:rPr>
        <w:footnoteReference w:id="13"/>
      </w:r>
      <w:r>
        <w:t xml:space="preserve"> “</w:t>
      </w:r>
      <w:r w:rsidRPr="0088197F">
        <w:t>develop a final Catalog of Eligible Expenses</w:t>
      </w:r>
      <w:r>
        <w:t xml:space="preserve"> [(Catalog)] . . . , and </w:t>
      </w:r>
      <w:r w:rsidRPr="00BE076E">
        <w:t>make other determinations regarding</w:t>
      </w:r>
      <w:r>
        <w:t xml:space="preserve"> </w:t>
      </w:r>
      <w:r w:rsidRPr="00BE076E">
        <w:t xml:space="preserve">eligible costs </w:t>
      </w:r>
      <w:r w:rsidRPr="00BE076E">
        <w:t>and the reimbursement process</w:t>
      </w:r>
      <w:r>
        <w:t>.”</w:t>
      </w:r>
      <w:r>
        <w:rPr>
          <w:rStyle w:val="FootnoteReference"/>
        </w:rPr>
        <w:footnoteReference w:id="14"/>
      </w:r>
      <w:r>
        <w:t xml:space="preserve">  The Commission also delegated to the Bureau authority to “</w:t>
      </w:r>
      <w:r w:rsidRPr="00AC362E">
        <w:t>adopt the necessary policies and procedures</w:t>
      </w:r>
      <w:r>
        <w:t xml:space="preserve"> . . . to protect against </w:t>
      </w:r>
      <w:r w:rsidRPr="00AC362E">
        <w:t>waste, fraud, and abuse</w:t>
      </w:r>
      <w:r>
        <w:t>.”</w:t>
      </w:r>
      <w:r>
        <w:rPr>
          <w:rStyle w:val="FootnoteReference"/>
        </w:rPr>
        <w:footnoteReference w:id="15"/>
      </w:r>
      <w:r>
        <w:t xml:space="preserve">  The Commission further authorized the Bureau “to engage contracto</w:t>
      </w:r>
      <w:r>
        <w:t>rs to assist in the reimbursement process and the administration of the Reimbursement Program.”</w:t>
      </w:r>
      <w:r>
        <w:rPr>
          <w:rStyle w:val="FootnoteReference"/>
        </w:rPr>
        <w:footnoteReference w:id="16"/>
      </w:r>
      <w:r>
        <w:t xml:space="preserve">  On December 27, 2020, Congress appropriated $1.895 billion in funding in the </w:t>
      </w:r>
      <w:r w:rsidRPr="00B774AC">
        <w:t>Consolidated Appropriations Act, 2021 (CAA</w:t>
      </w:r>
      <w:r>
        <w:t>) to “carry out” the Reimbursement Pro</w:t>
      </w:r>
      <w:r>
        <w:t>gram.</w:t>
      </w:r>
      <w:r>
        <w:rPr>
          <w:rStyle w:val="FootnoteReference"/>
        </w:rPr>
        <w:footnoteReference w:id="17"/>
      </w:r>
      <w:r>
        <w:t xml:space="preserve">  </w:t>
      </w:r>
    </w:p>
    <w:p w:rsidR="00C736CB" w:rsidRPr="00763F15" w:rsidP="00C736CB" w14:paraId="5EC203F6" w14:textId="77777777">
      <w:pPr>
        <w:pStyle w:val="ParaNum"/>
        <w:tabs>
          <w:tab w:val="left" w:pos="1440"/>
        </w:tabs>
      </w:pPr>
      <w:r>
        <w:t xml:space="preserve">On March 25, 2021, the Bureau released a public notice seeking comment on a report discussing the removal, replacement, and disposal process and a preliminary Catalog and Replacement List prepared at the Bureau’s direction by the consulting firm </w:t>
      </w:r>
      <w:r>
        <w:t>Widelity, Inc. (Widelity).</w:t>
      </w:r>
      <w:r>
        <w:rPr>
          <w:rStyle w:val="FootnoteReference"/>
        </w:rPr>
        <w:footnoteReference w:id="18"/>
      </w:r>
      <w:r>
        <w:t xml:space="preserve">  On April 28, 2021, the Bureau announced the selection of Ernst &amp; Young LLP as the Reimbursement Program Fund Administrator to assist the Bureau with processing applications and administering the Reimbursement Program.</w:t>
      </w:r>
      <w:r>
        <w:rPr>
          <w:rStyle w:val="FootnoteReference"/>
        </w:rPr>
        <w:footnoteReference w:id="19"/>
      </w:r>
      <w:r>
        <w:t xml:space="preserve">  The B</w:t>
      </w:r>
      <w:r>
        <w:t xml:space="preserve">ureau then released a public notice on May 24, 2021 seeking comment on the proposed </w:t>
      </w:r>
      <w:r>
        <w:t>application filing process, forms, and information fields contained on application requests for funding allocations and reimbursement claim requests for the Reimbursement P</w:t>
      </w:r>
      <w:r>
        <w:t>rogram.</w:t>
      </w:r>
      <w:r>
        <w:rPr>
          <w:rStyle w:val="FootnoteReference"/>
        </w:rPr>
        <w:footnoteReference w:id="20"/>
      </w:r>
      <w:r>
        <w:t xml:space="preserve">  We received a total of 13 comments in response to the </w:t>
      </w:r>
      <w:r w:rsidRPr="00E402E8">
        <w:rPr>
          <w:i/>
        </w:rPr>
        <w:t>Catalog</w:t>
      </w:r>
      <w:r w:rsidRPr="0032708F">
        <w:rPr>
          <w:i/>
        </w:rPr>
        <w:t xml:space="preserve"> Public Notice</w:t>
      </w:r>
      <w:r>
        <w:t xml:space="preserve">, and 7 comments in response to the </w:t>
      </w:r>
      <w:r w:rsidRPr="00E402E8">
        <w:rPr>
          <w:i/>
        </w:rPr>
        <w:t>Reimbursement</w:t>
      </w:r>
      <w:r w:rsidRPr="0032708F">
        <w:rPr>
          <w:i/>
        </w:rPr>
        <w:t xml:space="preserve"> Process Public Notice</w:t>
      </w:r>
      <w:r>
        <w:t>.</w:t>
      </w:r>
      <w:r>
        <w:rPr>
          <w:rStyle w:val="FootnoteReference"/>
        </w:rPr>
        <w:footnoteReference w:id="21"/>
      </w:r>
    </w:p>
    <w:p w:rsidR="00C736CB" w:rsidRPr="00107CB5" w:rsidP="00C736CB" w14:paraId="541EE0B6" w14:textId="77777777">
      <w:pPr>
        <w:pStyle w:val="ParaNum"/>
      </w:pPr>
      <w:r>
        <w:t xml:space="preserve">On July 13, 2021, the Commission adopted the </w:t>
      </w:r>
      <w:r w:rsidRPr="00BF67FE">
        <w:rPr>
          <w:i/>
        </w:rPr>
        <w:t>2021 Supply Chain Order</w:t>
      </w:r>
      <w:r>
        <w:t xml:space="preserve">, which amended the Commission’s rules to incorporate </w:t>
      </w:r>
      <w:r w:rsidRPr="00192310">
        <w:t xml:space="preserve">the </w:t>
      </w:r>
      <w:r>
        <w:t>CAA</w:t>
      </w:r>
      <w:r w:rsidRPr="00192310">
        <w:t xml:space="preserve"> amendments</w:t>
      </w:r>
      <w:r>
        <w:t xml:space="preserve"> to the Secure Networks Act.</w:t>
      </w:r>
      <w:r>
        <w:rPr>
          <w:rStyle w:val="FootnoteReference"/>
        </w:rPr>
        <w:footnoteReference w:id="22"/>
      </w:r>
      <w:r>
        <w:t xml:space="preserve">  Specifically, the </w:t>
      </w:r>
      <w:r w:rsidRPr="00BF67FE">
        <w:rPr>
          <w:i/>
          <w:iCs/>
        </w:rPr>
        <w:t>2021 Supply Chain Order</w:t>
      </w:r>
      <w:r w:rsidRPr="007C589B">
        <w:t xml:space="preserve"> </w:t>
      </w:r>
      <w:r>
        <w:t xml:space="preserve">(1) </w:t>
      </w:r>
      <w:r w:rsidRPr="00BF67FE">
        <w:t>increased the customer eligib</w:t>
      </w:r>
      <w:r>
        <w:t>ility</w:t>
      </w:r>
      <w:r w:rsidRPr="00BF67FE">
        <w:t xml:space="preserve"> cap for participation in the Reimbursement Program from 2 million or </w:t>
      </w:r>
      <w:r>
        <w:t>fe</w:t>
      </w:r>
      <w:r>
        <w:t>wer</w:t>
      </w:r>
      <w:r w:rsidRPr="00BF67FE">
        <w:t xml:space="preserve"> customers to </w:t>
      </w:r>
      <w:r>
        <w:t>10</w:t>
      </w:r>
      <w:r w:rsidRPr="00BF67FE">
        <w:t xml:space="preserve"> million or </w:t>
      </w:r>
      <w:r>
        <w:t>fewer</w:t>
      </w:r>
      <w:r w:rsidRPr="00BF67FE">
        <w:t xml:space="preserve"> customers</w:t>
      </w:r>
      <w:r>
        <w:t>;</w:t>
      </w:r>
      <w:r>
        <w:rPr>
          <w:i/>
        </w:rPr>
        <w:t xml:space="preserve"> </w:t>
      </w:r>
      <w:r w:rsidRPr="00BF67FE">
        <w:t xml:space="preserve">(2) </w:t>
      </w:r>
      <w:r>
        <w:t>modified the type of equipment and services eligible for reimbursement to be limited to communications equipment and services produced or provided by Huawei or ZTE that are on the Covered List; (3) adjust</w:t>
      </w:r>
      <w:r>
        <w:t>ed the date by which equipment or services must have been obtained to be eligible for Reimbursement Program funds to June 30, 2020; (4) adopted the prioritization scheme created in the CAA; (5) clarified the definition of “provider of advanced communicatio</w:t>
      </w:r>
      <w:r>
        <w:t>ns service” for the purposes of the Reimbursement Program; and (6) clarified portions of the Reimbursement Program to assist eligible providers seeking reimbursement.</w:t>
      </w:r>
      <w:r>
        <w:rPr>
          <w:rStyle w:val="FootnoteReference"/>
        </w:rPr>
        <w:footnoteReference w:id="23"/>
      </w:r>
      <w:r>
        <w:t xml:space="preserve"> </w:t>
      </w:r>
    </w:p>
    <w:p w:rsidR="00C736CB" w:rsidP="00C736CB" w14:paraId="3F9F98FC" w14:textId="77777777">
      <w:pPr>
        <w:pStyle w:val="Heading1"/>
        <w:rPr>
          <w:rFonts w:ascii="Times New Roman" w:hAnsi="Times New Roman"/>
          <w:caps w:val="0"/>
        </w:rPr>
      </w:pPr>
      <w:bookmarkStart w:id="15" w:name="_Toc75940338"/>
      <w:bookmarkStart w:id="16" w:name="_Toc76912039"/>
      <w:bookmarkStart w:id="17" w:name="_Toc76912130"/>
      <w:bookmarkStart w:id="18" w:name="_Toc78364545"/>
      <w:bookmarkStart w:id="19" w:name="_Toc78815410"/>
      <w:bookmarkStart w:id="20" w:name="_Toc78815558"/>
      <w:r>
        <w:rPr>
          <w:rFonts w:ascii="Times New Roman" w:hAnsi="Times New Roman"/>
          <w:caps w:val="0"/>
        </w:rPr>
        <w:t>DISCUSSION</w:t>
      </w:r>
      <w:bookmarkEnd w:id="15"/>
      <w:bookmarkEnd w:id="16"/>
      <w:bookmarkEnd w:id="17"/>
      <w:bookmarkEnd w:id="18"/>
      <w:bookmarkEnd w:id="19"/>
      <w:bookmarkEnd w:id="20"/>
    </w:p>
    <w:p w:rsidR="00C736CB" w:rsidP="00C736CB" w14:paraId="68BCC07B" w14:textId="4E6F6847">
      <w:pPr>
        <w:pStyle w:val="Heading2"/>
        <w:rPr>
          <w:caps/>
        </w:rPr>
      </w:pPr>
      <w:bookmarkStart w:id="21" w:name="_Toc75940339"/>
      <w:bookmarkStart w:id="22" w:name="_Toc76912040"/>
      <w:bookmarkStart w:id="23" w:name="_Toc76912131"/>
      <w:bookmarkStart w:id="24" w:name="_Toc78364546"/>
      <w:bookmarkStart w:id="25" w:name="_Toc78815411"/>
      <w:bookmarkStart w:id="26" w:name="_Toc78815559"/>
      <w:r w:rsidRPr="00313DCE">
        <w:t>FCC Form 5640 - Application Request for Funding Allocation and Reimbursemen</w:t>
      </w:r>
      <w:r w:rsidRPr="00313DCE">
        <w:t>t Claim Requests</w:t>
      </w:r>
      <w:bookmarkEnd w:id="21"/>
      <w:bookmarkEnd w:id="22"/>
      <w:bookmarkEnd w:id="23"/>
      <w:bookmarkEnd w:id="24"/>
      <w:bookmarkEnd w:id="25"/>
      <w:bookmarkEnd w:id="26"/>
    </w:p>
    <w:p w:rsidR="00C736CB" w:rsidP="00C736CB" w14:paraId="2C310CB8" w14:textId="77777777">
      <w:pPr>
        <w:pStyle w:val="ParaNum"/>
      </w:pPr>
      <w:r>
        <w:t xml:space="preserve">We adopt the application and reimbursement procedures and finalize forms for the Reimbursement Program proposed in the </w:t>
      </w:r>
      <w:r w:rsidRPr="00484DCE">
        <w:rPr>
          <w:i/>
          <w:iCs/>
        </w:rPr>
        <w:t>Reimbursement Process P</w:t>
      </w:r>
      <w:r>
        <w:rPr>
          <w:i/>
          <w:iCs/>
        </w:rPr>
        <w:t xml:space="preserve">ublic </w:t>
      </w:r>
      <w:r w:rsidRPr="00484DCE">
        <w:rPr>
          <w:i/>
          <w:iCs/>
        </w:rPr>
        <w:t>N</w:t>
      </w:r>
      <w:r>
        <w:rPr>
          <w:i/>
          <w:iCs/>
        </w:rPr>
        <w:t>otice</w:t>
      </w:r>
      <w:r>
        <w:t>.</w:t>
      </w:r>
      <w:r>
        <w:rPr>
          <w:rStyle w:val="FootnoteReference"/>
        </w:rPr>
        <w:footnoteReference w:id="24"/>
      </w:r>
      <w:r>
        <w:t xml:space="preserve">  </w:t>
      </w:r>
    </w:p>
    <w:p w:rsidR="00C736CB" w:rsidP="00C736CB" w14:paraId="70C1C71B" w14:textId="77777777">
      <w:pPr>
        <w:pStyle w:val="Heading3"/>
      </w:pPr>
      <w:bookmarkStart w:id="27" w:name="_Toc75940340"/>
      <w:bookmarkStart w:id="28" w:name="_Toc76912041"/>
      <w:bookmarkStart w:id="29" w:name="_Toc76912132"/>
      <w:bookmarkStart w:id="30" w:name="_Toc78364547"/>
      <w:bookmarkStart w:id="31" w:name="_Toc78815412"/>
      <w:bookmarkStart w:id="32" w:name="_Toc78815560"/>
      <w:r>
        <w:t>Application Request for Funding Allocation Form</w:t>
      </w:r>
      <w:bookmarkEnd w:id="27"/>
      <w:bookmarkEnd w:id="28"/>
      <w:bookmarkEnd w:id="29"/>
      <w:bookmarkEnd w:id="30"/>
      <w:bookmarkEnd w:id="31"/>
      <w:bookmarkEnd w:id="32"/>
    </w:p>
    <w:p w:rsidR="00C736CB" w:rsidP="00C736CB" w14:paraId="550055F6" w14:textId="77777777">
      <w:pPr>
        <w:pStyle w:val="ParaNum"/>
      </w:pPr>
      <w:r>
        <w:t xml:space="preserve">In the </w:t>
      </w:r>
      <w:r w:rsidRPr="0066601F">
        <w:rPr>
          <w:i/>
        </w:rPr>
        <w:t>Reimbursement Process Pu</w:t>
      </w:r>
      <w:r w:rsidRPr="0066601F">
        <w:rPr>
          <w:i/>
        </w:rPr>
        <w:t>blic Notice</w:t>
      </w:r>
      <w:r>
        <w:t>, we provided a representative sample of the questions to be included in the FCC Form 5640 Application Request for Funding Allocation and sought comment on those information fields.</w:t>
      </w:r>
      <w:r>
        <w:rPr>
          <w:rStyle w:val="FootnoteReference"/>
        </w:rPr>
        <w:footnoteReference w:id="25"/>
      </w:r>
      <w:r>
        <w:t xml:space="preserve">  We received persuasive comments regarding various fields app</w:t>
      </w:r>
      <w:r>
        <w:t xml:space="preserve">licants would complete in the new proposed form and, in response, we have implemented some modifications, and will proceed with finalizing that form. </w:t>
      </w:r>
    </w:p>
    <w:p w:rsidR="00C736CB" w:rsidP="00C736CB" w14:paraId="08EEA1A7" w14:textId="77777777">
      <w:pPr>
        <w:pStyle w:val="ParaNum"/>
      </w:pPr>
      <w:r>
        <w:t xml:space="preserve">We proposed in the </w:t>
      </w:r>
      <w:r w:rsidRPr="0066601F">
        <w:rPr>
          <w:i/>
        </w:rPr>
        <w:t>Reimbursement Process Public Notice</w:t>
      </w:r>
      <w:r>
        <w:t xml:space="preserve"> “requiring applicants to identify in their application for each location site:  (1) where covered communications equipment or services are located (e.g., address, longitude and latitude, etc.) and documentation supporting the acquisition/existence of such</w:t>
      </w:r>
      <w:r>
        <w:t xml:space="preserve"> covered equipment or services; and (2) the itemized cost estimates, taken from the Catalog where applicable, that are associated with the removal, replacement, and disposal of covered equipment and services at each site.”</w:t>
      </w:r>
      <w:r>
        <w:rPr>
          <w:rStyle w:val="FootnoteReference"/>
        </w:rPr>
        <w:footnoteReference w:id="26"/>
      </w:r>
      <w:r>
        <w:t xml:space="preserve">  Several commenters argued that</w:t>
      </w:r>
      <w:r>
        <w:t xml:space="preserve"> requiring specific information about equipment at the application stage is burdensome on small carriers and some carriers </w:t>
      </w:r>
      <w:r>
        <w:t>may not have access to the information.</w:t>
      </w:r>
      <w:r>
        <w:rPr>
          <w:rStyle w:val="FootnoteReference"/>
        </w:rPr>
        <w:footnoteReference w:id="27"/>
      </w:r>
      <w:r>
        <w:t xml:space="preserve">  The Rural Wireless Broadband Coalition recommended that instead of requiring such informat</w:t>
      </w:r>
      <w:r>
        <w:t>ion at the application stage, the Application Request for Funding Allocation should, after the equipment is removed, populate a field for the make, model, and number of units for the removed equipment.</w:t>
      </w:r>
      <w:r>
        <w:rPr>
          <w:rStyle w:val="FootnoteReference"/>
        </w:rPr>
        <w:footnoteReference w:id="28"/>
      </w:r>
    </w:p>
    <w:p w:rsidR="00C736CB" w:rsidP="00C736CB" w14:paraId="45BC2AA1" w14:textId="77777777">
      <w:pPr>
        <w:pStyle w:val="ParaNum"/>
      </w:pPr>
      <w:r>
        <w:t>We decline to modify the proposed site-specific info</w:t>
      </w:r>
      <w:r>
        <w:t>rmation collected.  The identification and tracking of site-specific information on covered and replacement communications and services, as well as on cost estimates, helps to ensure funds are spent for the purpose intended and protects against waste, frau</w:t>
      </w:r>
      <w:r>
        <w:t>d, and abuse.  This information assists in determining program eligibility for the removal, replacement, and disposal of Huawei and ZTE equipment or services obtained on or before June 30, 2020 and facilitates the assessment of applicants’ cost estimates f</w:t>
      </w:r>
      <w:r>
        <w:t>or allocation purposes.  We acknowledge that requiring site-specific information is more burdensome than a self-certification requirement.  Including the more detailed site-specific information, however, will ensure that the Reimbursement Program Fund Admi</w:t>
      </w:r>
      <w:r>
        <w:t>nistrator will be able to properly allocate the $1.895 billion and will limit the risk that incorrect estimates unnecessarily deplete the Reimbursement Program to the detriment of other applicants. Additionally, any increased costs associated with preparin</w:t>
      </w:r>
      <w:r>
        <w:t>g applications that include site-specific information are potentially eligible for Reimbursement Program support, decreasing the financial burden on applicants when preparing applications.</w:t>
      </w:r>
      <w:r>
        <w:rPr>
          <w:rStyle w:val="FootnoteReference"/>
        </w:rPr>
        <w:footnoteReference w:id="29"/>
      </w:r>
      <w:r>
        <w:t xml:space="preserve">  We, therefore, conclude that the benefits of the site-specific f</w:t>
      </w:r>
      <w:r>
        <w:t xml:space="preserve">iling requirement outweigh any burden on the carriers.  We recognize, however, that the information provided is made in “good faith and that </w:t>
      </w:r>
      <w:r w:rsidRPr="00FF5294">
        <w:t xml:space="preserve">all information provided </w:t>
      </w:r>
      <w:r>
        <w:t>. . .</w:t>
      </w:r>
      <w:r w:rsidRPr="00FF5294">
        <w:t xml:space="preserve"> is true and correct to the best of Applicant’s knowledge</w:t>
      </w:r>
      <w:r>
        <w:t>,” based on the prior exerci</w:t>
      </w:r>
      <w:r>
        <w:t>se of reasonable due diligence, at the time the application is filed.</w:t>
      </w:r>
      <w:r>
        <w:rPr>
          <w:rStyle w:val="FootnoteReference"/>
        </w:rPr>
        <w:footnoteReference w:id="30"/>
      </w:r>
      <w:r>
        <w:t xml:space="preserve">  The Bureau will provide a process for participants to file modifications to their applications if more accurate information subsequently becomes available.</w:t>
      </w:r>
      <w:r>
        <w:rPr>
          <w:rStyle w:val="FootnoteReference"/>
        </w:rPr>
        <w:footnoteReference w:id="31"/>
      </w:r>
      <w:r>
        <w:t xml:space="preserve">  </w:t>
      </w:r>
    </w:p>
    <w:p w:rsidR="00C736CB" w:rsidP="00C736CB" w14:paraId="5EBC4DB6" w14:textId="77777777">
      <w:pPr>
        <w:pStyle w:val="ParaNum"/>
      </w:pPr>
      <w:r>
        <w:rPr>
          <w:i/>
          <w:iCs/>
        </w:rPr>
        <w:t>Additional Requested Fo</w:t>
      </w:r>
      <w:r>
        <w:rPr>
          <w:i/>
          <w:iCs/>
        </w:rPr>
        <w:t>rm Changes</w:t>
      </w:r>
      <w:r>
        <w:t xml:space="preserve">.  </w:t>
      </w:r>
      <w:r w:rsidRPr="00001DBF">
        <w:t>Several</w:t>
      </w:r>
      <w:r>
        <w:t xml:space="preserve"> commenters sought changes or clarifications to the proposed information fields included in the Application Request for Funding Allocation.  Nokia proposed changes to the questions concerning the use of Open Radio Access Network (Open RAN) technology inter</w:t>
      </w:r>
      <w:r>
        <w:t>face standards by applicants.</w:t>
      </w:r>
      <w:r>
        <w:rPr>
          <w:rStyle w:val="FootnoteReference"/>
        </w:rPr>
        <w:footnoteReference w:id="32"/>
      </w:r>
      <w:r>
        <w:t xml:space="preserve">  Specifically, Nokia requested that the fields indicating that applicants selected Open RAN solutions be removed because the fields show a preference for Open RAN.</w:t>
      </w:r>
      <w:r>
        <w:rPr>
          <w:rStyle w:val="FootnoteReference"/>
        </w:rPr>
        <w:footnoteReference w:id="33"/>
      </w:r>
      <w:r>
        <w:t xml:space="preserve">  We disagree.  These questions are merely intended to help</w:t>
      </w:r>
      <w:r>
        <w:t xml:space="preserve"> the Commission track </w:t>
      </w:r>
      <w:r>
        <w:t>technology choices by providers and do not suggest or otherwise encourage an applicant to select a particular technology solution.  Accordingly, we fail to see how these questions show a preference for certain types of network archite</w:t>
      </w:r>
      <w:r>
        <w:t xml:space="preserve">cture and decline to remove these questions.  </w:t>
      </w:r>
    </w:p>
    <w:p w:rsidR="00C736CB" w:rsidP="00C736CB" w14:paraId="78FE162E" w14:textId="77777777">
      <w:pPr>
        <w:pStyle w:val="ParaNum"/>
      </w:pPr>
      <w:r>
        <w:t>Mavenir Systems, Inc. (Mavenir) separately requested several changes to the proposed information fields.</w:t>
      </w:r>
      <w:r>
        <w:rPr>
          <w:rStyle w:val="FootnoteReference"/>
        </w:rPr>
        <w:footnoteReference w:id="34"/>
      </w:r>
      <w:r>
        <w:t xml:space="preserve">  Specifically, Mavenir requested that we strike the use of “O RAN” to avoid confusion between Open RAN</w:t>
      </w:r>
      <w:r>
        <w:t xml:space="preserve"> generally and the O RAN Alliance, that we specify an applicant is using fronthaul Radio Access Network and Core Network, and that we specify that an applicant is compliant with O-RAN Alliance 7.2 fronthaul standards rather than the more generally stated “</w:t>
      </w:r>
      <w:r>
        <w:t>O-RAN Alliance standards.”</w:t>
      </w:r>
      <w:r>
        <w:rPr>
          <w:rStyle w:val="FootnoteReference"/>
        </w:rPr>
        <w:footnoteReference w:id="35"/>
      </w:r>
      <w:r>
        <w:t xml:space="preserve">  Additionally, Mavenir suggested two additions to the information fields inquiring whether applicants are using equipment or service compliant with the 3GPP X2 standard and other 3GPP open interfaces, and if so, whether there i</w:t>
      </w:r>
      <w:r>
        <w:t>s an associated fee to make the equipment interoperable or open.</w:t>
      </w:r>
      <w:r>
        <w:rPr>
          <w:rStyle w:val="FootnoteReference"/>
        </w:rPr>
        <w:footnoteReference w:id="36"/>
      </w:r>
      <w:r>
        <w:t xml:space="preserve">  To reduce confusion, we remove the general O-RAN question that was in item 51 on the proposed Application Request for Funding Allocation.</w:t>
      </w:r>
      <w:r>
        <w:rPr>
          <w:rStyle w:val="FootnoteReference"/>
        </w:rPr>
        <w:footnoteReference w:id="37"/>
      </w:r>
      <w:r>
        <w:t xml:space="preserve">  Additionally, we modify items 53 and 54 to ask </w:t>
      </w:r>
      <w:r>
        <w:t>applicants if the</w:t>
      </w:r>
      <w:r w:rsidRPr="00F238FF">
        <w:t xml:space="preserve"> </w:t>
      </w:r>
      <w:r>
        <w:t>“</w:t>
      </w:r>
      <w:r w:rsidRPr="00F238FF">
        <w:t xml:space="preserve">equipment or service </w:t>
      </w:r>
      <w:r>
        <w:t xml:space="preserve">is </w:t>
      </w:r>
      <w:r w:rsidRPr="00F238FF">
        <w:t>compliant with O-RAN Alliance standards, such as O-RAN Alliance 7.2 fronthaul standards.”</w:t>
      </w:r>
      <w:r>
        <w:rPr>
          <w:rStyle w:val="FootnoteReference"/>
        </w:rPr>
        <w:footnoteReference w:id="38"/>
      </w:r>
      <w:r>
        <w:t xml:space="preserve">  W</w:t>
      </w:r>
      <w:r w:rsidRPr="0017160D">
        <w:t xml:space="preserve">hile </w:t>
      </w:r>
      <w:r>
        <w:t xml:space="preserve">the O-RAN Alliance </w:t>
      </w:r>
      <w:r w:rsidRPr="0017160D">
        <w:t xml:space="preserve">7.2 </w:t>
      </w:r>
      <w:r>
        <w:t xml:space="preserve">fronthaul standard </w:t>
      </w:r>
      <w:r w:rsidRPr="0017160D">
        <w:t xml:space="preserve">is </w:t>
      </w:r>
      <w:r>
        <w:t>currently a leading standard, work continues on this developing stand</w:t>
      </w:r>
      <w:r>
        <w:t>ard, and updates continue to be published.  For example, on June 29, 2021, after Mavenir and others filed their comments, the O-RAN Alliance published a Third White Paper, “O-RAN Minimum Viable Plan and Acceleration towards Commercialization.”</w:t>
      </w:r>
      <w:r>
        <w:rPr>
          <w:rStyle w:val="FootnoteReference"/>
        </w:rPr>
        <w:footnoteReference w:id="39"/>
      </w:r>
      <w:r>
        <w:t xml:space="preserve">  In the Th</w:t>
      </w:r>
      <w:r>
        <w:t>ird White Paper, the O-RAN Alliance wrote that “[f]uture O-RAN releases will extend the [Minimum Viable Plan] with new features and functionalities as these inputs and priorities evolve.”</w:t>
      </w:r>
      <w:r>
        <w:rPr>
          <w:rStyle w:val="FootnoteReference"/>
        </w:rPr>
        <w:footnoteReference w:id="40"/>
      </w:r>
      <w:r>
        <w:t xml:space="preserve">  We want to ensure the information collected on the Application Re</w:t>
      </w:r>
      <w:r>
        <w:t>quest for Funding Allocation addresses whether the equipment is compatible with any future standards that are adopted as the O-RAN Alliance continues its work.  Finally, we include the two questions regarding 3GPP X2 standard and open interfaces because th</w:t>
      </w:r>
      <w:r>
        <w:t xml:space="preserve">ese questions are helpful in analyzing technology trends. </w:t>
      </w:r>
    </w:p>
    <w:p w:rsidR="00C736CB" w:rsidP="00C736CB" w14:paraId="46A5E576" w14:textId="77777777">
      <w:pPr>
        <w:pStyle w:val="ParaNum"/>
      </w:pPr>
      <w:r>
        <w:t>ADTRAN, Inc. (ADTRAN) suggested incorporating a “country of origin” line item into the Application Request for Funding Allocation, which would support a “buy American” policy.</w:t>
      </w:r>
      <w:r>
        <w:rPr>
          <w:rStyle w:val="FootnoteReference"/>
        </w:rPr>
        <w:footnoteReference w:id="41"/>
      </w:r>
      <w:r>
        <w:t xml:space="preserve">  Specifically, ADTR</w:t>
      </w:r>
      <w:r>
        <w:t>AN requests for the Application Request for Funding Allocation to include a question about the replacement equipment manufacturer’s country of origin.</w:t>
      </w:r>
      <w:r>
        <w:rPr>
          <w:rStyle w:val="FootnoteReference"/>
        </w:rPr>
        <w:footnoteReference w:id="42"/>
      </w:r>
      <w:r>
        <w:t xml:space="preserve">  ADTRAN argued that such information collection would be consistent with the Open RAN-related line item</w:t>
      </w:r>
      <w:r>
        <w:t>s.</w:t>
      </w:r>
      <w:r>
        <w:rPr>
          <w:rStyle w:val="FootnoteReference"/>
        </w:rPr>
        <w:footnoteReference w:id="43"/>
      </w:r>
      <w:r>
        <w:t xml:space="preserve">  We find that including a “country of origin” question on the Application Request for Funding Allocation will further </w:t>
      </w:r>
      <w:r>
        <w:t>help the Commission track and analyze technology trends without increasing the overall burden on applicants.  Accordingly, we will mo</w:t>
      </w:r>
      <w:r>
        <w:t>dify the Application Request for Funding Allocation to include a question about the replacement equipment manufacturer’s country of origin.</w:t>
      </w:r>
    </w:p>
    <w:p w:rsidR="00C736CB" w:rsidP="00C736CB" w14:paraId="6560B85B" w14:textId="77777777">
      <w:pPr>
        <w:pStyle w:val="ParaNum"/>
      </w:pPr>
      <w:r>
        <w:t>The Rural Wireless Association (RWA) requested clarifications and additions to the FCC Form 5640 Application Request</w:t>
      </w:r>
      <w:r>
        <w:t xml:space="preserve"> for Funding Allocation.  In particular, RWA argued that form changes were necessary because the Commission had yet to address whether there would be further prioritization within the three levels prioritized by Congress in the Secure Networks Act.</w:t>
      </w:r>
      <w:r>
        <w:rPr>
          <w:rStyle w:val="FootnoteReference"/>
        </w:rPr>
        <w:footnoteReference w:id="44"/>
      </w:r>
      <w:r>
        <w:t xml:space="preserve">  In t</w:t>
      </w:r>
      <w:r>
        <w:t xml:space="preserve">he </w:t>
      </w:r>
      <w:r w:rsidRPr="009B52C8">
        <w:rPr>
          <w:i/>
        </w:rPr>
        <w:t>2021 Supply Chain Order</w:t>
      </w:r>
      <w:r>
        <w:t>, the Commission rejected RWA’s request to provide additional sub-prioritization categories outside of the scheme advanced by Congress.</w:t>
      </w:r>
      <w:r>
        <w:rPr>
          <w:rStyle w:val="FootnoteReference"/>
        </w:rPr>
        <w:footnoteReference w:id="45"/>
      </w:r>
      <w:r>
        <w:t xml:space="preserve">  Thus, we find the changes requested by RWA would be inconsistent with the Commission’s rule</w:t>
      </w:r>
      <w:r>
        <w:t xml:space="preserve">s.  </w:t>
      </w:r>
    </w:p>
    <w:p w:rsidR="00C736CB" w:rsidP="00C736CB" w14:paraId="4A8D68C1" w14:textId="77777777">
      <w:pPr>
        <w:pStyle w:val="ParaNum"/>
      </w:pPr>
      <w:r>
        <w:rPr>
          <w:rFonts w:eastAsia="Segoe UI Emoji"/>
          <w:i/>
          <w:iCs/>
        </w:rPr>
        <w:t>Administrative and Form Consistency Changes</w:t>
      </w:r>
      <w:r>
        <w:rPr>
          <w:rFonts w:eastAsia="Segoe UI Emoji"/>
        </w:rPr>
        <w:t>.</w:t>
      </w:r>
      <w:r>
        <w:rPr>
          <w:rFonts w:eastAsia="Segoe UI Emoji"/>
          <w:i/>
          <w:iCs/>
        </w:rPr>
        <w:t xml:space="preserve">  </w:t>
      </w:r>
      <w:r>
        <w:rPr>
          <w:rFonts w:eastAsia="Segoe UI Emoji"/>
        </w:rPr>
        <w:t>W</w:t>
      </w:r>
      <w:r w:rsidRPr="00AF54A0">
        <w:rPr>
          <w:rFonts w:eastAsia="Segoe UI Emoji"/>
        </w:rPr>
        <w:t xml:space="preserve">e </w:t>
      </w:r>
      <w:r>
        <w:rPr>
          <w:rFonts w:eastAsia="Segoe UI Emoji"/>
        </w:rPr>
        <w:t>will further require, as proposed,</w:t>
      </w:r>
      <w:r w:rsidRPr="00AF54A0">
        <w:rPr>
          <w:rFonts w:eastAsia="Segoe UI Emoji"/>
        </w:rPr>
        <w:t xml:space="preserve"> </w:t>
      </w:r>
      <w:r>
        <w:rPr>
          <w:rFonts w:eastAsia="Segoe UI Emoji"/>
        </w:rPr>
        <w:t>that</w:t>
      </w:r>
      <w:r w:rsidRPr="00AF54A0">
        <w:rPr>
          <w:rFonts w:eastAsia="Segoe UI Emoji"/>
        </w:rPr>
        <w:t xml:space="preserve"> applicants obtain </w:t>
      </w:r>
      <w:r>
        <w:rPr>
          <w:rFonts w:eastAsia="Segoe UI Emoji"/>
        </w:rPr>
        <w:t>and</w:t>
      </w:r>
      <w:r w:rsidRPr="00AF54A0">
        <w:rPr>
          <w:rFonts w:eastAsia="Segoe UI Emoji"/>
        </w:rPr>
        <w:t xml:space="preserve"> </w:t>
      </w:r>
      <w:r>
        <w:rPr>
          <w:rFonts w:eastAsia="Segoe UI Emoji"/>
        </w:rPr>
        <w:t>identify in their applications an FCC Registration Number (</w:t>
      </w:r>
      <w:r w:rsidRPr="00AF54A0">
        <w:rPr>
          <w:rFonts w:eastAsia="Segoe UI Emoji"/>
        </w:rPr>
        <w:t>FRN</w:t>
      </w:r>
      <w:r>
        <w:rPr>
          <w:rFonts w:eastAsia="Segoe UI Emoji"/>
        </w:rPr>
        <w:t xml:space="preserve">) </w:t>
      </w:r>
      <w:r>
        <w:t>issued by the Commission Registration System (CORES</w:t>
      </w:r>
      <w:r>
        <w:rPr>
          <w:rFonts w:eastAsia="Segoe UI Emoji"/>
        </w:rPr>
        <w:t>)</w:t>
      </w:r>
      <w:r w:rsidRPr="00AF54A0">
        <w:rPr>
          <w:rFonts w:eastAsia="Segoe UI Emoji"/>
        </w:rPr>
        <w:t xml:space="preserve">, </w:t>
      </w:r>
      <w:r>
        <w:t>a Data Universal Numbe</w:t>
      </w:r>
      <w:r>
        <w:t>ring System (DUNS) number or where applicable, a DUNS+4 number,</w:t>
      </w:r>
      <w:r w:rsidRPr="00F765CF">
        <w:rPr>
          <w:rStyle w:val="FootnoteReference"/>
        </w:rPr>
        <w:t xml:space="preserve"> </w:t>
      </w:r>
      <w:r>
        <w:t xml:space="preserve">and that applicants register with the System for Award Management (SAM) and provide the SAM Commercial and Government Entity (CAGE) Code in their applications.  </w:t>
      </w:r>
      <w:r>
        <w:rPr>
          <w:rFonts w:eastAsia="Segoe UI Emoji"/>
        </w:rPr>
        <w:t xml:space="preserve">No commenter objected to these </w:t>
      </w:r>
      <w:r>
        <w:rPr>
          <w:rFonts w:eastAsia="Segoe UI Emoji"/>
        </w:rPr>
        <w:t>proposals.</w:t>
      </w:r>
      <w:r>
        <w:rPr>
          <w:rStyle w:val="FootnoteReference"/>
          <w:rFonts w:eastAsia="Segoe UI Emoji"/>
        </w:rPr>
        <w:footnoteReference w:id="46"/>
      </w:r>
      <w:r>
        <w:rPr>
          <w:rFonts w:eastAsia="Segoe UI Emoji"/>
        </w:rPr>
        <w:t xml:space="preserve">  </w:t>
      </w:r>
      <w:r>
        <w:t>An FRN is an identifying number that is assigned to entities doing business with the Commission.</w:t>
      </w:r>
      <w:r>
        <w:rPr>
          <w:rStyle w:val="FootnoteReference"/>
          <w:rFonts w:eastAsia="Segoe UI Emoji"/>
        </w:rPr>
        <w:footnoteReference w:id="47"/>
      </w:r>
      <w:r>
        <w:t xml:space="preserve">  Registration in the SAM provides the Commission with an authoritative source for information necessary to provide funding to applicants and to ensure accurate reporting pursuant to the Federal Funding Accountability and Transparency Act.</w:t>
      </w:r>
      <w:r w:rsidRPr="00530457">
        <w:rPr>
          <w:rStyle w:val="FootnoteReference"/>
        </w:rPr>
        <w:t xml:space="preserve"> </w:t>
      </w:r>
      <w:r>
        <w:rPr>
          <w:rStyle w:val="FootnoteReference"/>
        </w:rPr>
        <w:footnoteReference w:id="48"/>
      </w:r>
      <w:r>
        <w:t xml:space="preserve">  The DUNS number or, where applicable, the DUNS+4 number, provides necessary banking information to assist the Commission in the electronic payment of funds to program recipients.</w:t>
      </w:r>
      <w:r>
        <w:rPr>
          <w:rStyle w:val="FootnoteReference"/>
        </w:rPr>
        <w:footnoteReference w:id="49"/>
      </w:r>
      <w:r>
        <w:t xml:space="preserve">  </w:t>
      </w:r>
    </w:p>
    <w:p w:rsidR="00C736CB" w:rsidP="00C736CB" w14:paraId="2DF88AF5" w14:textId="77777777">
      <w:pPr>
        <w:pStyle w:val="ParaNum"/>
        <w:widowControl/>
      </w:pPr>
      <w:r>
        <w:t xml:space="preserve">Separately, to reflect changes adopted in the </w:t>
      </w:r>
      <w:r>
        <w:rPr>
          <w:i/>
          <w:iCs/>
        </w:rPr>
        <w:t>2021 Supply Chain</w:t>
      </w:r>
      <w:r w:rsidRPr="00573B76">
        <w:rPr>
          <w:i/>
          <w:iCs/>
        </w:rPr>
        <w:t xml:space="preserve"> Order</w:t>
      </w:r>
      <w:r>
        <w:rPr>
          <w:i/>
          <w:iCs/>
        </w:rPr>
        <w:t>,</w:t>
      </w:r>
      <w:r w:rsidRPr="00294177">
        <w:t xml:space="preserve"> </w:t>
      </w:r>
      <w:r>
        <w:t>we modify the question on the FCC Form 5640 concerning whether the applicant has obtained covered communications equipment or services.</w:t>
      </w:r>
      <w:r>
        <w:rPr>
          <w:rStyle w:val="FootnoteReference"/>
        </w:rPr>
        <w:footnoteReference w:id="50"/>
      </w:r>
      <w:r>
        <w:t xml:space="preserve">  The CAA amended the Secure Networks Act to modify the covered communications equipment and services eligible for the </w:t>
      </w:r>
      <w:r>
        <w:t>Reimbursement Program.</w:t>
      </w:r>
      <w:r>
        <w:rPr>
          <w:rStyle w:val="FootnoteReference"/>
        </w:rPr>
        <w:footnoteReference w:id="51"/>
      </w:r>
      <w:r>
        <w:t xml:space="preserve">  The Commission in the </w:t>
      </w:r>
      <w:r w:rsidRPr="00573B76">
        <w:rPr>
          <w:i/>
          <w:iCs/>
        </w:rPr>
        <w:t>2021 Supply Chain Order</w:t>
      </w:r>
      <w:r>
        <w:t xml:space="preserve"> implemented these changes by changing its rules to limit equipment and services eligible for the reimbursement to communications equipment or services produced or provided by Huawei an</w:t>
      </w:r>
      <w:r>
        <w:t>d ZTE that are purchased, leased, or otherwise obtained on or before June 30, 2020</w:t>
      </w:r>
      <w:r w:rsidRPr="00192310">
        <w:t>.</w:t>
      </w:r>
      <w:r>
        <w:rPr>
          <w:rStyle w:val="FootnoteReference"/>
        </w:rPr>
        <w:footnoteReference w:id="52"/>
      </w:r>
      <w:r>
        <w:t xml:space="preserve">  Accordingly, we have made the necessary changes to the FCC Form 5640 to ask the applicant whether it has “</w:t>
      </w:r>
      <w:r w:rsidRPr="005B1DC9">
        <w:t>previously purchased, leased or otherwise obtained communicatio</w:t>
      </w:r>
      <w:r w:rsidRPr="005B1DC9">
        <w:t>ns equipment or services </w:t>
      </w:r>
      <w:r w:rsidRPr="006A65B9">
        <w:t xml:space="preserve">on the </w:t>
      </w:r>
      <w:r w:rsidRPr="006A65B9">
        <w:t xml:space="preserve">Covered List that </w:t>
      </w:r>
      <w:r>
        <w:t>were</w:t>
      </w:r>
      <w:r w:rsidRPr="006A65B9">
        <w:t> produced or provided by Huawei or ZTE, including their affiliates and subsidiaries, on or before June 30, 2020.”</w:t>
      </w:r>
      <w:r>
        <w:rPr>
          <w:rStyle w:val="FootnoteReference"/>
        </w:rPr>
        <w:footnoteReference w:id="53"/>
      </w:r>
      <w:r w:rsidRPr="00725211">
        <w:t xml:space="preserve">  </w:t>
      </w:r>
    </w:p>
    <w:p w:rsidR="00C736CB" w:rsidP="00C736CB" w14:paraId="32F7A07D" w14:textId="77777777">
      <w:pPr>
        <w:pStyle w:val="ParaNum"/>
        <w:widowControl/>
      </w:pPr>
      <w:r>
        <w:t>We have also added a question for applicants to indicate whether the cost estimate p</w:t>
      </w:r>
      <w:r>
        <w:t xml:space="preserve">rovided by the applicant includes a technology upgrade over a comparable replacement.  This information will help the Bureau and the Reimbursement Program Fund Administrator identify requests involving technology upgrades.  As the Commission stated in the </w:t>
      </w:r>
      <w:r w:rsidRPr="008D76CD">
        <w:rPr>
          <w:i/>
          <w:iCs/>
        </w:rPr>
        <w:t>2021 Supply Chain Order</w:t>
      </w:r>
      <w:r>
        <w:t>, “[p]</w:t>
      </w:r>
      <w:r w:rsidRPr="00737E40">
        <w:t>articipants may obtain Reimbursement Program support for an amount equivalent to the cost estimate of a comparable replacement</w:t>
      </w:r>
      <w:r>
        <w:t>” but noted that if “</w:t>
      </w:r>
      <w:r w:rsidRPr="00737E40">
        <w:t xml:space="preserve">a participant ultimately decides to upgrade to a higher quality, more advanced, </w:t>
      </w:r>
      <w:r w:rsidRPr="00737E40">
        <w:t>non-comparable replacement, then the program participant will bear the difference in cost between the comparable replacement and the technology upgrade solution chosen</w:t>
      </w:r>
      <w:r>
        <w:t>.”</w:t>
      </w:r>
      <w:r>
        <w:rPr>
          <w:rStyle w:val="FootnoteReference"/>
        </w:rPr>
        <w:footnoteReference w:id="54"/>
      </w:r>
      <w:r>
        <w:t xml:space="preserve">  The added question will help identify participants seeking a technology upgrade sol</w:t>
      </w:r>
      <w:r>
        <w:t>ution so that the Reimbursement Program Fund Administrator and the Bureau can review the applications accordingly.  Participants are reminded that, when seeking a technology upgrade, they will need to include a vendor quote for the comparable replacement i</w:t>
      </w:r>
      <w:r>
        <w:t>n addition to a vendor quote for the upgrade they wish to purchase.</w:t>
      </w:r>
      <w:r>
        <w:rPr>
          <w:rStyle w:val="FootnoteReference"/>
        </w:rPr>
        <w:footnoteReference w:id="55"/>
      </w:r>
      <w:r>
        <w:t xml:space="preserve">  Finally, w</w:t>
      </w:r>
      <w:r w:rsidRPr="005E08C8">
        <w:t xml:space="preserve">e have also made minor changes to the language of certain questions to improve clarity </w:t>
      </w:r>
      <w:r>
        <w:t>and</w:t>
      </w:r>
      <w:r w:rsidRPr="005E08C8">
        <w:t xml:space="preserve"> assist </w:t>
      </w:r>
      <w:r>
        <w:t>applicants</w:t>
      </w:r>
      <w:r w:rsidRPr="005E08C8">
        <w:t>.</w:t>
      </w:r>
    </w:p>
    <w:p w:rsidR="00C736CB" w:rsidP="00C736CB" w14:paraId="60D499D3" w14:textId="77777777">
      <w:pPr>
        <w:pStyle w:val="ParaNum"/>
      </w:pPr>
      <w:r>
        <w:t>We strongly encourage interested participants to collect the info</w:t>
      </w:r>
      <w:r>
        <w:t>rmation needed to prepare the application in advance of the opening of the filing window.  Taking proactive steps will facilitate the submission process for applicants and help them identify and overcome potential challenges in advance of a filing deadline</w:t>
      </w:r>
      <w:r>
        <w:t xml:space="preserve">.  Incomplete applications may be dismissed by the Bureau, which could prevent a provider from participating in the Reimbursement Program. </w:t>
      </w:r>
    </w:p>
    <w:p w:rsidR="00C736CB" w:rsidP="00C736CB" w14:paraId="571E1941" w14:textId="77777777">
      <w:pPr>
        <w:pStyle w:val="Heading3"/>
      </w:pPr>
      <w:bookmarkStart w:id="33" w:name="_Toc75940341"/>
      <w:bookmarkStart w:id="34" w:name="_Toc76912042"/>
      <w:bookmarkStart w:id="35" w:name="_Toc76912133"/>
      <w:bookmarkStart w:id="36" w:name="_Toc78364548"/>
      <w:bookmarkStart w:id="37" w:name="_Toc78815413"/>
      <w:bookmarkStart w:id="38" w:name="_Toc78815561"/>
      <w:r>
        <w:t>Online Filing Portal</w:t>
      </w:r>
      <w:bookmarkEnd w:id="33"/>
      <w:bookmarkEnd w:id="34"/>
      <w:bookmarkEnd w:id="35"/>
      <w:bookmarkEnd w:id="36"/>
      <w:bookmarkEnd w:id="37"/>
      <w:bookmarkEnd w:id="38"/>
    </w:p>
    <w:p w:rsidR="00C736CB" w:rsidP="00C736CB" w14:paraId="38BBB824" w14:textId="77777777">
      <w:pPr>
        <w:pStyle w:val="ParaNum"/>
      </w:pPr>
      <w:r>
        <w:t>As proposed, we will use an online filing portal to receive and process Application Requests fo</w:t>
      </w:r>
      <w:r>
        <w:t>r Funding Allocation and to coordinate the interactions between program participants, the Reimbursement Program Fund Administrator, and the Bureau.</w:t>
      </w:r>
      <w:r>
        <w:rPr>
          <w:rStyle w:val="FootnoteReference"/>
        </w:rPr>
        <w:footnoteReference w:id="56"/>
      </w:r>
      <w:r>
        <w:t xml:space="preserve">  No commenters addressed this approach.  Applicants and recipients will electronically submit all filings </w:t>
      </w:r>
      <w:r>
        <w:t xml:space="preserve">related to the Reimbursement Program, including the Application Request for Funding Allocation, using an online filing portal.  </w:t>
      </w:r>
      <w:r>
        <w:rPr>
          <w:rFonts w:eastAsia="Segoe UI Emoji"/>
        </w:rPr>
        <w:t xml:space="preserve">We will </w:t>
      </w:r>
      <w:r w:rsidRPr="00AF54A0">
        <w:rPr>
          <w:rFonts w:eastAsia="Segoe UI Emoji"/>
        </w:rPr>
        <w:t xml:space="preserve">allow applicants to submit </w:t>
      </w:r>
      <w:r>
        <w:rPr>
          <w:rFonts w:eastAsia="Segoe UI Emoji"/>
        </w:rPr>
        <w:t xml:space="preserve">applications </w:t>
      </w:r>
      <w:r w:rsidRPr="00AF54A0">
        <w:rPr>
          <w:rFonts w:eastAsia="Segoe UI Emoji"/>
        </w:rPr>
        <w:t>at</w:t>
      </w:r>
      <w:r>
        <w:rPr>
          <w:rFonts w:eastAsia="Segoe UI Emoji"/>
        </w:rPr>
        <w:t xml:space="preserve"> either</w:t>
      </w:r>
      <w:r w:rsidRPr="00AF54A0">
        <w:rPr>
          <w:rFonts w:eastAsia="Segoe UI Emoji"/>
        </w:rPr>
        <w:t xml:space="preserve"> the holding company</w:t>
      </w:r>
      <w:r>
        <w:rPr>
          <w:rFonts w:eastAsia="Segoe UI Emoji"/>
        </w:rPr>
        <w:t xml:space="preserve"> </w:t>
      </w:r>
      <w:r w:rsidRPr="00AF54A0">
        <w:rPr>
          <w:rFonts w:eastAsia="Segoe UI Emoji"/>
        </w:rPr>
        <w:t>level or individual/subsidiary</w:t>
      </w:r>
      <w:r>
        <w:rPr>
          <w:rFonts w:eastAsia="Segoe UI Emoji"/>
        </w:rPr>
        <w:t xml:space="preserve"> </w:t>
      </w:r>
      <w:r w:rsidRPr="00AF54A0">
        <w:rPr>
          <w:rFonts w:eastAsia="Segoe UI Emoji"/>
        </w:rPr>
        <w:t>level</w:t>
      </w:r>
      <w:r>
        <w:rPr>
          <w:rFonts w:eastAsia="Segoe UI Emoji"/>
        </w:rPr>
        <w:t xml:space="preserve"> as proposed</w:t>
      </w:r>
      <w:r w:rsidRPr="00AF54A0">
        <w:rPr>
          <w:rFonts w:eastAsia="Segoe UI Emoji"/>
        </w:rPr>
        <w:t>.</w:t>
      </w:r>
      <w:r>
        <w:rPr>
          <w:rStyle w:val="FootnoteReference"/>
          <w:rFonts w:eastAsia="Segoe UI Emoji"/>
        </w:rPr>
        <w:footnoteReference w:id="57"/>
      </w:r>
      <w:r w:rsidRPr="00AF54A0">
        <w:rPr>
          <w:rFonts w:eastAsia="Segoe UI Emoji"/>
        </w:rPr>
        <w:t xml:space="preserve">  </w:t>
      </w:r>
      <w:r>
        <w:rPr>
          <w:rFonts w:eastAsia="Segoe UI Emoji"/>
        </w:rPr>
        <w:t xml:space="preserve">We strongly recommend, however, that applicants </w:t>
      </w:r>
      <w:r w:rsidRPr="00AF54A0">
        <w:rPr>
          <w:rFonts w:eastAsia="Segoe UI Emoji"/>
        </w:rPr>
        <w:t>fil</w:t>
      </w:r>
      <w:r>
        <w:rPr>
          <w:rFonts w:eastAsia="Segoe UI Emoji"/>
        </w:rPr>
        <w:t>e</w:t>
      </w:r>
      <w:r w:rsidRPr="00AF54A0">
        <w:rPr>
          <w:rFonts w:eastAsia="Segoe UI Emoji"/>
        </w:rPr>
        <w:t xml:space="preserve"> </w:t>
      </w:r>
      <w:r>
        <w:rPr>
          <w:rFonts w:eastAsia="Segoe UI Emoji"/>
        </w:rPr>
        <w:t xml:space="preserve">a single application </w:t>
      </w:r>
      <w:r w:rsidRPr="00AF54A0">
        <w:rPr>
          <w:rFonts w:eastAsia="Segoe UI Emoji"/>
        </w:rPr>
        <w:t>at the holding</w:t>
      </w:r>
      <w:r>
        <w:rPr>
          <w:rFonts w:eastAsia="Segoe UI Emoji"/>
        </w:rPr>
        <w:t xml:space="preserve"> </w:t>
      </w:r>
      <w:r w:rsidRPr="00AF54A0">
        <w:rPr>
          <w:rFonts w:eastAsia="Segoe UI Emoji"/>
        </w:rPr>
        <w:t>company</w:t>
      </w:r>
      <w:r>
        <w:rPr>
          <w:rFonts w:eastAsia="Segoe UI Emoji"/>
        </w:rPr>
        <w:t xml:space="preserve"> level to optimize </w:t>
      </w:r>
      <w:r w:rsidRPr="00AF54A0">
        <w:rPr>
          <w:rFonts w:eastAsia="Segoe UI Emoji"/>
        </w:rPr>
        <w:t>administrative effic</w:t>
      </w:r>
      <w:r>
        <w:rPr>
          <w:rFonts w:eastAsia="Segoe UI Emoji"/>
        </w:rPr>
        <w:t xml:space="preserve">iency by reducing the number of filings requiring processing.  </w:t>
      </w:r>
    </w:p>
    <w:p w:rsidR="00C736CB" w:rsidP="00C736CB" w14:paraId="14941BA4" w14:textId="77777777">
      <w:pPr>
        <w:pStyle w:val="ParaNum"/>
      </w:pPr>
      <w:r>
        <w:t>Commenters supported our proposal to consider the use of Excel batch uploads of information to facilitate the completion of applications.</w:t>
      </w:r>
      <w:r>
        <w:rPr>
          <w:rStyle w:val="FootnoteReference"/>
        </w:rPr>
        <w:footnoteReference w:id="58"/>
      </w:r>
      <w:r>
        <w:t xml:space="preserve">  To facilitate application preparation and ease the </w:t>
      </w:r>
      <w:r>
        <w:t xml:space="preserve">filing burden on applicants, we will develop the capability to allow batch uploads for targeted and </w:t>
      </w:r>
      <w:r>
        <w:t>specific portions of the applications.</w:t>
      </w:r>
      <w:r>
        <w:rPr>
          <w:rStyle w:val="FootnoteReference"/>
        </w:rPr>
        <w:footnoteReference w:id="59"/>
      </w:r>
      <w:r>
        <w:t xml:space="preserve">  Additionally, some commenters requested that the Commission ensure there will be sufficient support for issues ass</w:t>
      </w:r>
      <w:r>
        <w:t>ociated with filings in the portal.</w:t>
      </w:r>
      <w:r>
        <w:rPr>
          <w:rStyle w:val="FootnoteReference"/>
        </w:rPr>
        <w:footnoteReference w:id="60"/>
      </w:r>
      <w:r>
        <w:t xml:space="preserve">  We agree and will make support available to applicants for issues with the portal.  Specifically, a Reimbursement Program Fund Administrator helpline and an email address will be designated for Reimbursement Program a</w:t>
      </w:r>
      <w:r>
        <w:t xml:space="preserve">pplicants to address questions related to their application and reimbursement request submissions.  We will also provide additional details on the online filing process through webinars and other outreach activities.  </w:t>
      </w:r>
    </w:p>
    <w:p w:rsidR="00C736CB" w:rsidP="00C736CB" w14:paraId="10F51EE6" w14:textId="77777777">
      <w:pPr>
        <w:pStyle w:val="Heading3"/>
      </w:pPr>
      <w:bookmarkStart w:id="39" w:name="_Toc75940342"/>
      <w:bookmarkStart w:id="40" w:name="_Toc76912043"/>
      <w:bookmarkStart w:id="41" w:name="_Toc76912134"/>
      <w:bookmarkStart w:id="42" w:name="_Toc78364549"/>
      <w:bookmarkStart w:id="43" w:name="_Toc78815414"/>
      <w:bookmarkStart w:id="44" w:name="_Toc78815562"/>
      <w:r>
        <w:t>Filing Window</w:t>
      </w:r>
      <w:bookmarkEnd w:id="39"/>
      <w:bookmarkEnd w:id="40"/>
      <w:bookmarkEnd w:id="41"/>
      <w:bookmarkEnd w:id="42"/>
      <w:bookmarkEnd w:id="43"/>
      <w:bookmarkEnd w:id="44"/>
    </w:p>
    <w:p w:rsidR="00C736CB" w:rsidP="00C736CB" w14:paraId="26AF1980" w14:textId="77777777">
      <w:pPr>
        <w:pStyle w:val="ParaNum"/>
      </w:pPr>
      <w:r>
        <w:rPr>
          <w:rFonts w:eastAsia="Segoe UI Emoji"/>
          <w:i/>
          <w:iCs/>
        </w:rPr>
        <w:t xml:space="preserve">Timing and Length.  </w:t>
      </w:r>
      <w:r>
        <w:rPr>
          <w:rFonts w:eastAsia="Segoe UI Emoji"/>
        </w:rPr>
        <w:t xml:space="preserve">We </w:t>
      </w:r>
      <w:r>
        <w:rPr>
          <w:rFonts w:eastAsia="Segoe UI Emoji"/>
        </w:rPr>
        <w:t xml:space="preserve">adopt our proposals related to the Application Request for Funding Allocation filing window.  </w:t>
      </w:r>
      <w:r>
        <w:t xml:space="preserve">Per section 1.50004(b) of the Commission’s rules, </w:t>
      </w:r>
      <w:r>
        <w:rPr>
          <w:rFonts w:eastAsia="Segoe UI Emoji"/>
        </w:rPr>
        <w:t>the Bureau will announce the opening of an initial filing window in a subsequent public notice when the online f</w:t>
      </w:r>
      <w:r>
        <w:rPr>
          <w:rFonts w:eastAsia="Segoe UI Emoji"/>
        </w:rPr>
        <w:t>iling portal is ready to begin accepting applications.</w:t>
      </w:r>
      <w:r>
        <w:rPr>
          <w:rStyle w:val="FootnoteReference"/>
          <w:rFonts w:eastAsia="Segoe UI Emoji"/>
        </w:rPr>
        <w:footnoteReference w:id="61"/>
      </w:r>
      <w:r>
        <w:rPr>
          <w:rFonts w:eastAsia="Segoe UI Emoji"/>
        </w:rPr>
        <w:t xml:space="preserve">  In that public notice, the Bureau will also announce the duration of the initial filing window.</w:t>
      </w:r>
      <w:r>
        <w:rPr>
          <w:rStyle w:val="FootnoteReference"/>
          <w:rFonts w:eastAsia="Segoe UI Emoji"/>
        </w:rPr>
        <w:footnoteReference w:id="62"/>
      </w:r>
      <w:r>
        <w:rPr>
          <w:rFonts w:eastAsia="Segoe UI Emoji"/>
        </w:rPr>
        <w:t xml:space="preserve">  Consistent with the </w:t>
      </w:r>
      <w:r>
        <w:rPr>
          <w:rFonts w:eastAsia="Segoe UI Emoji"/>
          <w:i/>
          <w:iCs/>
        </w:rPr>
        <w:t xml:space="preserve">2021 Supply Chain </w:t>
      </w:r>
      <w:r w:rsidRPr="00A41C0C">
        <w:rPr>
          <w:rFonts w:eastAsia="Segoe UI Emoji"/>
          <w:i/>
          <w:iCs/>
        </w:rPr>
        <w:t>Order</w:t>
      </w:r>
      <w:r>
        <w:rPr>
          <w:rFonts w:eastAsia="Segoe UI Emoji"/>
        </w:rPr>
        <w:t>, the Bureau has discretion to set the length of the ini</w:t>
      </w:r>
      <w:r>
        <w:rPr>
          <w:rFonts w:eastAsia="Segoe UI Emoji"/>
        </w:rPr>
        <w:t>tial filing window, which is not limited to 30 days and may be longer if the Bureau finds that applicants need help navigating the application filing portal to compile the necessary documentation required for the filing requirements.</w:t>
      </w:r>
      <w:r>
        <w:rPr>
          <w:rStyle w:val="FootnoteReference"/>
          <w:rFonts w:eastAsia="Segoe UI Emoji"/>
        </w:rPr>
        <w:footnoteReference w:id="63"/>
      </w:r>
      <w:r>
        <w:rPr>
          <w:rFonts w:eastAsia="Segoe UI Emoji"/>
        </w:rPr>
        <w:t xml:space="preserve">  RWA, in its comment</w:t>
      </w:r>
      <w:r>
        <w:rPr>
          <w:rFonts w:eastAsia="Segoe UI Emoji"/>
        </w:rPr>
        <w:t>s, indicated a 60-day filing window would ensure that applicants could timely file their Application Requests for Funding Allocation.</w:t>
      </w:r>
      <w:r>
        <w:rPr>
          <w:rStyle w:val="FootnoteReference"/>
          <w:rFonts w:eastAsia="Segoe UI Emoji"/>
        </w:rPr>
        <w:footnoteReference w:id="64"/>
      </w:r>
      <w:r>
        <w:rPr>
          <w:rFonts w:eastAsia="Segoe UI Emoji"/>
        </w:rPr>
        <w:t xml:space="preserve">  We agree with RWA that applicants would benefit from having a longer filing window and will consider this comment when </w:t>
      </w:r>
      <w:r>
        <w:rPr>
          <w:rFonts w:eastAsia="Segoe UI Emoji"/>
        </w:rPr>
        <w:t>we determine the duration of the filing window.  We are working toward a target date of late October for the opening of the filing window.</w:t>
      </w:r>
      <w:r>
        <w:rPr>
          <w:rStyle w:val="FootnoteReference"/>
          <w:rFonts w:eastAsia="Segoe UI Emoji"/>
        </w:rPr>
        <w:footnoteReference w:id="65"/>
      </w:r>
      <w:r>
        <w:rPr>
          <w:rFonts w:eastAsia="Segoe UI Emoji"/>
        </w:rPr>
        <w:t xml:space="preserve">  We anticipate that the filing window period will run at least 60 days, and potentially longer.  Until the filing w</w:t>
      </w:r>
      <w:r>
        <w:rPr>
          <w:rFonts w:eastAsia="Segoe UI Emoji"/>
        </w:rPr>
        <w:t xml:space="preserve">indow closes, we will allow applicants to initiate, save, submit, </w:t>
      </w:r>
      <w:r>
        <w:t>and make changes to submitted applications as proposed.</w:t>
      </w:r>
      <w:r>
        <w:rPr>
          <w:rStyle w:val="FootnoteReference"/>
        </w:rPr>
        <w:footnoteReference w:id="66"/>
      </w:r>
    </w:p>
    <w:p w:rsidR="00C736CB" w:rsidP="00C736CB" w14:paraId="267202F7" w14:textId="77777777">
      <w:pPr>
        <w:pStyle w:val="Heading3"/>
      </w:pPr>
      <w:bookmarkStart w:id="45" w:name="_Toc75940343"/>
      <w:bookmarkStart w:id="46" w:name="_Toc76912044"/>
      <w:bookmarkStart w:id="47" w:name="_Toc76912135"/>
      <w:bookmarkStart w:id="48" w:name="_Toc78364550"/>
      <w:bookmarkStart w:id="49" w:name="_Toc78815415"/>
      <w:bookmarkStart w:id="50" w:name="_Toc78815563"/>
      <w:r>
        <w:t>Reimbursement Program Eligibility Verification</w:t>
      </w:r>
      <w:bookmarkEnd w:id="45"/>
      <w:bookmarkEnd w:id="46"/>
      <w:bookmarkEnd w:id="47"/>
      <w:bookmarkEnd w:id="48"/>
      <w:bookmarkEnd w:id="49"/>
      <w:bookmarkEnd w:id="50"/>
    </w:p>
    <w:p w:rsidR="00C736CB" w:rsidP="00C736CB" w14:paraId="7EE891CC" w14:textId="77777777">
      <w:pPr>
        <w:pStyle w:val="ParaNum"/>
        <w:widowControl/>
      </w:pPr>
      <w:r>
        <w:t xml:space="preserve">In the </w:t>
      </w:r>
      <w:r>
        <w:rPr>
          <w:i/>
          <w:iCs/>
        </w:rPr>
        <w:t>2021 Supply Chain</w:t>
      </w:r>
      <w:r w:rsidRPr="00237B09">
        <w:rPr>
          <w:i/>
          <w:iCs/>
        </w:rPr>
        <w:t xml:space="preserve"> Order</w:t>
      </w:r>
      <w:r>
        <w:t xml:space="preserve">, the Commission amended its rules to align </w:t>
      </w:r>
      <w:r>
        <w:t>eligibility for the Reimbursement Program with the CAA’s amendments to the Secure Networks Act.</w:t>
      </w:r>
      <w:r>
        <w:rPr>
          <w:rStyle w:val="FootnoteReference"/>
        </w:rPr>
        <w:footnoteReference w:id="67"/>
      </w:r>
      <w:r>
        <w:t xml:space="preserve">  Consistent with the CAA, as implemented by the </w:t>
      </w:r>
      <w:r>
        <w:rPr>
          <w:i/>
          <w:iCs/>
        </w:rPr>
        <w:t>2021 Supply Chain</w:t>
      </w:r>
      <w:r w:rsidRPr="0066601F">
        <w:rPr>
          <w:i/>
        </w:rPr>
        <w:t xml:space="preserve"> Order</w:t>
      </w:r>
      <w:r>
        <w:t>, participation in the Reimbursement Program is limited to providers of advanced commun</w:t>
      </w:r>
      <w:r>
        <w:t xml:space="preserve">ications service with 10 million or fewer </w:t>
      </w:r>
      <w:r>
        <w:t>customers.</w:t>
      </w:r>
      <w:r>
        <w:rPr>
          <w:rStyle w:val="FootnoteReference"/>
        </w:rPr>
        <w:footnoteReference w:id="68"/>
      </w:r>
      <w:r>
        <w:t xml:space="preserve">  As the Commission determined in the </w:t>
      </w:r>
      <w:r w:rsidRPr="0066601F">
        <w:rPr>
          <w:i/>
        </w:rPr>
        <w:t>2020 Supply Chain Order</w:t>
      </w:r>
      <w:r>
        <w:t xml:space="preserve">, </w:t>
      </w:r>
      <w:r w:rsidRPr="00F822D9">
        <w:t>“</w:t>
      </w:r>
      <w:r>
        <w:t>c</w:t>
      </w:r>
      <w:r w:rsidRPr="00F822D9">
        <w:t>ustomers” is interpreted to include</w:t>
      </w:r>
      <w:r>
        <w:t xml:space="preserve"> </w:t>
      </w:r>
      <w:r w:rsidRPr="00F822D9">
        <w:t xml:space="preserve">customers of the </w:t>
      </w:r>
      <w:r>
        <w:t>a</w:t>
      </w:r>
      <w:r w:rsidRPr="00F822D9">
        <w:t>pplicant and customers of any affiliate taking advanced</w:t>
      </w:r>
      <w:r>
        <w:t xml:space="preserve"> </w:t>
      </w:r>
      <w:r w:rsidRPr="00F822D9">
        <w:t>communications service from</w:t>
      </w:r>
      <w:r w:rsidRPr="00F822D9">
        <w:t xml:space="preserve"> the provider and its affiliates as of the date</w:t>
      </w:r>
      <w:r>
        <w:t xml:space="preserve"> </w:t>
      </w:r>
      <w:r w:rsidRPr="00F822D9">
        <w:t>the application is filed.</w:t>
      </w:r>
      <w:r>
        <w:rPr>
          <w:rStyle w:val="FootnoteReference"/>
        </w:rPr>
        <w:footnoteReference w:id="69"/>
      </w:r>
      <w:r>
        <w:t xml:space="preserve">  Eligibility to participate in the Reimbursement Program is limited to “providers of advanced communications service,” which is defined as pr</w:t>
      </w:r>
      <w:r w:rsidRPr="008679EA">
        <w:t>oviders of “high-speed, switched, broad</w:t>
      </w:r>
      <w:r w:rsidRPr="008679EA">
        <w:t>band telecommunications capability that enables users to originate and receive high-quality voice, data, graphics, and video telecommunications using any technology with connection speeds of at least 200 kbps in either direction</w:t>
      </w:r>
      <w:r>
        <w:t>.”</w:t>
      </w:r>
      <w:r>
        <w:rPr>
          <w:rStyle w:val="FootnoteReference"/>
        </w:rPr>
        <w:footnoteReference w:id="70"/>
      </w:r>
      <w:r>
        <w:t xml:space="preserve">  A school, library or h</w:t>
      </w:r>
      <w:r>
        <w:t>ealth care provider, or consortium thereof, providing facilities-based non-commercial educational broadband service connections of at least 200 kbps in one direction would qualify as a provider of advanced communication service for the purposes of the Reim</w:t>
      </w:r>
      <w:r>
        <w:t>bursement Program and is eligible for reimbursement funding.</w:t>
      </w:r>
      <w:r>
        <w:rPr>
          <w:rStyle w:val="FootnoteReference"/>
        </w:rPr>
        <w:footnoteReference w:id="71"/>
      </w:r>
      <w:r>
        <w:t xml:space="preserve">  The Commission in the </w:t>
      </w:r>
      <w:r>
        <w:rPr>
          <w:i/>
          <w:iCs/>
        </w:rPr>
        <w:t>2021 Supply Chain Order</w:t>
      </w:r>
      <w:r>
        <w:t xml:space="preserve"> also modified the scope of covered communications equipment and services eligible for Reimbursement Program support consistent with the amendments to the Secure Networks Act by the CAA.</w:t>
      </w:r>
      <w:r>
        <w:rPr>
          <w:rStyle w:val="FootnoteReference"/>
        </w:rPr>
        <w:footnoteReference w:id="72"/>
      </w:r>
      <w:r>
        <w:t xml:space="preserve"> The modification limits eligibility for reimbursement to communicat</w:t>
      </w:r>
      <w:r>
        <w:t>ions equipment or services produced or provided by Huawei or ZTE obtained on or before June 30, 2020.</w:t>
      </w:r>
      <w:r>
        <w:rPr>
          <w:rStyle w:val="FootnoteReference"/>
        </w:rPr>
        <w:footnoteReference w:id="73"/>
      </w:r>
    </w:p>
    <w:p w:rsidR="00C736CB" w:rsidP="00C736CB" w14:paraId="3B2E37AB" w14:textId="77777777">
      <w:pPr>
        <w:pStyle w:val="ParaNum"/>
      </w:pPr>
      <w:r>
        <w:t>We will review, with the assistance of the Reimbursement Program Fund Administrator, Application Requests for Funding Allocation to verify Reimbursement</w:t>
      </w:r>
      <w:r>
        <w:t xml:space="preserve"> Program eligibility as required by the Commission’s rules.</w:t>
      </w:r>
      <w:r>
        <w:rPr>
          <w:rStyle w:val="FootnoteReference"/>
        </w:rPr>
        <w:footnoteReference w:id="74"/>
      </w:r>
      <w:r>
        <w:t xml:space="preserve">  The Application Request for Funding Allocation contains questions to assist with Reimbursement Program eligibility verification.  For example, each applicant must answer “yes” or “no” as to whe</w:t>
      </w:r>
      <w:r>
        <w:t>ther it is a provider of advanced communications service with 10 million or fewer customers.</w:t>
      </w:r>
      <w:r>
        <w:rPr>
          <w:rStyle w:val="FootnoteReference"/>
        </w:rPr>
        <w:footnoteReference w:id="75"/>
      </w:r>
      <w:r>
        <w:t xml:space="preserve">  Applicants must also indicate “yes” or “no” to whether they have obtained covered communications equipment or service eligible for Reimbursement Program support</w:t>
      </w:r>
      <w:r>
        <w:t xml:space="preserve"> on or before June 30, 2020.</w:t>
      </w:r>
      <w:r>
        <w:rPr>
          <w:rStyle w:val="FootnoteReference"/>
        </w:rPr>
        <w:footnoteReference w:id="76"/>
      </w:r>
      <w:r>
        <w:t xml:space="preserve">  In addition, applicants are required to identify the eligible covered communications equipment or service that they intend to remove, replace, and dispose of with Reimbursement Program support by site location.</w:t>
      </w:r>
    </w:p>
    <w:p w:rsidR="00C736CB" w:rsidP="00C736CB" w14:paraId="771A7EFF" w14:textId="77777777">
      <w:pPr>
        <w:pStyle w:val="ParaNum"/>
      </w:pPr>
      <w:r>
        <w:t xml:space="preserve">The standard </w:t>
      </w:r>
      <w:r>
        <w:t xml:space="preserve">the Commission adopted to determine whether a provider is classified as a provider of advanced communications service is the same standard used to determine whether a provider must file FCC Form 477 to report broadband deployment data, i.e., the provision </w:t>
      </w:r>
      <w:r>
        <w:t>of a facilities-based broadband connection to an end user with a speed of at least 200 kbps in either direction.</w:t>
      </w:r>
      <w:r>
        <w:rPr>
          <w:rStyle w:val="FootnoteReference"/>
        </w:rPr>
        <w:footnoteReference w:id="77"/>
      </w:r>
      <w:r>
        <w:t xml:space="preserve">  Accordingly, as part of our internal verification process, we will cross-check applicants against the list of FCC Form 477 filers as of the </w:t>
      </w:r>
      <w:r>
        <w:t>most recent filing deadline.  Applicants not identified on the most recent FCC Form 477 filer list may need to provide additional information to support Reimbursement Program eligibility in response to a Reimbursement Program Fund Administrator request for</w:t>
      </w:r>
      <w:r>
        <w:t xml:space="preserve"> information.</w:t>
      </w:r>
      <w:r>
        <w:rPr>
          <w:rStyle w:val="FootnoteReference"/>
        </w:rPr>
        <w:footnoteReference w:id="78"/>
      </w:r>
      <w:r>
        <w:t xml:space="preserve"> </w:t>
      </w:r>
    </w:p>
    <w:p w:rsidR="00C736CB" w:rsidP="00C736CB" w14:paraId="4E8701B5" w14:textId="77777777">
      <w:pPr>
        <w:pStyle w:val="ParaNum"/>
      </w:pPr>
      <w:r>
        <w:t>We find the validation of eligibility using FCC Form 477 filing information, coupled with requesting additional information evidencing eligibility where an entity has not recently filed an FCC Form 477, appropriate in our efforts to ensure</w:t>
      </w:r>
      <w:r>
        <w:t xml:space="preserve"> the Reimbursement Program supports providers of advanced communications services with 10 million or fewer customers and protect against waste, fraud, and abuse.</w:t>
      </w:r>
      <w:r>
        <w:rPr>
          <w:rStyle w:val="FootnoteReference"/>
        </w:rPr>
        <w:footnoteReference w:id="79"/>
      </w:r>
      <w:r>
        <w:t xml:space="preserve">  </w:t>
      </w:r>
    </w:p>
    <w:p w:rsidR="00C736CB" w:rsidP="00C736CB" w14:paraId="2C596D5F" w14:textId="77777777">
      <w:pPr>
        <w:pStyle w:val="Heading3"/>
      </w:pPr>
      <w:bookmarkStart w:id="51" w:name="_Toc75940344"/>
      <w:bookmarkStart w:id="52" w:name="_Toc76912045"/>
      <w:bookmarkStart w:id="53" w:name="_Toc76912136"/>
      <w:bookmarkStart w:id="54" w:name="_Toc78364551"/>
      <w:bookmarkStart w:id="55" w:name="_Toc78815416"/>
      <w:bookmarkStart w:id="56" w:name="_Toc78815564"/>
      <w:r>
        <w:t>Cost Estimates</w:t>
      </w:r>
      <w:bookmarkEnd w:id="51"/>
      <w:bookmarkEnd w:id="52"/>
      <w:bookmarkEnd w:id="53"/>
      <w:bookmarkEnd w:id="54"/>
      <w:bookmarkEnd w:id="55"/>
      <w:bookmarkEnd w:id="56"/>
    </w:p>
    <w:p w:rsidR="00C736CB" w:rsidP="00C736CB" w14:paraId="7DC5AF92" w14:textId="77777777">
      <w:pPr>
        <w:pStyle w:val="ParaNum"/>
        <w:widowControl/>
        <w:tabs>
          <w:tab w:val="left" w:pos="1440"/>
        </w:tabs>
      </w:pPr>
      <w:r w:rsidRPr="5145881F">
        <w:t>As required by the Secure Networks Act and the Commission’s rules, the Appl</w:t>
      </w:r>
      <w:r w:rsidRPr="5145881F">
        <w:t>ication Request for Funding Allocation</w:t>
      </w:r>
      <w:r>
        <w:rPr>
          <w:bCs/>
          <w:szCs w:val="22"/>
        </w:rPr>
        <w:t xml:space="preserve"> </w:t>
      </w:r>
      <w:r w:rsidRPr="5145881F">
        <w:t>requires applicants to submit initial estimate</w:t>
      </w:r>
      <w:r>
        <w:t>s</w:t>
      </w:r>
      <w:r w:rsidRPr="5145881F">
        <w:t xml:space="preserve"> of costs reasonably incurred for the permanent removal, replacement, and disposal of covered communications equipment or services.</w:t>
      </w:r>
      <w:r>
        <w:rPr>
          <w:rStyle w:val="FootnoteReference"/>
        </w:rPr>
        <w:footnoteReference w:id="80"/>
      </w:r>
      <w:r w:rsidRPr="006539ED">
        <w:rPr>
          <w:szCs w:val="22"/>
        </w:rPr>
        <w:t xml:space="preserve"> </w:t>
      </w:r>
      <w:r w:rsidRPr="006539ED">
        <w:rPr>
          <w:bCs/>
          <w:szCs w:val="22"/>
        </w:rPr>
        <w:t xml:space="preserve"> </w:t>
      </w:r>
      <w:r w:rsidRPr="5145881F">
        <w:t xml:space="preserve">Both </w:t>
      </w:r>
      <w:r>
        <w:t>the Secure Networks Act and th</w:t>
      </w:r>
      <w:r>
        <w:t>e Commission’s rules require applicants to provide cost estimates in their applications.</w:t>
      </w:r>
      <w:r>
        <w:rPr>
          <w:rStyle w:val="FootnoteReference"/>
        </w:rPr>
        <w:footnoteReference w:id="81"/>
      </w:r>
      <w:r>
        <w:t xml:space="preserve">  The Secure Networks Act specifically states that the “Commission shall require an applicant to provide an initial reimbursement cost estimate at the time of applica</w:t>
      </w:r>
      <w:r>
        <w:t>tion, with supporting materials substantiating the costs,” which the Commission “may require an applicant to . . . update,” and “submit additional supporting materials.”</w:t>
      </w:r>
      <w:r>
        <w:rPr>
          <w:rStyle w:val="FootnoteReference"/>
        </w:rPr>
        <w:footnoteReference w:id="82"/>
      </w:r>
      <w:r>
        <w:t xml:space="preserve">  </w:t>
      </w:r>
    </w:p>
    <w:p w:rsidR="00C736CB" w:rsidP="00C736CB" w14:paraId="23ED80FB" w14:textId="77777777">
      <w:pPr>
        <w:pStyle w:val="ParaNum"/>
        <w:tabs>
          <w:tab w:val="left" w:pos="1440"/>
        </w:tabs>
      </w:pPr>
      <w:r>
        <w:t>To help applicants submit cost estimates with their applications, the Commission p</w:t>
      </w:r>
      <w:r>
        <w:t xml:space="preserve">ermitted applicants to rely on estimated costs identified in the Catalog, which contains categories of quantifiable costs typically incurred in the removal, replacement, and disposal process.  For costs not covered by the Catalog, or if applicants want to </w:t>
      </w:r>
      <w:r>
        <w:t>use a cost estimate that differs from the Catalog, the applicant can instead provide an individualized cost estimate supported by documentation (e.g., vendor quotes).</w:t>
      </w:r>
      <w:r>
        <w:rPr>
          <w:rStyle w:val="FootnoteReference"/>
        </w:rPr>
        <w:footnoteReference w:id="83"/>
      </w:r>
      <w:r>
        <w:t xml:space="preserve">  The finalization of the Catalog is discussed in Part III.B of this Public Notice, but here we address the proposals and comments related to the submission of cost estimates generally.   </w:t>
      </w:r>
    </w:p>
    <w:p w:rsidR="00C736CB" w:rsidP="002C5409" w14:paraId="6979EA48" w14:textId="77777777">
      <w:pPr>
        <w:pStyle w:val="ParaNum"/>
        <w:widowControl/>
      </w:pPr>
      <w:r w:rsidRPr="77659CA4">
        <w:rPr>
          <w:i/>
        </w:rPr>
        <w:t>Technology Upgrades</w:t>
      </w:r>
      <w:r>
        <w:rPr>
          <w:szCs w:val="22"/>
        </w:rPr>
        <w:t xml:space="preserve">.  </w:t>
      </w:r>
      <w:r w:rsidRPr="77659CA4">
        <w:t xml:space="preserve">In the </w:t>
      </w:r>
      <w:r w:rsidRPr="77659CA4">
        <w:rPr>
          <w:i/>
        </w:rPr>
        <w:t>2021 Supply Chain Order</w:t>
      </w:r>
      <w:r w:rsidRPr="77659CA4">
        <w:t>, the Commissio</w:t>
      </w:r>
      <w:r w:rsidRPr="77659CA4">
        <w:t>n clarified</w:t>
      </w:r>
      <w:r>
        <w:t xml:space="preserve"> that</w:t>
      </w:r>
      <w:r w:rsidRPr="77659CA4">
        <w:t xml:space="preserve"> “the ‘costs reasonably incurred’ standard </w:t>
      </w:r>
      <w:r>
        <w:t xml:space="preserve">. . . </w:t>
      </w:r>
      <w:r w:rsidRPr="77659CA4">
        <w:t>make</w:t>
      </w:r>
      <w:r>
        <w:t>[s]</w:t>
      </w:r>
      <w:r w:rsidRPr="77659CA4">
        <w:t xml:space="preserve"> providers responsible for the additional incremental cost of funding upgrades that exceed what is reasonably necessary to transition to a comparable replacement.”</w:t>
      </w:r>
      <w:r>
        <w:rPr>
          <w:rStyle w:val="FootnoteReference"/>
        </w:rPr>
        <w:footnoteReference w:id="84"/>
      </w:r>
      <w:r w:rsidRPr="008302C4">
        <w:rPr>
          <w:szCs w:val="22"/>
        </w:rPr>
        <w:t xml:space="preserve">  </w:t>
      </w:r>
      <w:r w:rsidRPr="77659CA4">
        <w:t>The Commission ac</w:t>
      </w:r>
      <w:r w:rsidRPr="77659CA4">
        <w:t>knowledged that whether an upgrade is a “reasonable, comparable replacement necessary for the transition” to a replacement “will likely depend on the facts in each case.”</w:t>
      </w:r>
      <w:r>
        <w:rPr>
          <w:rStyle w:val="FootnoteReference"/>
        </w:rPr>
        <w:footnoteReference w:id="85"/>
      </w:r>
      <w:r w:rsidRPr="77659CA4">
        <w:t xml:space="preserve">  The Commission directed the Bureau, with the assistance of the Reimbursement Progr</w:t>
      </w:r>
      <w:r w:rsidRPr="77659CA4">
        <w:t>am Fund Administrator, to “first consider whether the cost is typically incurred when transitioning from covered communications equipment and services to a replacement.”</w:t>
      </w:r>
      <w:r>
        <w:rPr>
          <w:rStyle w:val="FootnoteReference"/>
        </w:rPr>
        <w:footnoteReference w:id="86"/>
      </w:r>
      <w:r w:rsidRPr="77659CA4">
        <w:t xml:space="preserve">  Other factors we may consider include the </w:t>
      </w:r>
      <w:r w:rsidRPr="77659CA4">
        <w:t>“costs in relation to the alternative equ</w:t>
      </w:r>
      <w:r w:rsidRPr="77659CA4">
        <w:t>ipment and services and the capabilities and functions performed by the replacement equipment and service as compared to the equipment and services removed.”</w:t>
      </w:r>
      <w:r>
        <w:rPr>
          <w:rStyle w:val="FootnoteReference"/>
        </w:rPr>
        <w:footnoteReference w:id="87"/>
      </w:r>
      <w:r w:rsidRPr="008302C4">
        <w:rPr>
          <w:szCs w:val="22"/>
        </w:rPr>
        <w:t xml:space="preserve"> </w:t>
      </w:r>
      <w:r>
        <w:rPr>
          <w:rStyle w:val="CommentReference"/>
        </w:rPr>
        <w:t xml:space="preserve">  </w:t>
      </w:r>
    </w:p>
    <w:p w:rsidR="00C736CB" w:rsidRPr="00D972EC" w:rsidP="00C736CB" w14:paraId="051DC8D7" w14:textId="77777777">
      <w:pPr>
        <w:pStyle w:val="ParaNum"/>
        <w:widowControl/>
      </w:pPr>
      <w:r>
        <w:t xml:space="preserve">As provided in the </w:t>
      </w:r>
      <w:r w:rsidRPr="00941AC3">
        <w:rPr>
          <w:i/>
          <w:iCs/>
        </w:rPr>
        <w:t>2021 Supply Chain Order</w:t>
      </w:r>
      <w:r>
        <w:t>, p</w:t>
      </w:r>
      <w:r w:rsidRPr="00192310">
        <w:t>articipants may</w:t>
      </w:r>
      <w:r>
        <w:t xml:space="preserve"> </w:t>
      </w:r>
      <w:r w:rsidRPr="00192310">
        <w:t xml:space="preserve">obtain </w:t>
      </w:r>
      <w:r w:rsidRPr="00192310">
        <w:t>Reimbursement Program support for an amount equivalent to the cost estimate of a comparable replacement.</w:t>
      </w:r>
      <w:r>
        <w:rPr>
          <w:rStyle w:val="FootnoteReference"/>
        </w:rPr>
        <w:footnoteReference w:id="88"/>
      </w:r>
      <w:r w:rsidRPr="00192310">
        <w:t xml:space="preserve">  </w:t>
      </w:r>
      <w:r>
        <w:t xml:space="preserve"> Participants electing to </w:t>
      </w:r>
      <w:r w:rsidRPr="00192310">
        <w:t>upgrad</w:t>
      </w:r>
      <w:r>
        <w:t>e their equipment or service</w:t>
      </w:r>
      <w:r w:rsidRPr="00757710">
        <w:t xml:space="preserve"> </w:t>
      </w:r>
      <w:r w:rsidRPr="00192310">
        <w:t xml:space="preserve">in excess of </w:t>
      </w:r>
      <w:r>
        <w:t xml:space="preserve">the costs of </w:t>
      </w:r>
      <w:r w:rsidRPr="00192310">
        <w:t>a comparable replacement</w:t>
      </w:r>
      <w:r>
        <w:t>, however,</w:t>
      </w:r>
      <w:r w:rsidRPr="00192310">
        <w:t xml:space="preserve"> bear the difference in cos</w:t>
      </w:r>
      <w:r w:rsidRPr="00192310">
        <w:t>t between the comparable replacement and the technology upgrade</w:t>
      </w:r>
      <w:r>
        <w:t>.</w:t>
      </w:r>
      <w:r>
        <w:rPr>
          <w:rStyle w:val="FootnoteReference"/>
        </w:rPr>
        <w:footnoteReference w:id="89"/>
      </w:r>
      <w:r w:rsidRPr="00192310">
        <w:t xml:space="preserve">  </w:t>
      </w:r>
      <w:r>
        <w:t>P</w:t>
      </w:r>
      <w:r w:rsidRPr="00192310">
        <w:t>articipants seek</w:t>
      </w:r>
      <w:r>
        <w:t xml:space="preserve">ing funding for </w:t>
      </w:r>
      <w:r w:rsidRPr="00192310">
        <w:t xml:space="preserve">a technology upgrade in excess of </w:t>
      </w:r>
      <w:r>
        <w:t xml:space="preserve">the costs of </w:t>
      </w:r>
      <w:r w:rsidRPr="00192310">
        <w:t xml:space="preserve">a comparable replacement </w:t>
      </w:r>
      <w:r>
        <w:t>will be required</w:t>
      </w:r>
      <w:r w:rsidRPr="00192310">
        <w:t xml:space="preserve"> to provide price quotes for the comparable replacement with their </w:t>
      </w:r>
      <w:r w:rsidRPr="00192310">
        <w:t>Application Request for Funding Allocation</w:t>
      </w:r>
      <w:r>
        <w:t xml:space="preserve">—they may </w:t>
      </w:r>
      <w:r w:rsidRPr="00192310">
        <w:t>not rely on the cost estimates</w:t>
      </w:r>
      <w:r>
        <w:t xml:space="preserve"> contained in the Catalog—and they must also</w:t>
      </w:r>
      <w:r w:rsidRPr="00D13863">
        <w:t xml:space="preserve"> </w:t>
      </w:r>
      <w:r>
        <w:t>separately certify that the cost estimate is made in good faith.</w:t>
      </w:r>
      <w:r>
        <w:rPr>
          <w:rStyle w:val="FootnoteReference"/>
        </w:rPr>
        <w:footnoteReference w:id="90"/>
      </w:r>
      <w:r>
        <w:t xml:space="preserve">  </w:t>
      </w:r>
      <w:r w:rsidRPr="00192310">
        <w:t xml:space="preserve"> </w:t>
      </w:r>
    </w:p>
    <w:p w:rsidR="00C736CB" w:rsidP="00C736CB" w14:paraId="62AE9D2C" w14:textId="77777777">
      <w:pPr>
        <w:pStyle w:val="ParaNum"/>
        <w:widowControl/>
      </w:pPr>
      <w:r>
        <w:t xml:space="preserve">While the Commission encourages providers to upgrade their </w:t>
      </w:r>
      <w:r>
        <w:t>networks, Congress directed the Commission to “preclude network upgrades that go beyond the replacement of covered communications equipment or services from eligibility.”</w:t>
      </w:r>
      <w:r>
        <w:rPr>
          <w:rStyle w:val="FootnoteReference"/>
        </w:rPr>
        <w:footnoteReference w:id="91"/>
      </w:r>
      <w:r>
        <w:t xml:space="preserve">  Providers are responsible for the additional incremental costs of funding upgrades</w:t>
      </w:r>
      <w:r>
        <w:t xml:space="preserve"> that exceed what is reasonably necessary to transition to a comparable replacement.</w:t>
      </w:r>
      <w:r>
        <w:rPr>
          <w:rStyle w:val="FootnoteReference"/>
        </w:rPr>
        <w:footnoteReference w:id="92"/>
      </w:r>
      <w:r>
        <w:t xml:space="preserve">  In the </w:t>
      </w:r>
      <w:r>
        <w:rPr>
          <w:i/>
          <w:iCs/>
        </w:rPr>
        <w:t xml:space="preserve">2021 Supply Chain </w:t>
      </w:r>
      <w:r w:rsidRPr="001A6173">
        <w:t>Order</w:t>
      </w:r>
      <w:r>
        <w:t>, t</w:t>
      </w:r>
      <w:r w:rsidRPr="001A6173">
        <w:t>he</w:t>
      </w:r>
      <w:r>
        <w:t xml:space="preserve"> Commission found, as a general matter, expenses incurred replacing </w:t>
      </w:r>
      <w:r w:rsidRPr="00192310">
        <w:rPr>
          <w:noProof/>
        </w:rPr>
        <w:t xml:space="preserve">microwave backhaul with fiber backhaul </w:t>
      </w:r>
      <w:r>
        <w:rPr>
          <w:noProof/>
        </w:rPr>
        <w:t>or</w:t>
      </w:r>
      <w:r w:rsidRPr="00192310">
        <w:rPr>
          <w:noProof/>
        </w:rPr>
        <w:t xml:space="preserve"> replacing last-mile fix</w:t>
      </w:r>
      <w:r w:rsidRPr="00192310">
        <w:rPr>
          <w:noProof/>
        </w:rPr>
        <w:t xml:space="preserve">ed wireless links with fiber-to-the-premises (FTTP) </w:t>
      </w:r>
      <w:r>
        <w:rPr>
          <w:noProof/>
        </w:rPr>
        <w:t xml:space="preserve">are not reasonably </w:t>
      </w:r>
      <w:r w:rsidRPr="00192310">
        <w:rPr>
          <w:noProof/>
        </w:rPr>
        <w:t xml:space="preserve">necessary </w:t>
      </w:r>
      <w:r>
        <w:rPr>
          <w:noProof/>
        </w:rPr>
        <w:t>to</w:t>
      </w:r>
      <w:r w:rsidRPr="00192310">
        <w:rPr>
          <w:noProof/>
        </w:rPr>
        <w:t xml:space="preserve"> </w:t>
      </w:r>
      <w:r>
        <w:rPr>
          <w:noProof/>
        </w:rPr>
        <w:t>transition to a comparable replacement.</w:t>
      </w:r>
      <w:r>
        <w:rPr>
          <w:rStyle w:val="FootnoteReference"/>
          <w:noProof/>
        </w:rPr>
        <w:footnoteReference w:id="93"/>
      </w:r>
      <w:r>
        <w:rPr>
          <w:noProof/>
        </w:rPr>
        <w:t xml:space="preserve">  Thus, </w:t>
      </w:r>
      <w:r>
        <w:t xml:space="preserve">consistent with the </w:t>
      </w:r>
      <w:r w:rsidRPr="00735110">
        <w:rPr>
          <w:i/>
          <w:iCs/>
        </w:rPr>
        <w:t>2021 Supply Chain Order</w:t>
      </w:r>
      <w:r w:rsidRPr="00377448">
        <w:t>,</w:t>
      </w:r>
      <w:r>
        <w:t xml:space="preserve"> while we will view fiber replacements as a technology upgrade, not a reasonabl</w:t>
      </w:r>
      <w:r>
        <w:t>e, comparable replacement, Reimbursement Program participants may be reimbursed for a portion of their expenses up to the difference in cost between a comparable replacement and the fiber upgrade.</w:t>
      </w:r>
      <w:r>
        <w:rPr>
          <w:rStyle w:val="FootnoteReference"/>
        </w:rPr>
        <w:footnoteReference w:id="94"/>
      </w:r>
      <w:r>
        <w:t xml:space="preserve">  However, additional sources of federal funding outside t</w:t>
      </w:r>
      <w:r>
        <w:t>he scope of Reimbursement Program may be available to applicants for fiber deployments which could account for costs that exceed the costs of a comparable replacement.  We encourage providers to explore all available funding options to upgrade their networ</w:t>
      </w:r>
      <w:r>
        <w:t xml:space="preserve">ks with fiber.  </w:t>
      </w:r>
      <w:r>
        <w:rPr>
          <w:noProof/>
        </w:rPr>
        <w:t xml:space="preserve">Additionally, the Commission found that </w:t>
      </w:r>
      <w:r>
        <w:t>handset upgrades and certain other customer-premises equipment (CPE) are ineligible for reimbursement because replacing such handsets is not reasonably necessary to the removal, replacement, and dispo</w:t>
      </w:r>
      <w:r>
        <w:t>sal of covered communications equipment or service.</w:t>
      </w:r>
      <w:r>
        <w:rPr>
          <w:rStyle w:val="FootnoteReference"/>
        </w:rPr>
        <w:footnoteReference w:id="95"/>
      </w:r>
      <w:r>
        <w:t xml:space="preserve">  </w:t>
      </w:r>
    </w:p>
    <w:p w:rsidR="00C736CB" w:rsidP="00C736CB" w14:paraId="5FD07C3F" w14:textId="77777777">
      <w:pPr>
        <w:pStyle w:val="ParaNum"/>
        <w:widowControl/>
      </w:pPr>
      <w:r>
        <w:rPr>
          <w:i/>
          <w:iCs/>
        </w:rPr>
        <w:t>Average Catalog Cost Estimate</w:t>
      </w:r>
      <w:r>
        <w:t xml:space="preserve">.  Separately, we adopt our proposals in the </w:t>
      </w:r>
      <w:r w:rsidRPr="00484A7B">
        <w:rPr>
          <w:i/>
          <w:iCs/>
        </w:rPr>
        <w:t>Reimbursement Process P</w:t>
      </w:r>
      <w:r>
        <w:rPr>
          <w:i/>
          <w:iCs/>
        </w:rPr>
        <w:t xml:space="preserve">ublic </w:t>
      </w:r>
      <w:r w:rsidRPr="00484A7B">
        <w:rPr>
          <w:i/>
          <w:iCs/>
        </w:rPr>
        <w:t>N</w:t>
      </w:r>
      <w:r>
        <w:rPr>
          <w:i/>
          <w:iCs/>
        </w:rPr>
        <w:t>otice</w:t>
      </w:r>
      <w:r>
        <w:t xml:space="preserve"> related to the submission of cost estimates for the purposes of granting funding allocations.  We adopt our </w:t>
      </w:r>
      <w:r w:rsidRPr="00BA336F">
        <w:t>propos</w:t>
      </w:r>
      <w:r>
        <w:t>al</w:t>
      </w:r>
      <w:r w:rsidRPr="00BA336F">
        <w:t xml:space="preserve"> to base our evaluation </w:t>
      </w:r>
      <w:r>
        <w:t xml:space="preserve">of applicant’s cost estimates </w:t>
      </w:r>
      <w:r w:rsidRPr="00BA336F">
        <w:t xml:space="preserve">on the average between the minimum and maximum </w:t>
      </w:r>
      <w:r>
        <w:t xml:space="preserve">range of estimated costs </w:t>
      </w:r>
      <w:r w:rsidRPr="00BA336F">
        <w:t>for a particu</w:t>
      </w:r>
      <w:r w:rsidRPr="00BA336F">
        <w:t xml:space="preserve">lar itemized expense listed in the Catalog, rather than allowing applicants to choose any amount within the </w:t>
      </w:r>
      <w:r>
        <w:t xml:space="preserve">cost estimate </w:t>
      </w:r>
      <w:r w:rsidRPr="00BA336F">
        <w:t>range.</w:t>
      </w:r>
      <w:r>
        <w:rPr>
          <w:rStyle w:val="FootnoteReference"/>
        </w:rPr>
        <w:footnoteReference w:id="96"/>
      </w:r>
      <w:r>
        <w:t xml:space="preserve">  The preliminary catalog included a low-end and high-end range of cost estimates for each particular itemized expense identif</w:t>
      </w:r>
      <w:r>
        <w:t xml:space="preserve">ied to help develop a record on reasonable expenses associated with the relevant expenses.  In addition to a range of cost estimates, the final Catalog now includes the </w:t>
      </w:r>
      <w:r>
        <w:t>average between the low-end and high-end range of cost estimates for each itemized expe</w:t>
      </w:r>
      <w:r>
        <w:t xml:space="preserve">nse identified.  Applicants relying on Catalog cost estimates for their applications will select the predetermined average cost estimate for a particular itemized expense identified in the Catalog as opposed to providing a cost estimate that is within the </w:t>
      </w:r>
      <w:r>
        <w:t>range of cost estimates.</w:t>
      </w:r>
      <w:r>
        <w:rPr>
          <w:rStyle w:val="FootnoteReference"/>
        </w:rPr>
        <w:footnoteReference w:id="97"/>
      </w:r>
      <w:r>
        <w:t xml:space="preserve">  This approach will reduce the likelihood of applicants overestimating costs, and will thus minimize overallocation of limited funding to the detriment of other Reimbursement Program participants.  Some commenters object to the u</w:t>
      </w:r>
      <w:r>
        <w:t>se of average cost estimates, arguing that equipment types within the ranges are too varied, and that applicants will regularly exceed the averages.</w:t>
      </w:r>
      <w:r>
        <w:rPr>
          <w:rStyle w:val="FootnoteReference"/>
        </w:rPr>
        <w:footnoteReference w:id="98"/>
      </w:r>
      <w:r>
        <w:t xml:space="preserve">  We reject this argument.  If an applicant finds that a Catalog cost estimate average does not fully acco</w:t>
      </w:r>
      <w:r>
        <w:t>unt for its costs, or if a cost category is not identified in the Catalog, applicants are permitted to provide individualized cost estimates based on supporting documentation (e.g., vendor quotes) and certify the cost estimate is made in good faith.</w:t>
      </w:r>
      <w:r>
        <w:rPr>
          <w:rStyle w:val="FootnoteReference"/>
        </w:rPr>
        <w:footnoteReference w:id="99"/>
      </w:r>
      <w:r>
        <w:t xml:space="preserve">  Thi</w:t>
      </w:r>
      <w:r>
        <w:t>s approach balances the Commission’s goals of protecting against waste, fraud, and abuse while facilitating the production of estimates of costs reasonably incurred by applicants.</w:t>
      </w:r>
    </w:p>
    <w:p w:rsidR="00C736CB" w:rsidP="00C736CB" w14:paraId="5C3B5FDE" w14:textId="77777777">
      <w:pPr>
        <w:pStyle w:val="ParaNum"/>
        <w:widowControl/>
      </w:pPr>
      <w:r>
        <w:t>As indicated above, we will also collect cost-estimate information on a site</w:t>
      </w:r>
      <w:r>
        <w:t xml:space="preserve">-specific basis because it enables the review of cost estimates for reasonableness and promotes clear identification and tracking to assist with the invoicing process, as well as protecting against waste fraud and abuse.  </w:t>
      </w:r>
      <w:r w:rsidRPr="77659CA4">
        <w:t>Applicants may, however, report in</w:t>
      </w:r>
      <w:r w:rsidRPr="77659CA4">
        <w:t xml:space="preserve"> their applications network-wide costs</w:t>
      </w:r>
      <w:r>
        <w:t>,</w:t>
      </w:r>
      <w:r>
        <w:rPr>
          <w:szCs w:val="22"/>
        </w:rPr>
        <w:t xml:space="preserve"> </w:t>
      </w:r>
      <w:r w:rsidRPr="77659CA4">
        <w:t>such as disposal costs or software upgrades</w:t>
      </w:r>
      <w:r>
        <w:t>, that apply to several site locations</w:t>
      </w:r>
      <w:r>
        <w:rPr>
          <w:szCs w:val="22"/>
        </w:rPr>
        <w:t>.</w:t>
      </w:r>
      <w:r>
        <w:rPr>
          <w:rStyle w:val="FootnoteReference"/>
        </w:rPr>
        <w:footnoteReference w:id="100"/>
      </w:r>
    </w:p>
    <w:p w:rsidR="00C736CB" w:rsidRPr="00D36180" w:rsidP="00C736CB" w14:paraId="6CD99F76" w14:textId="77777777">
      <w:pPr>
        <w:pStyle w:val="ParaNum"/>
        <w:widowControl/>
      </w:pPr>
      <w:r>
        <w:t>Nokia asks us to permit applicants to submit cost estimates that are based on reasonable costs incurred by the applicant over an 18</w:t>
      </w:r>
      <w:r>
        <w:t>-month project timeline.</w:t>
      </w:r>
      <w:r>
        <w:rPr>
          <w:rStyle w:val="FootnoteReference"/>
        </w:rPr>
        <w:footnoteReference w:id="101"/>
      </w:r>
      <w:r>
        <w:t xml:space="preserve">  We decline to accept a cost estimate covering such a lengthy period of time.  The removal, replacement, and disposal term provided for in the Secure Networks Act and the Commission’s rules ends one year after the participant rec</w:t>
      </w:r>
      <w:r>
        <w:t>eives its initial disbursement of support.</w:t>
      </w:r>
      <w:r>
        <w:rPr>
          <w:rStyle w:val="FootnoteReference"/>
        </w:rPr>
        <w:footnoteReference w:id="102"/>
      </w:r>
      <w:r>
        <w:t xml:space="preserve">  Accordingly, participants should submit cost estimates accounting for a one-year term as currently provided under the Commission’s rules that commences when the participant receives its initial draw down disbur</w:t>
      </w:r>
      <w:r>
        <w:t>sement.</w:t>
      </w:r>
    </w:p>
    <w:p w:rsidR="00C736CB" w:rsidP="00C736CB" w14:paraId="73C76D92" w14:textId="77777777">
      <w:pPr>
        <w:pStyle w:val="Heading3"/>
      </w:pPr>
      <w:bookmarkStart w:id="57" w:name="_Toc75940345"/>
      <w:bookmarkStart w:id="58" w:name="_Toc76912046"/>
      <w:bookmarkStart w:id="59" w:name="_Toc76912137"/>
      <w:bookmarkStart w:id="60" w:name="_Toc78364552"/>
      <w:bookmarkStart w:id="61" w:name="_Toc78815417"/>
      <w:bookmarkStart w:id="62" w:name="_Toc78815565"/>
      <w:r>
        <w:t>Reviewing Applications</w:t>
      </w:r>
      <w:bookmarkEnd w:id="57"/>
      <w:bookmarkEnd w:id="58"/>
      <w:bookmarkEnd w:id="59"/>
      <w:bookmarkEnd w:id="60"/>
      <w:bookmarkEnd w:id="61"/>
      <w:bookmarkEnd w:id="62"/>
    </w:p>
    <w:p w:rsidR="00C736CB" w:rsidP="00C736CB" w14:paraId="44C3760C" w14:textId="77777777">
      <w:pPr>
        <w:pStyle w:val="ParaNum"/>
        <w:tabs>
          <w:tab w:val="left" w:pos="1440"/>
        </w:tabs>
      </w:pPr>
      <w:r>
        <w:t>The Commission’s rules direct the Bureau to review applications to determine completeness, program eligibility, and the reasonableness of cost estimates.</w:t>
      </w:r>
      <w:r>
        <w:rPr>
          <w:rStyle w:val="FootnoteReference"/>
        </w:rPr>
        <w:footnoteReference w:id="103"/>
      </w:r>
      <w:r>
        <w:t xml:space="preserve">  The Bureau must “approve or deny” applications no later than 90 days after the close of the relevant filing window.</w:t>
      </w:r>
      <w:r>
        <w:rPr>
          <w:rStyle w:val="FootnoteReference"/>
        </w:rPr>
        <w:footnoteReference w:id="104"/>
      </w:r>
      <w:r>
        <w:t xml:space="preserve">  If additional time is needed to review the applications, the Bureau may extend the deadline up to an additional 45 </w:t>
      </w:r>
      <w:r>
        <w:t>days.</w:t>
      </w:r>
      <w:r>
        <w:rPr>
          <w:rStyle w:val="FootnoteReference"/>
        </w:rPr>
        <w:footnoteReference w:id="105"/>
      </w:r>
      <w:r>
        <w:t xml:space="preserve">  Consistent </w:t>
      </w:r>
      <w:r>
        <w:t>with the Secure Networks Act, the Commission’s rules state “[i]f the . . . Bureau determines that an application is materially deficient (including by lacking an adequate cost estimate or adequate supporting materials), the . . . Bureau shall provide the a</w:t>
      </w:r>
      <w:r>
        <w:t>pplicant a 15-day period to cure the defect before denying the application.”</w:t>
      </w:r>
      <w:r>
        <w:rPr>
          <w:rStyle w:val="FootnoteReference"/>
        </w:rPr>
        <w:footnoteReference w:id="106"/>
      </w:r>
      <w:r>
        <w:t xml:space="preserve">  We sought comment on additional facets of the review process and received limited comment on the opportunity to cure and the filing of amendments during the 90-day review perio</w:t>
      </w:r>
      <w:r>
        <w:t>d as discussed herein.</w:t>
      </w:r>
      <w:r>
        <w:rPr>
          <w:rStyle w:val="FootnoteReference"/>
        </w:rPr>
        <w:footnoteReference w:id="107"/>
      </w:r>
    </w:p>
    <w:p w:rsidR="00C736CB" w:rsidP="00C736CB" w14:paraId="19947584" w14:textId="77777777">
      <w:pPr>
        <w:pStyle w:val="ParaNum"/>
        <w:widowControl/>
        <w:tabs>
          <w:tab w:val="left" w:pos="1440"/>
        </w:tabs>
      </w:pPr>
      <w:r>
        <w:t>The 90-day review period will commence on the next business day following the close of the filing window, per the Commission’s rules.</w:t>
      </w:r>
      <w:r>
        <w:rPr>
          <w:rStyle w:val="FootnoteReference"/>
        </w:rPr>
        <w:footnoteReference w:id="108"/>
      </w:r>
      <w:r>
        <w:t xml:space="preserve">  As proposed, after the filing window closes and the 90-day review period commences, the Reimbu</w:t>
      </w:r>
      <w:r>
        <w:t>rsement Program Fund Administrator will conduct an initial review of the applications to help the Bureau determine whether the applications are initially considered eligible and acceptable for filing and to evaluate the gross estimate demand contained in t</w:t>
      </w:r>
      <w:r>
        <w:t>hose applications.</w:t>
      </w:r>
      <w:r>
        <w:rPr>
          <w:rStyle w:val="FootnoteReference"/>
        </w:rPr>
        <w:footnoteReference w:id="109"/>
      </w:r>
      <w:r>
        <w:t xml:space="preserve">  The Bureau will then issue a public notice “</w:t>
      </w:r>
      <w:r w:rsidRPr="00B46907">
        <w:t>announcing</w:t>
      </w:r>
      <w:r>
        <w:t xml:space="preserve"> </w:t>
      </w:r>
      <w:r w:rsidRPr="00B46907">
        <w:t>those applications initially found eligibl</w:t>
      </w:r>
      <w:r>
        <w:t>e” and acceptable for filing, and those applications considered materially deficient.</w:t>
      </w:r>
      <w:r>
        <w:rPr>
          <w:rStyle w:val="FootnoteReference"/>
        </w:rPr>
        <w:footnoteReference w:id="110"/>
      </w:r>
      <w:r>
        <w:t xml:space="preserve">  The Reimbursement Program Fund Administrator wil</w:t>
      </w:r>
      <w:r>
        <w:t xml:space="preserve">l proceed with processing those applications considered acceptable.  </w:t>
      </w:r>
      <w:r w:rsidRPr="00000348">
        <w:t xml:space="preserve"> </w:t>
      </w:r>
      <w:r>
        <w:t>Applicants filing applications found unacceptable for filing will need to amend and provide additional information demonstrating program eligibility before the Reimbursement Program Fund</w:t>
      </w:r>
      <w:r>
        <w:t xml:space="preserve"> Administrator can proceed with processing their applications as acceptable for filing.</w:t>
      </w:r>
    </w:p>
    <w:p w:rsidR="00C736CB" w:rsidP="00C736CB" w14:paraId="6F6D038B" w14:textId="77777777">
      <w:pPr>
        <w:pStyle w:val="ParaNum"/>
        <w:widowControl/>
        <w:tabs>
          <w:tab w:val="left" w:pos="1440"/>
        </w:tabs>
      </w:pPr>
      <w:r w:rsidRPr="00E754C1">
        <w:rPr>
          <w:i/>
          <w:iCs/>
        </w:rPr>
        <w:t>15-</w:t>
      </w:r>
      <w:r>
        <w:rPr>
          <w:i/>
          <w:iCs/>
        </w:rPr>
        <w:t>D</w:t>
      </w:r>
      <w:r w:rsidRPr="00E754C1">
        <w:rPr>
          <w:i/>
          <w:iCs/>
        </w:rPr>
        <w:t>ay Opportunity to Cure</w:t>
      </w:r>
      <w:r>
        <w:t>.  As required by the Secure Networks Act and the Commission’s rules, we will give applicants whose applications are found materially deficien</w:t>
      </w:r>
      <w:r>
        <w:t>t a 15-day opportunity to cure the deficiency before their application is denied.</w:t>
      </w:r>
      <w:r>
        <w:rPr>
          <w:rStyle w:val="FootnoteReference"/>
        </w:rPr>
        <w:footnoteReference w:id="111"/>
      </w:r>
      <w:r>
        <w:t xml:space="preserve">  As proposed, we will individually notify each applicant that its application is deficient and that it has 15 days to cure all of the identified deficiencies.</w:t>
      </w:r>
      <w:r>
        <w:rPr>
          <w:rStyle w:val="FootnoteReference"/>
        </w:rPr>
        <w:footnoteReference w:id="112"/>
      </w:r>
      <w:r>
        <w:t xml:space="preserve">  Such notic</w:t>
      </w:r>
      <w:r>
        <w:t>e will be distinct from the public notice announcing applications accepted for filing and applications with material defects.  RWA questions whether the 15-day cure period starts on the date of the public notice release or the individual notification date.</w:t>
      </w:r>
      <w:r>
        <w:rPr>
          <w:rStyle w:val="FootnoteReference"/>
        </w:rPr>
        <w:footnoteReference w:id="113"/>
      </w:r>
      <w:r>
        <w:t xml:space="preserve">  Accordingly, we clarify the 15-day cure period will commence on the date of the individual email notification is sent by the Commission and received by the applicant.</w:t>
      </w:r>
    </w:p>
    <w:p w:rsidR="00C736CB" w:rsidP="00C736CB" w14:paraId="442DED59" w14:textId="77777777">
      <w:pPr>
        <w:pStyle w:val="ParaNum"/>
        <w:widowControl/>
        <w:tabs>
          <w:tab w:val="left" w:pos="1440"/>
        </w:tabs>
      </w:pPr>
      <w:r>
        <w:t>We also broadly interpret the statutory 15-day opportunity to cure as providing all a</w:t>
      </w:r>
      <w:r>
        <w:t>pplicants an opportunity to cure material defects that would lead to the denial or partial denial of an Application Request for Funding Allocation, even filers of applications that were initially found acceptable.  In those instances, should the Bureau sub</w:t>
      </w:r>
      <w:r>
        <w:t xml:space="preserve">sequently find, after further review, that the application is materially deficient and subject to denial, the applicant will be afforded the 15-day cure period.  </w:t>
      </w:r>
    </w:p>
    <w:p w:rsidR="00C736CB" w:rsidP="00C736CB" w14:paraId="30F740EE" w14:textId="77777777">
      <w:pPr>
        <w:pStyle w:val="ParaNum"/>
        <w:widowControl/>
        <w:tabs>
          <w:tab w:val="left" w:pos="1440"/>
        </w:tabs>
      </w:pPr>
      <w:r w:rsidRPr="00E876C0">
        <w:rPr>
          <w:i/>
          <w:iCs/>
        </w:rPr>
        <w:t xml:space="preserve">Requests for Additional Information. </w:t>
      </w:r>
      <w:r>
        <w:t>During the application review process there may be multiple instances where the Reimbursement Program Fund Administrator seeks additional information from an applicant prior to an application being granted or denied.  These additional opportunities to amen</w:t>
      </w:r>
      <w:r>
        <w:t>d an application or provide supplemental information prior to any official decision will ensure that all applicants have sufficient opportunities to present the most complete application seeking reimbursement, and we clarify that these opportunities are se</w:t>
      </w:r>
      <w:r>
        <w:t>parate and distinct from, and do not count against, the formal 15-day opportunity to cure period.  We find this clarification of the process mitigates RWA’s concerns of having only a single 15-day cure period.</w:t>
      </w:r>
      <w:r>
        <w:rPr>
          <w:rStyle w:val="FootnoteReference"/>
        </w:rPr>
        <w:footnoteReference w:id="114"/>
      </w:r>
      <w:r>
        <w:t xml:space="preserve">  </w:t>
      </w:r>
    </w:p>
    <w:p w:rsidR="00C736CB" w:rsidRPr="005D2795" w:rsidP="00C736CB" w14:paraId="1882BCE3" w14:textId="77777777">
      <w:pPr>
        <w:pStyle w:val="ParaNum"/>
        <w:widowControl/>
        <w:tabs>
          <w:tab w:val="left" w:pos="1440"/>
        </w:tabs>
      </w:pPr>
      <w:r w:rsidRPr="009755AD">
        <w:rPr>
          <w:i/>
          <w:iCs/>
        </w:rPr>
        <w:t xml:space="preserve">Amendments during </w:t>
      </w:r>
      <w:r>
        <w:rPr>
          <w:i/>
          <w:iCs/>
        </w:rPr>
        <w:t xml:space="preserve">the Application </w:t>
      </w:r>
      <w:r w:rsidRPr="009755AD">
        <w:rPr>
          <w:i/>
          <w:iCs/>
        </w:rPr>
        <w:t>Review P</w:t>
      </w:r>
      <w:r w:rsidRPr="009755AD">
        <w:rPr>
          <w:i/>
          <w:iCs/>
        </w:rPr>
        <w:t>eriod</w:t>
      </w:r>
      <w:r>
        <w:t>.  As proposed, we will allow applicants to make amendments to the filings during the 90-day review period.</w:t>
      </w:r>
      <w:r>
        <w:rPr>
          <w:rStyle w:val="FootnoteReference"/>
        </w:rPr>
        <w:footnoteReference w:id="115"/>
      </w:r>
      <w:r>
        <w:t xml:space="preserve">  Additionally, we adopt our proposal to deny, as a general matter, amendment requests to an Application Request for Funding Allocation that w</w:t>
      </w:r>
      <w:r>
        <w:t>ould result in an increase to the total cost estimate.</w:t>
      </w:r>
      <w:r>
        <w:rPr>
          <w:rStyle w:val="FootnoteReference"/>
        </w:rPr>
        <w:footnoteReference w:id="116"/>
      </w:r>
      <w:r>
        <w:t xml:space="preserve">  We therefore deny RWA’s request to allow increases to applicant cost estimates.</w:t>
      </w:r>
      <w:r>
        <w:rPr>
          <w:rStyle w:val="FootnoteReference"/>
        </w:rPr>
        <w:footnoteReference w:id="117"/>
      </w:r>
      <w:r>
        <w:t xml:space="preserve">   Reimbursement Program support is limited and subject to prioritization requirements should demand exceed supply.  </w:t>
      </w:r>
      <w:r>
        <w:t>Allowing amendments to increase cost estimates would hinder the review of applications within the statutory 90-day review period, as the Reimbursement Program Fund Administrator would need to restart its cost estimate review for reasonableness with each am</w:t>
      </w:r>
      <w:r>
        <w:t>endment filed.  Moreover, amendments increasing total cost estimate demand could ultimately delay the issuance of allocations to all participants because the Bureau and Reimbursement Program Fund Administrator will not be able to determine if prioritizatio</w:t>
      </w:r>
      <w:r>
        <w:t xml:space="preserve">n is necessary until all applications are processed and the last application is granted.  </w:t>
      </w:r>
    </w:p>
    <w:p w:rsidR="00C736CB" w:rsidRPr="00BE5661" w:rsidP="00C736CB" w14:paraId="6A94FC72" w14:textId="77777777">
      <w:pPr>
        <w:pStyle w:val="ParaNum"/>
        <w:widowControl/>
        <w:tabs>
          <w:tab w:val="left" w:pos="1440"/>
        </w:tabs>
      </w:pPr>
      <w:r w:rsidRPr="005D2795">
        <w:t xml:space="preserve">We also reject </w:t>
      </w:r>
      <w:r>
        <w:t xml:space="preserve">Nokia’s request </w:t>
      </w:r>
      <w:r w:rsidRPr="005D2795">
        <w:t xml:space="preserve">to allow applicants to build in an </w:t>
      </w:r>
      <w:r>
        <w:t>overrun allowance of 10% to account for unexpected costs.  Nokia asks that applicants receive a fun</w:t>
      </w:r>
      <w:r>
        <w:t>ding allocation for 10% more than their reported cost estimates.</w:t>
      </w:r>
      <w:r>
        <w:rPr>
          <w:rStyle w:val="FootnoteReference"/>
        </w:rPr>
        <w:footnoteReference w:id="118"/>
      </w:r>
      <w:r>
        <w:t xml:space="preserve">  Applicants are required by the Commission’s rules to provide good-faith cost estimates for removal, replacement, and disposal.</w:t>
      </w:r>
      <w:r>
        <w:rPr>
          <w:rStyle w:val="FootnoteReference"/>
        </w:rPr>
        <w:footnoteReference w:id="119"/>
      </w:r>
      <w:r>
        <w:t xml:space="preserve">  Applicants are thus encouraged to provide cost estimates t</w:t>
      </w:r>
      <w:r>
        <w:t>hat are as accurate as possible based on all available information.  Allowing applicants to build in overrun allowances would undermine the goal of the Reimbursement Program of efficiently allocating funding support to help as many eligible providers as po</w:t>
      </w:r>
      <w:r>
        <w:t xml:space="preserve">ssible. </w:t>
      </w:r>
    </w:p>
    <w:p w:rsidR="00C736CB" w:rsidRPr="0083062F" w:rsidP="00C736CB" w14:paraId="70A59327" w14:textId="77777777">
      <w:pPr>
        <w:pStyle w:val="ParaNum"/>
        <w:widowControl/>
        <w:tabs>
          <w:tab w:val="left" w:pos="1440"/>
        </w:tabs>
      </w:pPr>
      <w:r w:rsidRPr="00EC3B54">
        <w:rPr>
          <w:i/>
          <w:iCs/>
        </w:rPr>
        <w:t>45-</w:t>
      </w:r>
      <w:r>
        <w:rPr>
          <w:i/>
          <w:iCs/>
        </w:rPr>
        <w:t>D</w:t>
      </w:r>
      <w:r w:rsidRPr="00EC3B54">
        <w:rPr>
          <w:i/>
          <w:iCs/>
        </w:rPr>
        <w:t>ay Extension Period</w:t>
      </w:r>
      <w:r>
        <w:t>.  As proposed, and consistent with the Secure Networks Act,</w:t>
      </w:r>
      <w:r>
        <w:rPr>
          <w:rStyle w:val="FootnoteReference"/>
        </w:rPr>
        <w:footnoteReference w:id="120"/>
      </w:r>
      <w:r>
        <w:t xml:space="preserve"> we direct the Reimbursement Program Fund Administrator to advise the Bureau, based on its initial review of the applications filed, whether to extend the 90-day </w:t>
      </w:r>
      <w:r>
        <w:t xml:space="preserve">deadline for granting or denying </w:t>
      </w:r>
      <w:r>
        <w:t>applications by up to an additional 45-day period.</w:t>
      </w:r>
      <w:r>
        <w:rPr>
          <w:rStyle w:val="FootnoteReference"/>
        </w:rPr>
        <w:footnoteReference w:id="121"/>
      </w:r>
      <w:r>
        <w:t xml:space="preserve">  The Reimbursement Program Fund Administrator shall indicate whether it needs additional time to review the applications based on the number and complexity of the applica</w:t>
      </w:r>
      <w:r>
        <w:t>tions received.  If the Bureau finds an extension justified, it will issue a public notice announcing the extension of the 90-day review period by a specified duration, not to exceed 45 days.</w:t>
      </w:r>
    </w:p>
    <w:p w:rsidR="00C736CB" w:rsidP="00C736CB" w14:paraId="1B0B3508" w14:textId="77777777">
      <w:pPr>
        <w:pStyle w:val="Heading3"/>
      </w:pPr>
      <w:bookmarkStart w:id="63" w:name="_Toc75940346"/>
      <w:bookmarkStart w:id="64" w:name="_Toc76912047"/>
      <w:bookmarkStart w:id="65" w:name="_Toc76912138"/>
      <w:bookmarkStart w:id="66" w:name="_Toc78364553"/>
      <w:bookmarkStart w:id="67" w:name="_Toc78815418"/>
      <w:bookmarkStart w:id="68" w:name="_Toc78815566"/>
      <w:r>
        <w:t>Funding Allocation</w:t>
      </w:r>
      <w:bookmarkEnd w:id="63"/>
      <w:bookmarkEnd w:id="64"/>
      <w:bookmarkEnd w:id="65"/>
      <w:bookmarkEnd w:id="66"/>
      <w:bookmarkEnd w:id="67"/>
      <w:bookmarkEnd w:id="68"/>
    </w:p>
    <w:p w:rsidR="00C736CB" w:rsidP="00C736CB" w14:paraId="17FE431C" w14:textId="77777777">
      <w:pPr>
        <w:pStyle w:val="ParaNum"/>
        <w:widowControl/>
      </w:pPr>
      <w:r>
        <w:rPr>
          <w:i/>
          <w:iCs/>
        </w:rPr>
        <w:t xml:space="preserve">Allocation.  </w:t>
      </w:r>
      <w:r>
        <w:t>Based on the cost estimates provided by applicants, the Reimbursement Program Fund Administrator will recommend for the Bureau’s consideration a funding allocation for each approved application.  The Bureau will review each recommendation and, following an</w:t>
      </w:r>
      <w:r>
        <w:t>y modifications to cure deficiencies following the 15 day cure period, will either grant or deny the application and proceed with issuing the allocation.  Should total allocation demand exceed the funding available, the Reimbursement Program Fund Administr</w:t>
      </w:r>
      <w:r>
        <w:t xml:space="preserve">ator’s allocation recommendations will be adjusted in accordance with the prioritization scheme required by the amended Secure Networks Act and adopted by the Commission in the </w:t>
      </w:r>
      <w:r w:rsidRPr="0083062F">
        <w:rPr>
          <w:i/>
          <w:iCs/>
        </w:rPr>
        <w:t>2021 Supply Chain Order</w:t>
      </w:r>
      <w:r>
        <w:t>.</w:t>
      </w:r>
      <w:r>
        <w:rPr>
          <w:rStyle w:val="FootnoteReference"/>
        </w:rPr>
        <w:footnoteReference w:id="122"/>
      </w:r>
      <w:r>
        <w:t xml:space="preserve">  </w:t>
      </w:r>
    </w:p>
    <w:p w:rsidR="00C736CB" w:rsidRPr="008A65D4" w:rsidP="00C736CB" w14:paraId="10613C6D" w14:textId="77777777">
      <w:pPr>
        <w:pStyle w:val="ParaNum"/>
      </w:pPr>
      <w:r w:rsidRPr="77659CA4">
        <w:rPr>
          <w:i/>
        </w:rPr>
        <w:t>No Allocation Adjustments</w:t>
      </w:r>
      <w:r>
        <w:rPr>
          <w:szCs w:val="22"/>
        </w:rPr>
        <w:t xml:space="preserve">.  </w:t>
      </w:r>
      <w:r w:rsidRPr="77659CA4">
        <w:t>As directed by the Com</w:t>
      </w:r>
      <w:r w:rsidRPr="77659CA4">
        <w:t xml:space="preserve">mission in the </w:t>
      </w:r>
      <w:r w:rsidRPr="77659CA4">
        <w:rPr>
          <w:i/>
        </w:rPr>
        <w:t>2020 Supply Chain Order</w:t>
      </w:r>
      <w:r w:rsidRPr="000A7303">
        <w:rPr>
          <w:szCs w:val="22"/>
        </w:rPr>
        <w:t xml:space="preserve">, </w:t>
      </w:r>
      <w:r w:rsidRPr="006421A5">
        <w:rPr>
          <w:szCs w:val="22"/>
        </w:rPr>
        <w:t>“</w:t>
      </w:r>
      <w:r w:rsidRPr="77659CA4">
        <w:t xml:space="preserve">the funding amount allocated represents the maximum amount eligible for draw down by an </w:t>
      </w:r>
      <w:r w:rsidRPr="77659CA4">
        <w:rPr>
          <w:snapToGrid/>
          <w:kern w:val="0"/>
        </w:rPr>
        <w:t>eligible provider unless a subsequent funding allocation is made</w:t>
      </w:r>
      <w:r w:rsidRPr="000A7303">
        <w:rPr>
          <w:szCs w:val="22"/>
        </w:rPr>
        <w:t>.”</w:t>
      </w:r>
      <w:r>
        <w:rPr>
          <w:rStyle w:val="FootnoteReference"/>
        </w:rPr>
        <w:footnoteReference w:id="123"/>
      </w:r>
      <w:r w:rsidRPr="77659CA4">
        <w:t xml:space="preserve">  Accordingly,</w:t>
      </w:r>
      <w:r>
        <w:t xml:space="preserve"> we emphasize that</w:t>
      </w:r>
      <w:r w:rsidRPr="77659CA4">
        <w:t xml:space="preserve"> once the Bureau makes a fu</w:t>
      </w:r>
      <w:r w:rsidRPr="77659CA4">
        <w:t>nding allocation determination, the Bureau will not adjust the funding allocation amount even if there is a change in the participant’s plans or if actual costs exceed estimated costs.  To the extent a participant requires funding in excess of its allocate</w:t>
      </w:r>
      <w:r w:rsidRPr="77659CA4">
        <w:t xml:space="preserve">d amount, the participant </w:t>
      </w:r>
      <w:r>
        <w:t>will be required</w:t>
      </w:r>
      <w:r w:rsidRPr="77659CA4">
        <w:t xml:space="preserve"> to file a new application</w:t>
      </w:r>
      <w:r>
        <w:rPr>
          <w:szCs w:val="22"/>
        </w:rPr>
        <w:t xml:space="preserve"> </w:t>
      </w:r>
      <w:r w:rsidRPr="77659CA4">
        <w:t>in a subsequent filing window, if</w:t>
      </w:r>
      <w:r>
        <w:rPr>
          <w:szCs w:val="22"/>
        </w:rPr>
        <w:t xml:space="preserve"> </w:t>
      </w:r>
      <w:r>
        <w:t xml:space="preserve">and </w:t>
      </w:r>
      <w:r w:rsidRPr="77659CA4">
        <w:t>when</w:t>
      </w:r>
      <w:r>
        <w:rPr>
          <w:szCs w:val="22"/>
        </w:rPr>
        <w:t xml:space="preserve"> </w:t>
      </w:r>
      <w:r>
        <w:t>such a</w:t>
      </w:r>
      <w:r w:rsidRPr="77659CA4">
        <w:t xml:space="preserve"> filing window is announced.  </w:t>
      </w:r>
      <w:r>
        <w:t>The Bureau will only issue funding disbursements for reasonable expenses actually incurred.</w:t>
      </w:r>
      <w:r>
        <w:rPr>
          <w:rStyle w:val="FootnoteReference"/>
          <w:szCs w:val="22"/>
        </w:rPr>
        <w:footnoteReference w:id="124"/>
      </w:r>
    </w:p>
    <w:p w:rsidR="00C736CB" w:rsidRPr="007B43EE" w:rsidP="00C736CB" w14:paraId="7D57DE5C" w14:textId="77777777">
      <w:pPr>
        <w:pStyle w:val="ParaNum"/>
      </w:pPr>
      <w:r>
        <w:rPr>
          <w:i/>
          <w:iCs/>
        </w:rPr>
        <w:t xml:space="preserve">Allocation Announcement Schedule.  </w:t>
      </w:r>
      <w:r>
        <w:t>We adopt our proposal to periodically release public notices announcing funding recipients and the amount of their funding allocations as well as to notify recipients directly by email.</w:t>
      </w:r>
      <w:r>
        <w:rPr>
          <w:rStyle w:val="FootnoteReference"/>
        </w:rPr>
        <w:footnoteReference w:id="125"/>
      </w:r>
      <w:r>
        <w:t xml:space="preserve">  No commenter filed comments on t</w:t>
      </w:r>
      <w:r>
        <w:t>his proposal.  This approach ensures administrative efficiency while also providing transparency to Reimbursement Program applicants and recipients, as well as the public.</w:t>
      </w:r>
    </w:p>
    <w:p w:rsidR="00C736CB" w:rsidP="00C736CB" w14:paraId="2EFA7B8A" w14:textId="77777777">
      <w:pPr>
        <w:pStyle w:val="Heading3"/>
      </w:pPr>
      <w:bookmarkStart w:id="69" w:name="_Toc75940347"/>
      <w:bookmarkStart w:id="70" w:name="_Toc76912048"/>
      <w:bookmarkStart w:id="71" w:name="_Toc76912139"/>
      <w:bookmarkStart w:id="72" w:name="_Toc78364554"/>
      <w:bookmarkStart w:id="73" w:name="_Toc78815419"/>
      <w:bookmarkStart w:id="74" w:name="_Toc78815567"/>
      <w:r>
        <w:t>Reimbursement Claim Requests</w:t>
      </w:r>
      <w:bookmarkEnd w:id="69"/>
      <w:bookmarkEnd w:id="70"/>
      <w:bookmarkEnd w:id="71"/>
      <w:bookmarkEnd w:id="72"/>
      <w:bookmarkEnd w:id="73"/>
      <w:bookmarkEnd w:id="74"/>
    </w:p>
    <w:p w:rsidR="00C736CB" w:rsidP="00C736CB" w14:paraId="5A622A62" w14:textId="77777777">
      <w:pPr>
        <w:pStyle w:val="ParaNum"/>
      </w:pPr>
      <w:r>
        <w:t>Pursuant to the Commission’s rules, after eligible prov</w:t>
      </w:r>
      <w:r>
        <w:t>iders receive funding allocations and incur actual costs, they must file reimbursement claims along with supporting invoices and other cost documentation to draw from their allocation.</w:t>
      </w:r>
      <w:r>
        <w:rPr>
          <w:rStyle w:val="FootnoteReference"/>
        </w:rPr>
        <w:footnoteReference w:id="126"/>
      </w:r>
      <w:r>
        <w:t xml:space="preserve">  Each Reimbursement Program recipient must file at least one reimburs</w:t>
      </w:r>
      <w:r>
        <w:t>ement claim within one year of the approval of its Application Request for Funding Allocation.</w:t>
      </w:r>
      <w:r>
        <w:rPr>
          <w:rStyle w:val="FootnoteReference"/>
        </w:rPr>
        <w:footnoteReference w:id="127"/>
      </w:r>
      <w:r>
        <w:t xml:space="preserve">  Failure to file within the year will result in the expiration of the funding allocation and the provider will be unable to receive any reimbursement funds fro</w:t>
      </w:r>
      <w:r>
        <w:t>m the allocation as the unused funds would revert back to the Reimbursement Program.</w:t>
      </w:r>
      <w:r>
        <w:rPr>
          <w:rStyle w:val="FootnoteReference"/>
        </w:rPr>
        <w:footnoteReference w:id="128"/>
      </w:r>
      <w:r>
        <w:t xml:space="preserve">  The Commission would be able to then reallocate </w:t>
      </w:r>
      <w:r>
        <w:t>to other applications in a future filing window any funds from the expired allocation.</w:t>
      </w:r>
      <w:r>
        <w:rPr>
          <w:rStyle w:val="FootnoteReference"/>
        </w:rPr>
        <w:footnoteReference w:id="129"/>
      </w:r>
      <w:r>
        <w:t xml:space="preserve">  In this section, we adopt prop</w:t>
      </w:r>
      <w:r>
        <w:t>osals related to the filing of reimbursement claims and extensions of the reimbursement claim deadline permitted under the Commission’s rules.</w:t>
      </w:r>
    </w:p>
    <w:p w:rsidR="00C736CB" w:rsidP="00C736CB" w14:paraId="0300D5DC" w14:textId="77777777">
      <w:pPr>
        <w:pStyle w:val="ParaNum"/>
      </w:pPr>
      <w:r>
        <w:rPr>
          <w:i/>
          <w:iCs/>
        </w:rPr>
        <w:t>Filing Reimbursement Claim Requests</w:t>
      </w:r>
      <w:r>
        <w:t>.  We adopt several of our proposals related to processing recipients’ request</w:t>
      </w:r>
      <w:r>
        <w:t xml:space="preserve">s for reimbursement and will finalize the FCC Form 5640 </w:t>
      </w:r>
      <w:r w:rsidRPr="00E02261">
        <w:t>Reimbursement Claim Request</w:t>
      </w:r>
      <w:r>
        <w:t xml:space="preserve"> as proposed.</w:t>
      </w:r>
      <w:r>
        <w:rPr>
          <w:rStyle w:val="FootnoteReference"/>
        </w:rPr>
        <w:footnoteReference w:id="130"/>
      </w:r>
      <w:r>
        <w:t xml:space="preserve">  Additionally, we adopt our proposal to allow recipients to submit multiple Reimbursement Claim Requests as they incur expenses throughout the reimbursement </w:t>
      </w:r>
      <w:r>
        <w:t>period.</w:t>
      </w:r>
      <w:r>
        <w:rPr>
          <w:rStyle w:val="FootnoteReference"/>
        </w:rPr>
        <w:footnoteReference w:id="131"/>
      </w:r>
      <w:r>
        <w:t xml:space="preserve">  The Bureau, with the assistance of the Reimbursement Program Fund Administrator, will review and grant or deny Reimbursement Claim Requests for actual costs reasonably incurred.</w:t>
      </w:r>
      <w:r>
        <w:rPr>
          <w:rStyle w:val="FootnoteReference"/>
        </w:rPr>
        <w:footnoteReference w:id="132"/>
      </w:r>
      <w:r>
        <w:t xml:space="preserve">  </w:t>
      </w:r>
    </w:p>
    <w:p w:rsidR="00C736CB" w:rsidP="00C736CB" w14:paraId="52190DBF" w14:textId="77777777">
      <w:pPr>
        <w:pStyle w:val="ParaNum"/>
      </w:pPr>
      <w:r>
        <w:t>We adopt the approach for processing Reimbursement Claim Reques</w:t>
      </w:r>
      <w:r>
        <w:t xml:space="preserve">ts proposed in the </w:t>
      </w:r>
      <w:r w:rsidRPr="00BF67FE">
        <w:rPr>
          <w:i/>
        </w:rPr>
        <w:t>Reimbursement Process Public Notice</w:t>
      </w:r>
      <w:r>
        <w:t>.</w:t>
      </w:r>
      <w:r>
        <w:rPr>
          <w:rStyle w:val="FootnoteReference"/>
        </w:rPr>
        <w:footnoteReference w:id="133"/>
      </w:r>
      <w:r>
        <w:t xml:space="preserve">  Accordingly, using the features available in the online filing portal, recipients will be required to link actual costs incurred and the supporting invoice documentation to their itemized cost esti</w:t>
      </w:r>
      <w:r>
        <w:t>mates previously filed with the Bureau to complete the claim.</w:t>
      </w:r>
      <w:r>
        <w:rPr>
          <w:rStyle w:val="FootnoteReference"/>
        </w:rPr>
        <w:footnoteReference w:id="134"/>
      </w:r>
      <w:r>
        <w:t xml:space="preserve">  Recipients must submit invoices through the online portal as attachments to their Reimbursement Claim Requests.</w:t>
      </w:r>
      <w:r>
        <w:rPr>
          <w:rStyle w:val="FootnoteReference"/>
        </w:rPr>
        <w:footnoteReference w:id="135"/>
      </w:r>
      <w:r>
        <w:t xml:space="preserve">  With each </w:t>
      </w:r>
      <w:r w:rsidRPr="001448F0">
        <w:t>invoice submitted, recipients must provide specific details relate</w:t>
      </w:r>
      <w:r w:rsidRPr="001448F0">
        <w:t xml:space="preserve">d to the invoice (vendor name, date issued, description of contents, etc.) to assist reviewers in linking invoices to specific itemized cost estimates.  Further, recipients seeking disbursements must </w:t>
      </w:r>
      <w:r>
        <w:t xml:space="preserve">have previously provided a </w:t>
      </w:r>
      <w:r w:rsidRPr="001448F0">
        <w:t>vendor and supplier quote</w:t>
      </w:r>
      <w:r>
        <w:t xml:space="preserve"> ass</w:t>
      </w:r>
      <w:r>
        <w:t xml:space="preserve">ociated with the invoice included </w:t>
      </w:r>
      <w:r w:rsidRPr="001448F0">
        <w:t xml:space="preserve">with the </w:t>
      </w:r>
      <w:r>
        <w:t>Application Request for Funding Allocation before submitting the Reimbursement Claim Request</w:t>
      </w:r>
      <w:r w:rsidRPr="001448F0">
        <w:t>.</w:t>
      </w:r>
      <w:r>
        <w:rPr>
          <w:rStyle w:val="FootnoteReference"/>
        </w:rPr>
        <w:footnoteReference w:id="136"/>
      </w:r>
      <w:r>
        <w:t xml:space="preserve">  Recipients who have not yet provided a vendor and supplier quote associated with the invoice because they relied on </w:t>
      </w:r>
      <w:r>
        <w:t>the Catalog cost estimates when completing their Application Request for Funding Allocation will need to file a modification before submitting the Reimbursement Claim Request.  The Reimbursement Program Fund Administrator will not review Reimbursement Clai</w:t>
      </w:r>
      <w:r>
        <w:t>m Requests that rely on invoices not substantiated by a corresponding quote previously filed.</w:t>
      </w:r>
      <w:r>
        <w:rPr>
          <w:rStyle w:val="FootnoteReference"/>
        </w:rPr>
        <w:footnoteReference w:id="137"/>
      </w:r>
      <w:r>
        <w:t xml:space="preserve"> </w:t>
      </w:r>
    </w:p>
    <w:p w:rsidR="00C736CB" w:rsidP="00C736CB" w14:paraId="26313467" w14:textId="77777777">
      <w:pPr>
        <w:pStyle w:val="ParaNum"/>
      </w:pPr>
      <w:r>
        <w:t xml:space="preserve">Pursuant </w:t>
      </w:r>
      <w:r w:rsidRPr="001448F0">
        <w:t>to the Commission’s rules</w:t>
      </w:r>
      <w:r>
        <w:t xml:space="preserve"> and the </w:t>
      </w:r>
      <w:r w:rsidRPr="00EE447B">
        <w:rPr>
          <w:i/>
          <w:iCs/>
        </w:rPr>
        <w:t>2020 Supply Chain Order</w:t>
      </w:r>
      <w:r w:rsidRPr="001448F0">
        <w:t xml:space="preserve">, recipients may </w:t>
      </w:r>
      <w:r>
        <w:t>seek</w:t>
      </w:r>
      <w:r w:rsidRPr="001448F0">
        <w:t xml:space="preserve"> reimbursement only </w:t>
      </w:r>
      <w:r>
        <w:t>for actual expenses incurred during the period begin</w:t>
      </w:r>
      <w:r>
        <w:t>ning on April 17, 2018 and ending at the expiration</w:t>
      </w:r>
      <w:r w:rsidRPr="001448F0">
        <w:t xml:space="preserve"> </w:t>
      </w:r>
      <w:r>
        <w:t xml:space="preserve">of the </w:t>
      </w:r>
      <w:r w:rsidRPr="001448F0">
        <w:t>one</w:t>
      </w:r>
      <w:r>
        <w:t>-</w:t>
      </w:r>
      <w:r w:rsidRPr="001448F0">
        <w:t xml:space="preserve">year </w:t>
      </w:r>
      <w:r>
        <w:t>removal, replacement, and disposal term.</w:t>
      </w:r>
      <w:r>
        <w:rPr>
          <w:rStyle w:val="FootnoteReference"/>
        </w:rPr>
        <w:footnoteReference w:id="138"/>
      </w:r>
      <w:r w:rsidRPr="001448F0">
        <w:t xml:space="preserve"> </w:t>
      </w:r>
      <w:r>
        <w:t xml:space="preserve"> Consistent with the </w:t>
      </w:r>
      <w:r w:rsidRPr="00C654BC">
        <w:rPr>
          <w:i/>
          <w:iCs/>
        </w:rPr>
        <w:t>2020 Supply Chain Orde</w:t>
      </w:r>
      <w:r w:rsidRPr="00C654BC">
        <w:rPr>
          <w:i/>
        </w:rPr>
        <w:t>r</w:t>
      </w:r>
      <w:r>
        <w:t xml:space="preserve">, we will allow providers to obtain reimbursement for costs reasonably incurred </w:t>
      </w:r>
      <w:r>
        <w:t>prior to the creation and funding of the Reimbursement Program, but on or after April 17, 2018, for the removal, replacement, and disposal of covered equipment and services.</w:t>
      </w:r>
      <w:r>
        <w:rPr>
          <w:rStyle w:val="FootnoteReference"/>
        </w:rPr>
        <w:footnoteReference w:id="139"/>
      </w:r>
      <w:r>
        <w:t xml:space="preserve"> </w:t>
      </w:r>
      <w:r>
        <w:t xml:space="preserve"> The Bureau must authorize the payments from the Reimbursement Program fund in the United States Treasury to providers that have submitted valid claims for reimbursement.</w:t>
      </w:r>
    </w:p>
    <w:p w:rsidR="00C736CB" w:rsidP="00C736CB" w14:paraId="48B41FFF" w14:textId="77777777">
      <w:pPr>
        <w:pStyle w:val="ParaNum"/>
        <w:widowControl/>
      </w:pPr>
      <w:r>
        <w:t>RWA</w:t>
      </w:r>
      <w:r>
        <w:t xml:space="preserve"> requests the Bureau allow the filing of requests “beyond the allocated funds so that the [Reimbursement Program] Fund Administrator can approve costs even though there may not yet be funding to pay such invoices.”</w:t>
      </w:r>
      <w:r>
        <w:rPr>
          <w:rStyle w:val="FootnoteReference"/>
          <w:szCs w:val="22"/>
        </w:rPr>
        <w:footnoteReference w:id="140"/>
      </w:r>
      <w:r>
        <w:t xml:space="preserve">  We agree, and the filing portal system</w:t>
      </w:r>
      <w:r>
        <w:t xml:space="preserve"> will allow recipients to file Reimbursement Claim Requests, even when the amount requested exceeds the amount allocated to the recipient, up until the deadline for filing Reimbursement Claim Requests has expired.  These requests will, however, remain in p</w:t>
      </w:r>
      <w:r>
        <w:t>ending status if there is insufficient funding to grant the requests in full.</w:t>
      </w:r>
      <w:r>
        <w:rPr>
          <w:rStyle w:val="FootnoteReference"/>
          <w:szCs w:val="22"/>
        </w:rPr>
        <w:footnoteReference w:id="141"/>
      </w:r>
      <w:r>
        <w:t xml:space="preserve"> </w:t>
      </w:r>
    </w:p>
    <w:p w:rsidR="00C736CB" w:rsidP="00C736CB" w14:paraId="413C458A" w14:textId="77777777">
      <w:pPr>
        <w:pStyle w:val="ParaNum"/>
      </w:pPr>
      <w:r>
        <w:t>Nokia requests that the Commission expedite disbursements to contractors involved in creating cost estimates for Application Requests for Funding Allocation that are initially</w:t>
      </w:r>
      <w:r>
        <w:t xml:space="preserve"> accepted for filing prior to allocating the funds to all applicants.</w:t>
      </w:r>
      <w:r>
        <w:rPr>
          <w:rStyle w:val="FootnoteReference"/>
          <w:szCs w:val="22"/>
        </w:rPr>
        <w:footnoteReference w:id="142"/>
      </w:r>
      <w:r>
        <w:t xml:space="preserve">  Specifically, it argues that expedited disbursements for costs associated with application preparation “will relieve financial stresses on the industry and encourage more complete and</w:t>
      </w:r>
      <w:r>
        <w:t xml:space="preserve"> accurate applications.”</w:t>
      </w:r>
      <w:r>
        <w:rPr>
          <w:rStyle w:val="FootnoteReference"/>
          <w:szCs w:val="22"/>
        </w:rPr>
        <w:footnoteReference w:id="143"/>
      </w:r>
      <w:r>
        <w:t xml:space="preserve">  The Commission’s rules, however, do not allow for disbursements prior to a funding allocation.</w:t>
      </w:r>
      <w:r>
        <w:rPr>
          <w:rStyle w:val="FootnoteReference"/>
          <w:szCs w:val="22"/>
        </w:rPr>
        <w:footnoteReference w:id="144"/>
      </w:r>
      <w:r>
        <w:t xml:space="preserve">  Further, the Commission did not establish a separate disbursement process to reimburse for expenses incurred for applications init</w:t>
      </w:r>
      <w:r>
        <w:t>ially found acceptable for filing.  Providing a disbursement at this early stage would also trigger the recipient’s obligation to complete the removal, replacement, and disposal process within one year and many applicants would be unable to meet that deadl</w:t>
      </w:r>
      <w:r>
        <w:t xml:space="preserve">ine.  That said, costs associated with preparing applications are potentially eligible for reimbursement and applicants may file reimbursement claims for such costs once an allocation is issued. </w:t>
      </w:r>
    </w:p>
    <w:p w:rsidR="00C736CB" w:rsidP="00C736CB" w14:paraId="4044990C" w14:textId="77777777">
      <w:pPr>
        <w:pStyle w:val="ParaNum"/>
      </w:pPr>
      <w:r>
        <w:rPr>
          <w:i/>
          <w:iCs/>
        </w:rPr>
        <w:t>Reimbursement Claim Request Deadline</w:t>
      </w:r>
      <w:r w:rsidRPr="00BF67FE">
        <w:t>.</w:t>
      </w:r>
      <w:r>
        <w:t xml:space="preserve"> </w:t>
      </w:r>
      <w:r>
        <w:rPr>
          <w:i/>
          <w:iCs/>
        </w:rPr>
        <w:t xml:space="preserve"> </w:t>
      </w:r>
      <w:r>
        <w:t>A</w:t>
      </w:r>
      <w:r w:rsidRPr="001448F0">
        <w:t>ll Reimbursement Cla</w:t>
      </w:r>
      <w:r w:rsidRPr="001448F0">
        <w:t>im Requests must be filed no later than</w:t>
      </w:r>
      <w:r>
        <w:t xml:space="preserve"> 120 days following the expiration of the removal, replacement, and disposal term.</w:t>
      </w:r>
      <w:r>
        <w:rPr>
          <w:rStyle w:val="FootnoteReference"/>
        </w:rPr>
        <w:footnoteReference w:id="145"/>
      </w:r>
      <w:r>
        <w:t xml:space="preserve">  Prior to the expiration of the claim request deadline, recipients under the Commission’s rules are permitted to request and, if tim</w:t>
      </w:r>
      <w:r>
        <w:t>ely requested, will automatically receive a 120-day extension.</w:t>
      </w:r>
      <w:r>
        <w:rPr>
          <w:rStyle w:val="FootnoteReference"/>
        </w:rPr>
        <w:footnoteReference w:id="146"/>
      </w:r>
      <w:r>
        <w:t xml:space="preserve">  RWA notes that the one-year removal, replacement, and disposal term can be extended and argues that the corresponding 120-day reimbursement claim deadline should also be extended if the unde</w:t>
      </w:r>
      <w:r>
        <w:t>rlying one-year term is extended.</w:t>
      </w:r>
      <w:r>
        <w:rPr>
          <w:rStyle w:val="FootnoteReference"/>
        </w:rPr>
        <w:footnoteReference w:id="147"/>
      </w:r>
      <w:r>
        <w:t xml:space="preserve">  We agree and confirm that if the Commission or the Bureau extends the one-year removal, replacement, and disposal term, the corresponding 120-day reimbursement claim deadline will also be extended and start from the new</w:t>
      </w:r>
      <w:r>
        <w:t xml:space="preserve"> extended term date expiration.  </w:t>
      </w:r>
    </w:p>
    <w:p w:rsidR="00C736CB" w:rsidP="002C5409" w14:paraId="22B03A00" w14:textId="77777777">
      <w:pPr>
        <w:pStyle w:val="ParaNum"/>
        <w:widowControl/>
      </w:pPr>
      <w:r>
        <w:t>Finally, as required by the Commission’s rules, after the Reimbursement Claim Request filing deadline, the remaining unclaimed amounts in the allocation will expire.  The remaining funds in the expired allocation will be a</w:t>
      </w:r>
      <w:r>
        <w:t>vailable for Commission reallocation in a future filing window.</w:t>
      </w:r>
      <w:r>
        <w:rPr>
          <w:rStyle w:val="FootnoteReference"/>
        </w:rPr>
        <w:footnoteReference w:id="148"/>
      </w:r>
      <w:r w:rsidRPr="002441B5">
        <w:t xml:space="preserve"> </w:t>
      </w:r>
      <w:r>
        <w:t xml:space="preserve"> However, as proposed in the </w:t>
      </w:r>
      <w:r w:rsidRPr="004B24F4">
        <w:rPr>
          <w:i/>
          <w:iCs/>
        </w:rPr>
        <w:t>Reimbursement Process P</w:t>
      </w:r>
      <w:r>
        <w:rPr>
          <w:i/>
          <w:iCs/>
        </w:rPr>
        <w:t xml:space="preserve">ublic </w:t>
      </w:r>
      <w:r w:rsidRPr="004B24F4">
        <w:rPr>
          <w:i/>
          <w:iCs/>
        </w:rPr>
        <w:t>N</w:t>
      </w:r>
      <w:r>
        <w:rPr>
          <w:i/>
          <w:iCs/>
        </w:rPr>
        <w:t>otice</w:t>
      </w:r>
      <w:r>
        <w:t xml:space="preserve">, a timely submitted extension request, while pending, will toll the expiration of the funding allocation. </w:t>
      </w:r>
    </w:p>
    <w:p w:rsidR="00C736CB" w:rsidP="00C736CB" w14:paraId="5DADE744" w14:textId="77777777">
      <w:pPr>
        <w:pStyle w:val="Heading3"/>
        <w:widowControl/>
      </w:pPr>
      <w:bookmarkStart w:id="75" w:name="_Toc75940348"/>
      <w:bookmarkStart w:id="76" w:name="_Toc76912049"/>
      <w:bookmarkStart w:id="77" w:name="_Toc76912140"/>
      <w:bookmarkStart w:id="78" w:name="_Toc78364555"/>
      <w:bookmarkStart w:id="79" w:name="_Toc78815420"/>
      <w:bookmarkStart w:id="80" w:name="_Toc78815568"/>
      <w:r>
        <w:t>Amendments, Modifi</w:t>
      </w:r>
      <w:r>
        <w:t>cations, Administrative Updates, and Notification of Ownership Changes</w:t>
      </w:r>
      <w:bookmarkEnd w:id="75"/>
      <w:bookmarkEnd w:id="76"/>
      <w:bookmarkEnd w:id="77"/>
      <w:bookmarkEnd w:id="78"/>
      <w:bookmarkEnd w:id="79"/>
      <w:bookmarkEnd w:id="80"/>
    </w:p>
    <w:p w:rsidR="00C736CB" w:rsidP="00C736CB" w14:paraId="738E10AA" w14:textId="77777777">
      <w:pPr>
        <w:pStyle w:val="ParaNum"/>
        <w:widowControl/>
      </w:pPr>
      <w:r w:rsidRPr="00FA0527">
        <w:rPr>
          <w:i/>
          <w:iCs/>
        </w:rPr>
        <w:t xml:space="preserve">Amendments, Modifications, and Administrative Updates. </w:t>
      </w:r>
      <w:r>
        <w:t xml:space="preserve"> In the </w:t>
      </w:r>
      <w:r w:rsidRPr="007F5496">
        <w:rPr>
          <w:i/>
        </w:rPr>
        <w:t>Reimbursement Program Process P</w:t>
      </w:r>
      <w:r>
        <w:rPr>
          <w:i/>
        </w:rPr>
        <w:t xml:space="preserve">ublic </w:t>
      </w:r>
      <w:r w:rsidRPr="00135F5F">
        <w:rPr>
          <w:i/>
        </w:rPr>
        <w:t>N</w:t>
      </w:r>
      <w:r>
        <w:rPr>
          <w:i/>
        </w:rPr>
        <w:t>otice</w:t>
      </w:r>
      <w:r>
        <w:t>, we sought comment on proposals to allow program participants to update inform</w:t>
      </w:r>
      <w:r>
        <w:t>ation on file with the Commission through the filing of amendments, modifications, and/or administrative updates.  We did not receive comments regarding modifications or administrative updates.  We did, however, receive comments objecting to the general de</w:t>
      </w:r>
      <w:r>
        <w:t>nial of amendments to the Application Request for Funding Allocation that would increase cost estimate submissions, as discussed elsewhere herein.</w:t>
      </w:r>
      <w:r>
        <w:rPr>
          <w:rStyle w:val="FootnoteReference"/>
        </w:rPr>
        <w:footnoteReference w:id="149"/>
      </w:r>
      <w:r>
        <w:t xml:space="preserve">  Accordingly, we will allow participants to amend, modify, and file administrative updates using the online</w:t>
      </w:r>
      <w:r>
        <w:t xml:space="preserve"> filing portal.</w:t>
      </w:r>
    </w:p>
    <w:p w:rsidR="00C736CB" w:rsidP="00C736CB" w14:paraId="2C22385A" w14:textId="77777777">
      <w:pPr>
        <w:pStyle w:val="ParaNum"/>
      </w:pPr>
      <w:r>
        <w:t>To file an amendment the participant must notify the Reimbursement Program Fund Administrator of its intent to amend its application through the Reimbursement Program Fund Administrator Help Desk.</w:t>
      </w:r>
      <w:r>
        <w:rPr>
          <w:rStyle w:val="FootnoteReference"/>
        </w:rPr>
        <w:footnoteReference w:id="150"/>
      </w:r>
      <w:r>
        <w:t xml:space="preserve">  Notification of an intent to amend throu</w:t>
      </w:r>
      <w:r>
        <w:t>gh the Reimbursement Program Fund Administrator Help Desk is necessary to unlock the underlying application in the online filing portal to allow for the filing of an amendment.  This notice of intent to amend alerts the Reimbursement Program Fund Administr</w:t>
      </w:r>
      <w:r>
        <w:t xml:space="preserve">ator to pause application processing pending the filing of additional changes that may impact the review process.  Amendment filings are only permitted for underlying filings that are in a pending status. </w:t>
      </w:r>
    </w:p>
    <w:p w:rsidR="00C736CB" w:rsidP="00C736CB" w14:paraId="37D8B26E" w14:textId="77777777">
      <w:pPr>
        <w:pStyle w:val="ParaNum"/>
      </w:pPr>
      <w:r>
        <w:t>We also will allow modification filings after an a</w:t>
      </w:r>
      <w:r>
        <w:t>pplication is granted.  For a granted Application Request for Funding Allocation, we will allow recipients to submit modification filings to change itemized expenses and locations identified on their filings and to provide vendor and supplier quotes for re</w:t>
      </w:r>
      <w:r>
        <w:t>view by the Reimbursement Program Fund Administrator.</w:t>
      </w:r>
      <w:r>
        <w:rPr>
          <w:rStyle w:val="FootnoteReference"/>
        </w:rPr>
        <w:footnoteReference w:id="151"/>
      </w:r>
      <w:r>
        <w:t xml:space="preserve">  We reiterate that if the modification filing would change the cost of the project, we will not alter the funding allocation issued.</w:t>
      </w:r>
      <w:r>
        <w:rPr>
          <w:rStyle w:val="FootnoteReference"/>
        </w:rPr>
        <w:footnoteReference w:id="152"/>
      </w:r>
      <w:r>
        <w:t xml:space="preserve">  Additionally, participants are allowed to file administrative up</w:t>
      </w:r>
      <w:r>
        <w:t>dates for routine, non-material changes to filings such as changes to the applicant’s contact information (e.g., address, phone number, and contact name).</w:t>
      </w:r>
      <w:r>
        <w:rPr>
          <w:rStyle w:val="FootnoteReference"/>
        </w:rPr>
        <w:footnoteReference w:id="153"/>
      </w:r>
      <w:r>
        <w:t xml:space="preserve">  The online filing portal will accept and automatically process administrative updates once filed.</w:t>
      </w:r>
      <w:r>
        <w:rPr>
          <w:rStyle w:val="FootnoteReference"/>
        </w:rPr>
        <w:footnoteReference w:id="154"/>
      </w:r>
      <w:r>
        <w:t xml:space="preserve"> </w:t>
      </w:r>
    </w:p>
    <w:p w:rsidR="00C736CB" w:rsidP="002C5409" w14:paraId="0F4208B8" w14:textId="77777777">
      <w:pPr>
        <w:pStyle w:val="ParaNum"/>
        <w:widowControl/>
      </w:pPr>
      <w:r w:rsidRPr="00865C1B">
        <w:rPr>
          <w:i/>
          <w:iCs/>
        </w:rPr>
        <w:t>Notifications of Changes in Ownership.</w:t>
      </w:r>
      <w:r>
        <w:t xml:space="preserve">  Recognizing that the Reimbursement Program will be administered over multiple years and changes in ownership may occur, we adopt our proposal to </w:t>
      </w:r>
      <w:r>
        <w:t xml:space="preserve">adapt the online filing system to account for changes in </w:t>
      </w:r>
      <w:r>
        <w:t>ownership, including changes due to bankruptcy.  Specifically, we will institute a streamlined process whereby, post-consummation, the recipient of record will file a notification signed by both parties to the transaction that includes an explanation of th</w:t>
      </w:r>
      <w:r>
        <w:t>e ownership changes.</w:t>
      </w:r>
      <w:r>
        <w:rPr>
          <w:rStyle w:val="FootnoteReference"/>
        </w:rPr>
        <w:footnoteReference w:id="155"/>
      </w:r>
      <w:r>
        <w:t xml:space="preserve">  </w:t>
      </w:r>
      <w:r w:rsidRPr="00D64C98">
        <w:t>In the event of an involuntary change of control and/or ownership, such as, but not limited to, the appointment of a trustee in bankruptcy or a receiver, the process shall include a mechanism for a rightful recipient to file the not</w:t>
      </w:r>
      <w:r w:rsidRPr="00D64C98">
        <w:t>ification without the signature of the other party to the transaction upon a showing of appropriate documentation regarding the change of control and/or ownership.</w:t>
      </w:r>
      <w:r>
        <w:t xml:space="preserve">  The Bureau, with the assistance of the Reimbursement Program Fund Administrator, will deter</w:t>
      </w:r>
      <w:r>
        <w:t>mine the amount of the funding allocation remaining, i.e., the amount not yet claimed and disbursed through the reimbursement claim process, and how to handle transactions involving the acquisition of discrete network components, e.g., the sale of a portio</w:t>
      </w:r>
      <w:r>
        <w:t>n of the network and not the entire network</w:t>
      </w:r>
      <w:r w:rsidRPr="00426D16">
        <w:t xml:space="preserve">.  </w:t>
      </w:r>
      <w:r>
        <w:t>Commenters support this approach.</w:t>
      </w:r>
      <w:r>
        <w:rPr>
          <w:rStyle w:val="FootnoteReference"/>
        </w:rPr>
        <w:footnoteReference w:id="156"/>
      </w:r>
      <w:r>
        <w:t xml:space="preserve">  We note, however, that while we are not requiring prior approval for new owners to participate in the Reimbursement Program, the new owners would still have to be eligible t</w:t>
      </w:r>
      <w:r>
        <w:t>o participate in the program to receive funding under the Commission’s rules.</w:t>
      </w:r>
      <w:r>
        <w:rPr>
          <w:rStyle w:val="FootnoteReference"/>
        </w:rPr>
        <w:footnoteReference w:id="157"/>
      </w:r>
      <w:r>
        <w:t xml:space="preserve">  Providers with more than 10 million customers are not eligible to participate in the Reimbursement Program.</w:t>
      </w:r>
      <w:r>
        <w:rPr>
          <w:rStyle w:val="FootnoteReference"/>
        </w:rPr>
        <w:footnoteReference w:id="158"/>
      </w:r>
    </w:p>
    <w:p w:rsidR="00C736CB" w:rsidP="00C736CB" w14:paraId="73553DC0" w14:textId="77777777">
      <w:pPr>
        <w:pStyle w:val="Heading3"/>
      </w:pPr>
      <w:bookmarkStart w:id="81" w:name="_Toc75940349"/>
      <w:bookmarkStart w:id="82" w:name="_Toc76912050"/>
      <w:bookmarkStart w:id="83" w:name="_Toc76912141"/>
      <w:bookmarkStart w:id="84" w:name="_Toc78364556"/>
      <w:bookmarkStart w:id="85" w:name="_Toc78815421"/>
      <w:bookmarkStart w:id="86" w:name="_Toc78815569"/>
      <w:r w:rsidRPr="00913892">
        <w:t>Removal, Replacement, and Disposal Term</w:t>
      </w:r>
      <w:bookmarkEnd w:id="81"/>
      <w:bookmarkEnd w:id="82"/>
      <w:bookmarkEnd w:id="83"/>
      <w:bookmarkEnd w:id="84"/>
      <w:bookmarkEnd w:id="85"/>
      <w:bookmarkEnd w:id="86"/>
      <w:r w:rsidRPr="00913892">
        <w:t xml:space="preserve">  </w:t>
      </w:r>
    </w:p>
    <w:p w:rsidR="00C736CB" w:rsidP="00C736CB" w14:paraId="282EF6D2" w14:textId="77777777">
      <w:pPr>
        <w:pStyle w:val="ParaNum"/>
        <w:tabs>
          <w:tab w:val="left" w:pos="1440"/>
        </w:tabs>
      </w:pPr>
      <w:r>
        <w:t xml:space="preserve">Consistent with the Secure Networks Act, the Commission’s rules require </w:t>
      </w:r>
      <w:r w:rsidRPr="00192310">
        <w:t>Reimbursement Program particip</w:t>
      </w:r>
      <w:r w:rsidRPr="00192310">
        <w:t xml:space="preserve">ants </w:t>
      </w:r>
      <w:r>
        <w:t xml:space="preserve">to complete the removal, replacement, and disposal process within </w:t>
      </w:r>
      <w:r w:rsidRPr="00192310">
        <w:t xml:space="preserve">one year from the initial disbursement </w:t>
      </w:r>
      <w:r>
        <w:t>of funds</w:t>
      </w:r>
      <w:r w:rsidRPr="00192310">
        <w:t>.</w:t>
      </w:r>
      <w:r>
        <w:rPr>
          <w:rStyle w:val="FootnoteReference"/>
        </w:rPr>
        <w:footnoteReference w:id="159"/>
      </w:r>
      <w:r w:rsidRPr="00192310">
        <w:t xml:space="preserve">  </w:t>
      </w:r>
      <w:r>
        <w:t>The initial disbursement is deemed to occur on the date on which the Commission first distributes reimbursement funds to the recipien</w:t>
      </w:r>
      <w:r>
        <w:t>t.</w:t>
      </w:r>
      <w:r>
        <w:rPr>
          <w:rStyle w:val="FootnoteReference"/>
        </w:rPr>
        <w:footnoteReference w:id="160"/>
      </w:r>
      <w:r>
        <w:t xml:space="preserve">  Participants must file to receive their initial disbursement within one year of receiving the funding allocation approval.</w:t>
      </w:r>
      <w:r>
        <w:rPr>
          <w:rStyle w:val="FootnoteReference"/>
        </w:rPr>
        <w:footnoteReference w:id="161"/>
      </w:r>
      <w:r>
        <w:t xml:space="preserve">  </w:t>
      </w:r>
    </w:p>
    <w:p w:rsidR="00C736CB" w:rsidP="00C736CB" w14:paraId="2CBFAABC" w14:textId="77777777">
      <w:pPr>
        <w:pStyle w:val="ParaNum"/>
      </w:pPr>
      <w:r>
        <w:t>Both t</w:t>
      </w:r>
      <w:r w:rsidRPr="00192310">
        <w:t xml:space="preserve">he Secure Networks Act </w:t>
      </w:r>
      <w:r>
        <w:t>and the Commission’s rules authorize extensions of the one-year removal, replacement, and disp</w:t>
      </w:r>
      <w:r>
        <w:t>osal term.</w:t>
      </w:r>
      <w:r>
        <w:rPr>
          <w:rStyle w:val="FootnoteReference"/>
        </w:rPr>
        <w:footnoteReference w:id="162"/>
      </w:r>
      <w:r>
        <w:t xml:space="preserve">  Specifically, under section 1.50004(h)(1) of the Reimbursement Program rules, </w:t>
      </w:r>
      <w:r w:rsidRPr="00192310">
        <w:t xml:space="preserve">the </w:t>
      </w:r>
      <w:r>
        <w:t>Commission</w:t>
      </w:r>
      <w:r w:rsidRPr="00192310">
        <w:t xml:space="preserve"> </w:t>
      </w:r>
      <w:r>
        <w:t>may grant a general extension of the one-year term by a period of six months</w:t>
      </w:r>
      <w:r w:rsidRPr="00192310">
        <w:t xml:space="preserve"> </w:t>
      </w:r>
      <w:r>
        <w:t>to all Reimbursement Program recipients if the Commission: (1) finds the</w:t>
      </w:r>
      <w:r>
        <w:t xml:space="preserve"> supply of replacement communications equipment or services needed by the recipients to achieve the purposes of the Reimbursement Program is inadequate to meet the needs of the recipients; and (2) provides notice and detailed justification for granting the</w:t>
      </w:r>
      <w:r>
        <w:t xml:space="preserve"> extension to the Committee on Energy and Commerce of the House of Representatives and the Committee on Commerce, Science, and Transportation of the Senate.</w:t>
      </w:r>
      <w:r>
        <w:rPr>
          <w:rStyle w:val="FootnoteReference"/>
        </w:rPr>
        <w:footnoteReference w:id="163"/>
      </w:r>
      <w:r>
        <w:t xml:space="preserve">  In addition, the Bureau may</w:t>
      </w:r>
      <w:r w:rsidRPr="00192310">
        <w:t xml:space="preserve"> grant </w:t>
      </w:r>
      <w:r>
        <w:t xml:space="preserve">individual </w:t>
      </w:r>
      <w:r w:rsidRPr="00192310">
        <w:t xml:space="preserve">extensions of time </w:t>
      </w:r>
      <w:r>
        <w:t>for a period not to exceed six m</w:t>
      </w:r>
      <w:r>
        <w:t xml:space="preserve">onths </w:t>
      </w:r>
      <w:r w:rsidRPr="00192310">
        <w:t>on a case-by-case basis.</w:t>
      </w:r>
      <w:r>
        <w:rPr>
          <w:rStyle w:val="FootnoteReference"/>
        </w:rPr>
        <w:footnoteReference w:id="164"/>
      </w:r>
      <w:r w:rsidRPr="00192310">
        <w:t xml:space="preserve">  </w:t>
      </w:r>
      <w:r>
        <w:t xml:space="preserve">The Commission has interpreted the Secure Networks Act to allow grant of </w:t>
      </w:r>
      <w:r>
        <w:t>multiple individual extensions of time to a participant.</w:t>
      </w:r>
      <w:r>
        <w:rPr>
          <w:rStyle w:val="FootnoteReference"/>
        </w:rPr>
        <w:footnoteReference w:id="165"/>
      </w:r>
      <w:r>
        <w:t xml:space="preserve">  To grant an extension, the Bureau must find that, due to no fault of the recipient, such </w:t>
      </w:r>
      <w:r>
        <w:t>recipient is unable to complete the permanent removal, replacement, and disposal by the end of the term.</w:t>
      </w:r>
      <w:r>
        <w:rPr>
          <w:rStyle w:val="FootnoteReference"/>
        </w:rPr>
        <w:footnoteReference w:id="166"/>
      </w:r>
      <w:r>
        <w:t xml:space="preserve"> </w:t>
      </w:r>
    </w:p>
    <w:p w:rsidR="00C736CB" w:rsidP="00C736CB" w14:paraId="5005BCF9" w14:textId="77777777">
      <w:pPr>
        <w:pStyle w:val="ParaNum"/>
        <w:widowControl/>
      </w:pPr>
      <w:r>
        <w:t>Nokia requested a blanket 6-month extension of time, noting that many applicants will have difficulty adhering to a one-year deadline for removal, r</w:t>
      </w:r>
      <w:r>
        <w:t>eplacement, and disposal because, under normal circumstances, the process would take approximately one to three years.</w:t>
      </w:r>
      <w:r>
        <w:rPr>
          <w:rStyle w:val="FootnoteReference"/>
        </w:rPr>
        <w:footnoteReference w:id="167"/>
      </w:r>
      <w:r>
        <w:t xml:space="preserve">  Additionally, Nokia notes that a high number of carriers attempting to replace equipment during the same period of time may delay the </w:t>
      </w:r>
      <w:r>
        <w:t>process.</w:t>
      </w:r>
      <w:r>
        <w:rPr>
          <w:rStyle w:val="FootnoteReference"/>
        </w:rPr>
        <w:footnoteReference w:id="168"/>
      </w:r>
      <w:r>
        <w:t xml:space="preserve">  </w:t>
      </w:r>
      <w:r w:rsidRPr="713B60C4">
        <w:t>The Competitive Carriers Association (CCA)</w:t>
      </w:r>
      <w:r>
        <w:t xml:space="preserve"> also requested a blanket 6-month extension, raising a similar concern in its comments, recognizing that carriers are “managing labor shortages, including limited availability of skilled engineers and 1</w:t>
      </w:r>
      <w:r>
        <w:t>2 tower crews, and an extension will give carriers a more realistic opportunity to navigate staffing challenges.”</w:t>
      </w:r>
      <w:r>
        <w:rPr>
          <w:rStyle w:val="FootnoteReference"/>
        </w:rPr>
        <w:footnoteReference w:id="169"/>
      </w:r>
      <w:r>
        <w:t xml:space="preserve">  Copper Valley Wireless, Inc. (Cooper Valley Wireless) asserts that the unique issues facing Alaskan providers will result in multiple exten</w:t>
      </w:r>
      <w:r>
        <w:t>sion requests.</w:t>
      </w:r>
      <w:r>
        <w:rPr>
          <w:rStyle w:val="FootnoteReference"/>
        </w:rPr>
        <w:footnoteReference w:id="170"/>
      </w:r>
      <w:r>
        <w:t xml:space="preserve">  Thus, Copper Valley Wireless requests successive blanket extensions for Alaskan providers.</w:t>
      </w:r>
      <w:r>
        <w:rPr>
          <w:rStyle w:val="FootnoteReference"/>
        </w:rPr>
        <w:footnoteReference w:id="171"/>
      </w:r>
      <w:r>
        <w:t xml:space="preserve"> </w:t>
      </w:r>
    </w:p>
    <w:p w:rsidR="00C736CB" w:rsidP="00C736CB" w14:paraId="072F6BA9" w14:textId="77777777">
      <w:pPr>
        <w:pStyle w:val="ParaNum"/>
        <w:widowControl/>
      </w:pPr>
      <w:r>
        <w:t xml:space="preserve">We find these requests for an extension of the term for all future participants are outside the scope of the </w:t>
      </w:r>
      <w:r w:rsidRPr="00EC3FA6">
        <w:rPr>
          <w:i/>
          <w:iCs/>
        </w:rPr>
        <w:t>Reimbursement Process Public Notice</w:t>
      </w:r>
      <w:r>
        <w:t xml:space="preserve"> and we, therefore, decline to address these requests.</w:t>
      </w:r>
      <w:r>
        <w:rPr>
          <w:rStyle w:val="FootnoteReference"/>
        </w:rPr>
        <w:footnoteReference w:id="172"/>
      </w:r>
      <w:r>
        <w:t xml:space="preserve">  In addition, we find it premature to consider a general extension before the Reimbursement Program is even launched and any removal, replacement, and disposal terms are established.</w:t>
      </w:r>
      <w:r>
        <w:rPr>
          <w:rStyle w:val="FootnoteReference"/>
        </w:rPr>
        <w:footnoteReference w:id="173"/>
      </w:r>
      <w:r>
        <w:t xml:space="preserve">  Granting an a</w:t>
      </w:r>
      <w:r>
        <w:t>cross-the-board extension at this juncture is counter to Congress’ intent of having a one-year term.</w:t>
      </w:r>
      <w:r>
        <w:rPr>
          <w:rStyle w:val="FootnoteReference"/>
        </w:rPr>
        <w:footnoteReference w:id="174"/>
      </w:r>
      <w:r>
        <w:t xml:space="preserve">  </w:t>
      </w:r>
    </w:p>
    <w:p w:rsidR="00C736CB" w:rsidP="00C736CB" w14:paraId="4141E5A5" w14:textId="77777777">
      <w:pPr>
        <w:pStyle w:val="ParaNum"/>
        <w:widowControl/>
      </w:pPr>
      <w:r>
        <w:t>In addition, some commenters have expressed concern that the Commission appears to favor O-RAN replacement options and requests that the Commission not</w:t>
      </w:r>
      <w:r>
        <w:t xml:space="preserve"> grant an applicant’s extension request solely because of the replacement choice.</w:t>
      </w:r>
      <w:r>
        <w:rPr>
          <w:rStyle w:val="FootnoteReference"/>
        </w:rPr>
        <w:footnoteReference w:id="175"/>
      </w:r>
      <w:r>
        <w:t xml:space="preserve">  As we did not seek comment on proposals related to granting term extensions, we find these comments are also outside the scope of the </w:t>
      </w:r>
      <w:r w:rsidRPr="00D819A8">
        <w:rPr>
          <w:i/>
          <w:iCs/>
        </w:rPr>
        <w:t>Reimbursement Process Public Notice</w:t>
      </w:r>
      <w:r>
        <w:t xml:space="preserve">.  These comments more accurately relate to the </w:t>
      </w:r>
      <w:r w:rsidRPr="00BF0261">
        <w:rPr>
          <w:i/>
          <w:iCs/>
        </w:rPr>
        <w:t>2021 Supply Chain Order</w:t>
      </w:r>
      <w:r>
        <w:rPr>
          <w:i/>
          <w:iCs/>
        </w:rPr>
        <w:t xml:space="preserve"> </w:t>
      </w:r>
      <w:r>
        <w:t xml:space="preserve">where </w:t>
      </w:r>
      <w:r>
        <w:t>the Com</w:t>
      </w:r>
      <w:r>
        <w:t xml:space="preserve">mission said </w:t>
      </w:r>
      <w:r w:rsidRPr="00192310">
        <w:t>that some replacement options, such as O-RAN or virtual RAN, may require additional time for system integration</w:t>
      </w:r>
      <w:r>
        <w:t>.</w:t>
      </w:r>
      <w:r>
        <w:rPr>
          <w:rStyle w:val="FootnoteReference"/>
        </w:rPr>
        <w:footnoteReference w:id="176"/>
      </w:r>
      <w:r>
        <w:t xml:space="preserve">  While we recognize it may take longer to implement certain technological solutions, that is only one factor among many that cou</w:t>
      </w:r>
      <w:r>
        <w:t>ld justify an extension.</w:t>
      </w:r>
      <w:r>
        <w:rPr>
          <w:rStyle w:val="FootnoteReference"/>
        </w:rPr>
        <w:footnoteReference w:id="177"/>
      </w:r>
      <w:r>
        <w:t xml:space="preserve">  Regardless, we disagree that the Commission has demonstrated a preference for O-RAN technology solutions as compared to any other solution. </w:t>
      </w:r>
      <w:r w:rsidRPr="00192310">
        <w:t xml:space="preserve"> </w:t>
      </w:r>
    </w:p>
    <w:p w:rsidR="00C736CB" w:rsidP="00C736CB" w14:paraId="1813CE13" w14:textId="77777777">
      <w:pPr>
        <w:pStyle w:val="Heading3"/>
      </w:pPr>
      <w:bookmarkStart w:id="87" w:name="_Toc76912051"/>
      <w:bookmarkStart w:id="88" w:name="_Toc76912142"/>
      <w:bookmarkStart w:id="89" w:name="_Toc78364557"/>
      <w:bookmarkStart w:id="90" w:name="_Toc78815422"/>
      <w:bookmarkStart w:id="91" w:name="_Toc78815570"/>
      <w:bookmarkStart w:id="92" w:name="_Toc75940350"/>
      <w:r>
        <w:t>Status Updates, Spending Reports, and Final Certification and Update</w:t>
      </w:r>
      <w:bookmarkEnd w:id="87"/>
      <w:bookmarkEnd w:id="88"/>
      <w:bookmarkEnd w:id="89"/>
      <w:bookmarkEnd w:id="90"/>
      <w:bookmarkEnd w:id="91"/>
    </w:p>
    <w:p w:rsidR="00C736CB" w:rsidP="00C736CB" w14:paraId="4AD56E4B" w14:textId="77777777">
      <w:pPr>
        <w:pStyle w:val="ParaNum"/>
        <w:widowControl/>
        <w:tabs>
          <w:tab w:val="left" w:pos="1440"/>
        </w:tabs>
      </w:pPr>
      <w:r>
        <w:t xml:space="preserve">To help mitigate against waste, fraud, and </w:t>
      </w:r>
      <w:r>
        <w:t xml:space="preserve">abuse, and consistent with the Secure Networks Act, the Commission required recipients to submit status updates, </w:t>
      </w:r>
      <w:r w:rsidRPr="00210BFC">
        <w:t>spending reports</w:t>
      </w:r>
      <w:r>
        <w:t>,</w:t>
      </w:r>
      <w:r w:rsidRPr="00210BFC">
        <w:t xml:space="preserve"> and </w:t>
      </w:r>
      <w:r>
        <w:t>final certifications and updates.</w:t>
      </w:r>
      <w:r>
        <w:rPr>
          <w:rStyle w:val="FootnoteReference"/>
          <w:szCs w:val="22"/>
        </w:rPr>
        <w:footnoteReference w:id="178"/>
      </w:r>
      <w:r>
        <w:t xml:space="preserve">  We take this opportunity to reiterate these requirements as set forth in the Secure </w:t>
      </w:r>
      <w:r>
        <w:t xml:space="preserve">Networks Act and the Commission’s rules.  </w:t>
      </w:r>
    </w:p>
    <w:p w:rsidR="00C736CB" w:rsidP="00C736CB" w14:paraId="78F50058" w14:textId="77777777">
      <w:pPr>
        <w:pStyle w:val="ParaNum"/>
        <w:widowControl/>
        <w:tabs>
          <w:tab w:val="left" w:pos="1440"/>
        </w:tabs>
      </w:pPr>
      <w:r w:rsidRPr="00BA03CA">
        <w:rPr>
          <w:i/>
          <w:iCs/>
        </w:rPr>
        <w:t>Status Updates</w:t>
      </w:r>
      <w:r>
        <w:t>.  The Secure Networks Act requires that “[n]ot less frequently than once every 90 days beginning on the date on which the Commission approves an application for a reimbursement under the Program, th</w:t>
      </w:r>
      <w:r>
        <w:t>e recipient of the reimbursement shall submit to the Commission a status update on the work of the recipient to permanently remove, replace, and dispose of the covered communications equipment or services.”</w:t>
      </w:r>
      <w:r>
        <w:rPr>
          <w:rStyle w:val="FootnoteReference"/>
        </w:rPr>
        <w:footnoteReference w:id="179"/>
      </w:r>
      <w:r>
        <w:t xml:space="preserve">  The Secure Networks Act also provides that “[n</w:t>
      </w:r>
      <w:r>
        <w:t>]ot earlier than 30 days after the date on which the Commission receives a status update,” the Commission “shall make such status update public on the website of the Commission.”</w:t>
      </w:r>
      <w:r>
        <w:rPr>
          <w:rStyle w:val="FootnoteReference"/>
        </w:rPr>
        <w:footnoteReference w:id="180"/>
      </w:r>
      <w:r>
        <w:t xml:space="preserve">  </w:t>
      </w:r>
    </w:p>
    <w:p w:rsidR="00C736CB" w:rsidRPr="00BA03CA" w:rsidP="00C736CB" w14:paraId="6A1B2CA6" w14:textId="77777777">
      <w:pPr>
        <w:pStyle w:val="ParaNum"/>
        <w:tabs>
          <w:tab w:val="left" w:pos="1440"/>
        </w:tabs>
      </w:pPr>
      <w:r>
        <w:t xml:space="preserve">In the </w:t>
      </w:r>
      <w:r w:rsidRPr="00BA03CA">
        <w:rPr>
          <w:i/>
          <w:iCs/>
        </w:rPr>
        <w:t>2020 Supply Chain Order</w:t>
      </w:r>
      <w:r>
        <w:t>, the Commission required recipients to fil</w:t>
      </w:r>
      <w:r>
        <w:t>e the first status updates within 90 days of receiving their funding allocations.</w:t>
      </w:r>
      <w:r>
        <w:rPr>
          <w:rStyle w:val="FootnoteReference"/>
        </w:rPr>
        <w:footnoteReference w:id="181"/>
      </w:r>
      <w:r>
        <w:t xml:space="preserve">  In the status updates, recipients are required to report on the efforts undertaken and challenges encountered in permanently removing, replacing, and disposing of their co</w:t>
      </w:r>
      <w:r>
        <w:t>vered communications equipment or services.  Recipients shall also report in detail on the availability of replacement equipment in the marketplace so the Commission can assess whether a general, six-month extension permitted by the statute is appropriate.</w:t>
      </w:r>
      <w:r>
        <w:t xml:space="preserve">  Each status update must include a certification that affirms the information in the update is accurate.  The obligation to file status updates expires after the recipient has notified the Commission of the completion of the permanent removal, replacement</w:t>
      </w:r>
      <w:r>
        <w:t>, and disposal of the covered communications equipment or service pursuant to a final certification.</w:t>
      </w:r>
      <w:r>
        <w:rPr>
          <w:rStyle w:val="FootnoteReference"/>
        </w:rPr>
        <w:footnoteReference w:id="182"/>
      </w:r>
      <w:r w:rsidRPr="00DF1A10">
        <w:t xml:space="preserve"> </w:t>
      </w:r>
      <w:r>
        <w:t xml:space="preserve"> Status updates will be public, consistent with the Commission’s rules, and the Commission directed the Bureau to post on the Commission’s website the st</w:t>
      </w:r>
      <w:r>
        <w:t>atus update filings within 30 days of submission.</w:t>
      </w:r>
      <w:r>
        <w:rPr>
          <w:rStyle w:val="FootnoteReference"/>
        </w:rPr>
        <w:footnoteReference w:id="183"/>
      </w:r>
    </w:p>
    <w:p w:rsidR="00C736CB" w:rsidP="00C736CB" w14:paraId="2F8CBFBC" w14:textId="77777777">
      <w:pPr>
        <w:pStyle w:val="ParaNum"/>
        <w:widowControl/>
        <w:tabs>
          <w:tab w:val="left" w:pos="1440"/>
        </w:tabs>
      </w:pPr>
      <w:r w:rsidRPr="00BA03CA">
        <w:rPr>
          <w:i/>
          <w:iCs/>
        </w:rPr>
        <w:t>Spending Reports</w:t>
      </w:r>
      <w:r>
        <w:t xml:space="preserve">.  The Secure Networks Act requires </w:t>
      </w:r>
      <w:r w:rsidRPr="00323CA1">
        <w:t>Reimbursement Program recipients to submit “reports regarding how reimbursement funds have been spent, including detailed accounting of the covered comm</w:t>
      </w:r>
      <w:r w:rsidRPr="00323CA1">
        <w:t>unications equipment or services permanently removed and disposed of, and the replacement equipment or services purchased, rented, leased or otherwise obtained, using reimbursement funds.”</w:t>
      </w:r>
      <w:r>
        <w:rPr>
          <w:rStyle w:val="FootnoteReference"/>
        </w:rPr>
        <w:footnoteReference w:id="184"/>
      </w:r>
      <w:r w:rsidRPr="00323CA1">
        <w:t xml:space="preserve"> </w:t>
      </w:r>
      <w:r>
        <w:t xml:space="preserve"> </w:t>
      </w:r>
      <w:r w:rsidRPr="00323CA1">
        <w:t xml:space="preserve"> </w:t>
      </w:r>
      <w:r>
        <w:t xml:space="preserve">In the </w:t>
      </w:r>
      <w:r w:rsidRPr="00BA03CA">
        <w:rPr>
          <w:i/>
          <w:iCs/>
        </w:rPr>
        <w:t>2020 Supply Chain Order</w:t>
      </w:r>
      <w:r>
        <w:t>, the Commission required Reimbur</w:t>
      </w:r>
      <w:r>
        <w:t xml:space="preserve">sement Program recipients to file spending reports within 10 calendar days after the end of January and July, </w:t>
      </w:r>
      <w:r>
        <w:t>starting with the recipient’s initial draw down of disbursement funds and terminating once the recipient has filed a final spending report showing</w:t>
      </w:r>
      <w:r>
        <w:t xml:space="preserve"> the expenditure of all funds received as compared to the estimated costs submitted.</w:t>
      </w:r>
      <w:r>
        <w:rPr>
          <w:rStyle w:val="FootnoteReference"/>
        </w:rPr>
        <w:footnoteReference w:id="185"/>
      </w:r>
      <w:r>
        <w:t xml:space="preserve">  The Commission directed</w:t>
      </w:r>
      <w:r w:rsidRPr="00192310">
        <w:t xml:space="preserve"> </w:t>
      </w:r>
      <w:r>
        <w:t>“</w:t>
      </w:r>
      <w:r w:rsidRPr="00192310">
        <w:t xml:space="preserve">program participants to submit the final spending report no later than 60 days following </w:t>
      </w:r>
      <w:r>
        <w:t>the expiration of the program participant’s reimbursem</w:t>
      </w:r>
      <w:r>
        <w:t>ent claim deadline.”</w:t>
      </w:r>
      <w:r>
        <w:rPr>
          <w:rStyle w:val="FootnoteReference"/>
        </w:rPr>
        <w:footnoteReference w:id="186"/>
      </w:r>
      <w:r>
        <w:t xml:space="preserve">  The Bureau is required to make spending reports, except for detailed accounting information, available to the public via a portal on the Commission’s website.</w:t>
      </w:r>
      <w:r>
        <w:rPr>
          <w:rStyle w:val="FootnoteReference"/>
        </w:rPr>
        <w:footnoteReference w:id="187"/>
      </w:r>
      <w:r>
        <w:t xml:space="preserve">  </w:t>
      </w:r>
    </w:p>
    <w:p w:rsidR="00C736CB" w:rsidRPr="005A798A" w:rsidP="00C736CB" w14:paraId="45A46A8F" w14:textId="77777777">
      <w:pPr>
        <w:pStyle w:val="ParaNum"/>
        <w:tabs>
          <w:tab w:val="left" w:pos="1440"/>
        </w:tabs>
      </w:pPr>
      <w:r w:rsidRPr="713B60C4">
        <w:rPr>
          <w:i/>
        </w:rPr>
        <w:t>Final Certifications</w:t>
      </w:r>
      <w:r w:rsidRPr="001F7414">
        <w:rPr>
          <w:szCs w:val="22"/>
        </w:rPr>
        <w:t xml:space="preserve">.  </w:t>
      </w:r>
      <w:r>
        <w:t>Within 10 days following the expiration of the</w:t>
      </w:r>
      <w:r>
        <w:t xml:space="preserve"> removal, replacement, and disposal term, recipients must file a final certification</w:t>
      </w:r>
      <w:r w:rsidRPr="00151CBC">
        <w:t xml:space="preserve"> </w:t>
      </w:r>
      <w:r w:rsidRPr="00192310">
        <w:t>with the Commission</w:t>
      </w:r>
      <w:r>
        <w:t xml:space="preserve">.  The final certification must indicate </w:t>
      </w:r>
      <w:r w:rsidRPr="00192310">
        <w:t>whether the recipient has fully complied with all terms</w:t>
      </w:r>
      <w:r>
        <w:t xml:space="preserve"> and conditions</w:t>
      </w:r>
      <w:r w:rsidRPr="00192310">
        <w:t xml:space="preserve"> of </w:t>
      </w:r>
      <w:r>
        <w:t xml:space="preserve">the </w:t>
      </w:r>
      <w:r w:rsidRPr="00192310">
        <w:t>program</w:t>
      </w:r>
      <w:r>
        <w:t xml:space="preserve">, the </w:t>
      </w:r>
      <w:r>
        <w:t>commitments made in its application, and the timeline submitted</w:t>
      </w:r>
      <w:r w:rsidRPr="00192310">
        <w:t>.</w:t>
      </w:r>
      <w:r>
        <w:rPr>
          <w:rStyle w:val="FootnoteReference"/>
        </w:rPr>
        <w:footnoteReference w:id="188"/>
      </w:r>
      <w:r>
        <w:t xml:space="preserve">  The final certification must also indicate whether the recipient has permanently removed covered communications equipment and services that were in its network as of the date of applicatio</w:t>
      </w:r>
      <w:r>
        <w:t>n submission.</w:t>
      </w:r>
      <w:r>
        <w:rPr>
          <w:rStyle w:val="FootnoteReference"/>
        </w:rPr>
        <w:footnoteReference w:id="189"/>
      </w:r>
      <w:r>
        <w:t xml:space="preserve">  Pursuant to t</w:t>
      </w:r>
      <w:r w:rsidRPr="00192310">
        <w:t xml:space="preserve">he Secure Networks Act and the </w:t>
      </w:r>
      <w:r w:rsidRPr="001F7414">
        <w:rPr>
          <w:i/>
          <w:iCs/>
        </w:rPr>
        <w:t>2020 Supply Chain Order</w:t>
      </w:r>
      <w:r w:rsidRPr="00E725A4">
        <w:t>,</w:t>
      </w:r>
      <w:r w:rsidRPr="001F7414">
        <w:rPr>
          <w:i/>
          <w:iCs/>
        </w:rPr>
        <w:t xml:space="preserve"> </w:t>
      </w:r>
      <w:r>
        <w:t>if an applicant indicates that it has not fully complied with all terms of program participation, the applicant must file an updated final certification “when the recipie</w:t>
      </w:r>
      <w:r>
        <w:t>nt has fully complied.”</w:t>
      </w:r>
      <w:r>
        <w:rPr>
          <w:rStyle w:val="FootnoteReference"/>
        </w:rPr>
        <w:footnoteReference w:id="190"/>
      </w:r>
      <w:r>
        <w:t xml:space="preserve">  Program</w:t>
      </w:r>
      <w:r w:rsidRPr="00192310">
        <w:t xml:space="preserve"> participant</w:t>
      </w:r>
      <w:r>
        <w:t>s</w:t>
      </w:r>
      <w:r w:rsidRPr="00192310">
        <w:t xml:space="preserve"> </w:t>
      </w:r>
      <w:r>
        <w:t xml:space="preserve">failing to timely submit a </w:t>
      </w:r>
      <w:r w:rsidRPr="00192310">
        <w:t xml:space="preserve">final certification </w:t>
      </w:r>
      <w:r>
        <w:t xml:space="preserve">or updated final certification </w:t>
      </w:r>
      <w:r w:rsidRPr="00192310">
        <w:t>may be subject to forfeiture</w:t>
      </w:r>
      <w:r>
        <w:t>s and other penalties.</w:t>
      </w:r>
      <w:r>
        <w:rPr>
          <w:rStyle w:val="FootnoteReference"/>
        </w:rPr>
        <w:footnoteReference w:id="191"/>
      </w:r>
    </w:p>
    <w:p w:rsidR="00C736CB" w:rsidP="00C736CB" w14:paraId="4F98D2EE" w14:textId="77777777">
      <w:pPr>
        <w:pStyle w:val="Heading3"/>
      </w:pPr>
      <w:bookmarkStart w:id="93" w:name="_Toc76912052"/>
      <w:bookmarkStart w:id="94" w:name="_Toc76912143"/>
      <w:bookmarkStart w:id="95" w:name="_Toc78364558"/>
      <w:bookmarkStart w:id="96" w:name="_Toc78815423"/>
      <w:bookmarkStart w:id="97" w:name="_Toc78815571"/>
      <w:r>
        <w:t>Public Search Portal and Confidentiality</w:t>
      </w:r>
      <w:bookmarkEnd w:id="92"/>
      <w:bookmarkEnd w:id="93"/>
      <w:bookmarkEnd w:id="94"/>
      <w:bookmarkEnd w:id="95"/>
      <w:bookmarkEnd w:id="96"/>
      <w:bookmarkEnd w:id="97"/>
    </w:p>
    <w:p w:rsidR="00C736CB" w:rsidRPr="000955B3" w:rsidP="002C5409" w14:paraId="34E0CC47" w14:textId="77777777">
      <w:pPr>
        <w:pStyle w:val="ParaNum"/>
        <w:widowControl/>
        <w:tabs>
          <w:tab w:val="left" w:pos="1440"/>
        </w:tabs>
      </w:pPr>
      <w:r>
        <w:t>The Secure Networks Act directed the</w:t>
      </w:r>
      <w:r>
        <w:t xml:space="preserve"> Commission to make public on the Commission’s website status updates submitted by recipients under the Reimbursement Program.</w:t>
      </w:r>
      <w:r>
        <w:rPr>
          <w:rStyle w:val="FootnoteReference"/>
        </w:rPr>
        <w:footnoteReference w:id="192"/>
      </w:r>
      <w:r>
        <w:t xml:space="preserve">  In the </w:t>
      </w:r>
      <w:r w:rsidRPr="00BA03CA">
        <w:rPr>
          <w:i/>
          <w:iCs/>
        </w:rPr>
        <w:t>2020 Supply Chain</w:t>
      </w:r>
      <w:r w:rsidRPr="000E6D79">
        <w:rPr>
          <w:i/>
        </w:rPr>
        <w:t xml:space="preserve"> Order</w:t>
      </w:r>
      <w:r>
        <w:t xml:space="preserve">, the Commission </w:t>
      </w:r>
      <w:r w:rsidRPr="00CF3406">
        <w:t>direct</w:t>
      </w:r>
      <w:r>
        <w:t xml:space="preserve">ed the </w:t>
      </w:r>
      <w:r w:rsidRPr="00CF3406">
        <w:t xml:space="preserve">Bureau to make filed spending reports available to the public </w:t>
      </w:r>
      <w:r>
        <w:t>thro</w:t>
      </w:r>
      <w:r>
        <w:t>ugh an online</w:t>
      </w:r>
      <w:r w:rsidRPr="00CF3406">
        <w:t xml:space="preserve"> portal</w:t>
      </w:r>
      <w:r>
        <w:t>.</w:t>
      </w:r>
      <w:r>
        <w:rPr>
          <w:rStyle w:val="FootnoteReference"/>
        </w:rPr>
        <w:footnoteReference w:id="193"/>
      </w:r>
      <w:r>
        <w:t xml:space="preserve">  The Commission also directed us to treat as presumptively confidential </w:t>
      </w:r>
      <w:r w:rsidRPr="713B60C4">
        <w:t>detailed accounting information on the covered communications equipment or services subject to removal, replacement, and disposal, and the replacement equipment</w:t>
      </w:r>
      <w:r w:rsidRPr="713B60C4">
        <w:t xml:space="preserve"> or services being reimbursed, and </w:t>
      </w:r>
      <w:r>
        <w:t xml:space="preserve">to </w:t>
      </w:r>
      <w:r w:rsidRPr="713B60C4">
        <w:t>withhold such disaggregated information from routine public inspection.</w:t>
      </w:r>
      <w:r>
        <w:rPr>
          <w:rStyle w:val="FootnoteReference"/>
        </w:rPr>
        <w:footnoteReference w:id="194"/>
      </w:r>
      <w:r w:rsidRPr="000E6D79">
        <w:rPr>
          <w:szCs w:val="22"/>
        </w:rPr>
        <w:t xml:space="preserve">  </w:t>
      </w:r>
      <w:r w:rsidRPr="713B60C4">
        <w:t>The Commission also directed us to treat as presumptively confidential</w:t>
      </w:r>
      <w:r w:rsidRPr="00A77B8B">
        <w:rPr>
          <w:szCs w:val="22"/>
        </w:rPr>
        <w:t xml:space="preserve"> </w:t>
      </w:r>
      <w:r w:rsidRPr="713B60C4">
        <w:t>“[o]ther</w:t>
      </w:r>
      <w:r w:rsidRPr="713B60C4">
        <w:t xml:space="preserve"> information, such as location of the equipment and services</w:t>
      </w:r>
      <w:r>
        <w:rPr>
          <w:szCs w:val="22"/>
        </w:rPr>
        <w:t>;</w:t>
      </w:r>
      <w:r w:rsidRPr="713B60C4">
        <w:t xml:space="preserve"> removal</w:t>
      </w:r>
      <w:r w:rsidRPr="00A77B8B">
        <w:t xml:space="preserve"> </w:t>
      </w:r>
      <w:r w:rsidRPr="713B60C4">
        <w:t>or replacement plans that include sensitive information; the specific type of equipment or service; and any</w:t>
      </w:r>
      <w:r>
        <w:rPr>
          <w:szCs w:val="22"/>
        </w:rPr>
        <w:t xml:space="preserve"> </w:t>
      </w:r>
      <w:r w:rsidRPr="713B60C4">
        <w:t xml:space="preserve">other provider specific information,” which the Commission found would likely </w:t>
      </w:r>
      <w:r w:rsidRPr="713B60C4">
        <w:t>qualify as trade secrets under the Freedom of Information Act (FOIA)</w:t>
      </w:r>
      <w:r>
        <w:t xml:space="preserve"> the public release of which could raise security and confidentiality concerns</w:t>
      </w:r>
      <w:r>
        <w:rPr>
          <w:szCs w:val="22"/>
        </w:rPr>
        <w:t>.</w:t>
      </w:r>
      <w:r>
        <w:rPr>
          <w:rStyle w:val="FootnoteReference"/>
        </w:rPr>
        <w:footnoteReference w:id="195"/>
      </w:r>
      <w:r>
        <w:rPr>
          <w:szCs w:val="22"/>
        </w:rPr>
        <w:t xml:space="preserve"> </w:t>
      </w:r>
      <w:r w:rsidRPr="000955B3">
        <w:rPr>
          <w:szCs w:val="22"/>
        </w:rPr>
        <w:t xml:space="preserve"> </w:t>
      </w:r>
      <w:r>
        <w:t>However, as a condition of receiving funding, the Commission required Reimbursement Program recipients to</w:t>
      </w:r>
      <w:r>
        <w:t xml:space="preserve"> provide consent to allow vendors or </w:t>
      </w:r>
      <w:r>
        <w:t>contractors used by the recipient to release confidential information to an auditor, reviewer, or other representative as part of the auditing process, which is discussed in further detail in Part III.A.13.</w:t>
      </w:r>
      <w:r>
        <w:rPr>
          <w:rStyle w:val="FootnoteReference"/>
        </w:rPr>
        <w:footnoteReference w:id="196"/>
      </w:r>
      <w:r>
        <w:t xml:space="preserve">  </w:t>
      </w:r>
    </w:p>
    <w:p w:rsidR="00C736CB" w:rsidP="00C736CB" w14:paraId="2F099523" w14:textId="77777777">
      <w:pPr>
        <w:pStyle w:val="ParaNum"/>
        <w:widowControl/>
        <w:tabs>
          <w:tab w:val="left" w:pos="1440"/>
        </w:tabs>
      </w:pPr>
      <w:r>
        <w:t xml:space="preserve">We will treat certain specified information submitted by Reimbursement Program participants as public or presumptively confidential consistent with the Secure Networks Act, the Freedom of Information Act, and the Commission’s rules.  </w:t>
      </w:r>
      <w:r w:rsidRPr="713B60C4">
        <w:t xml:space="preserve">As proposed in the </w:t>
      </w:r>
      <w:r>
        <w:rPr>
          <w:i/>
          <w:iCs/>
        </w:rPr>
        <w:t>Rei</w:t>
      </w:r>
      <w:r>
        <w:rPr>
          <w:i/>
          <w:iCs/>
        </w:rPr>
        <w:t>mbursement Process Public Notice</w:t>
      </w:r>
      <w:r w:rsidRPr="713B60C4">
        <w:t>, and consistent with our rules, we will make publicly available, through an online search portal, general and summary information submitted by participants.</w:t>
      </w:r>
      <w:r>
        <w:rPr>
          <w:rStyle w:val="FootnoteReference"/>
        </w:rPr>
        <w:footnoteReference w:id="197"/>
      </w:r>
      <w:r w:rsidRPr="713B60C4">
        <w:t xml:space="preserve">  This includes the name of the applicant who submitted a </w:t>
      </w:r>
      <w:r>
        <w:t xml:space="preserve">FCC </w:t>
      </w:r>
      <w:r w:rsidRPr="713B60C4">
        <w:t>For</w:t>
      </w:r>
      <w:r w:rsidRPr="713B60C4">
        <w:t>m 5640, Application Request for Funding Allocation</w:t>
      </w:r>
      <w:r>
        <w:rPr>
          <w:szCs w:val="22"/>
        </w:rPr>
        <w:t xml:space="preserve">, </w:t>
      </w:r>
      <w:r w:rsidRPr="713B60C4">
        <w:t xml:space="preserve">and the funding amount requested.  This also includes the Reimbursement Program participants selected for funding allocation and the funding amount awarded.  Consistent with the </w:t>
      </w:r>
      <w:r w:rsidRPr="713B60C4">
        <w:rPr>
          <w:i/>
        </w:rPr>
        <w:t>2020 Supply Chain Order</w:t>
      </w:r>
      <w:r w:rsidRPr="713B60C4">
        <w:t>, w</w:t>
      </w:r>
      <w:r w:rsidRPr="713B60C4">
        <w:t>e will also make public on the Commission’s website recipients</w:t>
      </w:r>
      <w:r>
        <w:rPr>
          <w:szCs w:val="22"/>
        </w:rPr>
        <w:t>’</w:t>
      </w:r>
      <w:r w:rsidRPr="713B60C4">
        <w:t xml:space="preserve"> filed </w:t>
      </w:r>
      <w:r w:rsidRPr="00CF3406">
        <w:t>spending reports</w:t>
      </w:r>
      <w:r>
        <w:t>.</w:t>
      </w:r>
      <w:r>
        <w:rPr>
          <w:rStyle w:val="FootnoteReference"/>
        </w:rPr>
        <w:footnoteReference w:id="198"/>
      </w:r>
      <w:r>
        <w:t xml:space="preserve">  </w:t>
      </w:r>
      <w:r w:rsidRPr="713B60C4">
        <w:t xml:space="preserve">We find that the public interest is best served by making this information available to the public to ensure transparency and accountability.  </w:t>
      </w:r>
    </w:p>
    <w:p w:rsidR="00C736CB" w:rsidRPr="00227D39" w:rsidP="00C736CB" w14:paraId="1DAB3549" w14:textId="77777777">
      <w:pPr>
        <w:pStyle w:val="ParaNum"/>
        <w:widowControl/>
        <w:tabs>
          <w:tab w:val="left" w:pos="1440"/>
        </w:tabs>
      </w:pPr>
      <w:r w:rsidRPr="713B60C4">
        <w:t>Commenters agreed wit</w:t>
      </w:r>
      <w:r w:rsidRPr="713B60C4">
        <w:t xml:space="preserve">h the proposal to treat certain sensitive information collected as part of the </w:t>
      </w:r>
      <w:r>
        <w:t>P</w:t>
      </w:r>
      <w:r w:rsidRPr="713B60C4">
        <w:t>rogram as presumptively confidential and withhold</w:t>
      </w:r>
      <w:r>
        <w:t xml:space="preserve"> that information</w:t>
      </w:r>
      <w:r w:rsidRPr="713B60C4">
        <w:t xml:space="preserve"> from </w:t>
      </w:r>
      <w:r>
        <w:t xml:space="preserve">routine </w:t>
      </w:r>
      <w:r w:rsidRPr="713B60C4">
        <w:t>public inspection.  For example</w:t>
      </w:r>
      <w:r>
        <w:t>,</w:t>
      </w:r>
      <w:r w:rsidRPr="713B60C4">
        <w:t xml:space="preserve"> ADTRAN “fully supports the proposal to maintain the confidentia</w:t>
      </w:r>
      <w:r w:rsidRPr="713B60C4">
        <w:t>lity of proprietary information with regard to the prices of the replacement equipment and services.”</w:t>
      </w:r>
      <w:r>
        <w:rPr>
          <w:rStyle w:val="FootnoteReference"/>
        </w:rPr>
        <w:footnoteReference w:id="199"/>
      </w:r>
      <w:r w:rsidRPr="713B60C4">
        <w:t xml:space="preserve">  ADTRAN asserts that “such information constitutes trade secrets,” and ADTRAN “takes steps to protect that information by requiring its customers (and p</w:t>
      </w:r>
      <w:r w:rsidRPr="713B60C4">
        <w:t>otential customers) to enter into non-disclosure agreements to maintain confidentiality.”</w:t>
      </w:r>
      <w:r>
        <w:rPr>
          <w:rStyle w:val="FootnoteReference"/>
        </w:rPr>
        <w:footnoteReference w:id="200"/>
      </w:r>
      <w:r w:rsidRPr="00BF67FE">
        <w:rPr>
          <w:szCs w:val="22"/>
        </w:rPr>
        <w:t xml:space="preserve">  </w:t>
      </w:r>
      <w:r w:rsidRPr="713B60C4">
        <w:t>ADTRAN agrees that “information on the specific replacement equipment and location of that equipment…should not be made publicly-available, particularly because su</w:t>
      </w:r>
      <w:r w:rsidRPr="713B60C4">
        <w:t>ch information on what is critical infrastructure could provide roadmaps to malefactors.”</w:t>
      </w:r>
      <w:r>
        <w:rPr>
          <w:rStyle w:val="FootnoteReference"/>
        </w:rPr>
        <w:footnoteReference w:id="201"/>
      </w:r>
      <w:r w:rsidRPr="00BF67FE">
        <w:rPr>
          <w:szCs w:val="22"/>
        </w:rPr>
        <w:t xml:space="preserve">  </w:t>
      </w:r>
      <w:r w:rsidRPr="713B60C4">
        <w:t>RWA agrees with the proposal to treat as presumptively confidential and withhold from public inspection information including “detailed accounting information,” “l</w:t>
      </w:r>
      <w:r w:rsidRPr="713B60C4">
        <w:t>ocation of the equipment and services; removal or replacement plans that include sensitive information; the specific type of equipment and service; and any other provider specific information that qualifies as trade secrets under the Freedom of Information</w:t>
      </w:r>
      <w:r w:rsidRPr="713B60C4">
        <w:t xml:space="preserve"> Act.”</w:t>
      </w:r>
      <w:r>
        <w:rPr>
          <w:rStyle w:val="FootnoteReference"/>
        </w:rPr>
        <w:footnoteReference w:id="202"/>
      </w:r>
      <w:r w:rsidRPr="00227D39">
        <w:rPr>
          <w:szCs w:val="22"/>
        </w:rPr>
        <w:t xml:space="preserve">  </w:t>
      </w:r>
    </w:p>
    <w:p w:rsidR="00C736CB" w:rsidRPr="0086528B" w:rsidP="00C736CB" w14:paraId="4C27F5A1" w14:textId="77777777">
      <w:pPr>
        <w:pStyle w:val="ParaNum"/>
        <w:tabs>
          <w:tab w:val="left" w:pos="1440"/>
        </w:tabs>
      </w:pPr>
      <w:r w:rsidRPr="713B60C4">
        <w:t xml:space="preserve">Accordingly, as contemplated by the </w:t>
      </w:r>
      <w:r>
        <w:rPr>
          <w:i/>
          <w:iCs/>
        </w:rPr>
        <w:t>2020 Supply Chain</w:t>
      </w:r>
      <w:r w:rsidRPr="00264F76">
        <w:rPr>
          <w:i/>
          <w:iCs/>
        </w:rPr>
        <w:t xml:space="preserve"> </w:t>
      </w:r>
      <w:r w:rsidRPr="713B60C4">
        <w:rPr>
          <w:i/>
        </w:rPr>
        <w:t>Order</w:t>
      </w:r>
      <w:r w:rsidRPr="713B60C4">
        <w:t xml:space="preserve"> and proposed in the </w:t>
      </w:r>
      <w:r w:rsidRPr="713B60C4">
        <w:rPr>
          <w:i/>
        </w:rPr>
        <w:t>Reimbursement Process Public Notice</w:t>
      </w:r>
      <w:r>
        <w:rPr>
          <w:szCs w:val="22"/>
        </w:rPr>
        <w:t>,</w:t>
      </w:r>
      <w:r w:rsidRPr="713B60C4">
        <w:t xml:space="preserve"> we find that certain information likely constitutes </w:t>
      </w:r>
      <w:r>
        <w:t xml:space="preserve">confidential commercial or financial information or </w:t>
      </w:r>
      <w:r w:rsidRPr="713B60C4">
        <w:t xml:space="preserve">trade secrets under </w:t>
      </w:r>
      <w:r>
        <w:t xml:space="preserve">the </w:t>
      </w:r>
      <w:r w:rsidRPr="713B60C4">
        <w:t xml:space="preserve">FOIA, and consistent with the </w:t>
      </w:r>
      <w:r w:rsidRPr="713B60C4">
        <w:rPr>
          <w:i/>
        </w:rPr>
        <w:t>2020 Supply Chain Order</w:t>
      </w:r>
      <w:r w:rsidRPr="713B60C4">
        <w:t xml:space="preserve"> and the Commission’s rules</w:t>
      </w:r>
      <w:r w:rsidRPr="00BF67FE">
        <w:rPr>
          <w:szCs w:val="22"/>
        </w:rPr>
        <w:t>,</w:t>
      </w:r>
      <w:r>
        <w:rPr>
          <w:rStyle w:val="FootnoteReference"/>
        </w:rPr>
        <w:footnoteReference w:id="203"/>
      </w:r>
      <w:r w:rsidRPr="713B60C4">
        <w:t xml:space="preserve"> we will treat this information as presumptively confidential and </w:t>
      </w:r>
      <w:r>
        <w:t xml:space="preserve">will </w:t>
      </w:r>
      <w:r w:rsidRPr="713B60C4">
        <w:t>withhold from routine public inspection</w:t>
      </w:r>
      <w:r>
        <w:rPr>
          <w:szCs w:val="22"/>
        </w:rPr>
        <w:t xml:space="preserve"> </w:t>
      </w:r>
      <w:r>
        <w:t xml:space="preserve">such </w:t>
      </w:r>
      <w:r w:rsidRPr="713B60C4">
        <w:t xml:space="preserve">information, including: </w:t>
      </w:r>
    </w:p>
    <w:p w:rsidR="00C736CB" w:rsidRPr="0086528B" w:rsidP="007D0D11" w14:paraId="3406FF99" w14:textId="77777777">
      <w:pPr>
        <w:pStyle w:val="ParaNum"/>
        <w:numPr>
          <w:ilvl w:val="0"/>
          <w:numId w:val="27"/>
        </w:numPr>
        <w:tabs>
          <w:tab w:val="left" w:pos="720"/>
          <w:tab w:val="left" w:pos="1440"/>
        </w:tabs>
      </w:pPr>
      <w:r w:rsidRPr="77659CA4">
        <w:t xml:space="preserve">Detailed accounting information </w:t>
      </w:r>
      <w:r w:rsidRPr="77659CA4">
        <w:t>on the covered communications equipment or services removed, replaced, and disposed</w:t>
      </w:r>
      <w:r>
        <w:t xml:space="preserve"> of</w:t>
      </w:r>
      <w:r w:rsidRPr="77659CA4">
        <w:t>, and the replacement equipment or services purchased, rented, leased, or otherwise obtained using Reimbursement Program funds;</w:t>
      </w:r>
      <w:r>
        <w:rPr>
          <w:rStyle w:val="FootnoteReference"/>
        </w:rPr>
        <w:footnoteReference w:id="204"/>
      </w:r>
      <w:r w:rsidRPr="0086528B">
        <w:rPr>
          <w:szCs w:val="22"/>
        </w:rPr>
        <w:t xml:space="preserve"> </w:t>
      </w:r>
    </w:p>
    <w:p w:rsidR="00C736CB" w:rsidRPr="0086528B" w:rsidP="007D0D11" w14:paraId="0B886FD2" w14:textId="77777777">
      <w:pPr>
        <w:pStyle w:val="ParaNum"/>
        <w:widowControl/>
        <w:numPr>
          <w:ilvl w:val="0"/>
          <w:numId w:val="27"/>
        </w:numPr>
        <w:tabs>
          <w:tab w:val="left" w:pos="720"/>
        </w:tabs>
        <w:rPr>
          <w:szCs w:val="22"/>
        </w:rPr>
      </w:pPr>
      <w:r w:rsidRPr="0086528B">
        <w:rPr>
          <w:szCs w:val="22"/>
        </w:rPr>
        <w:t xml:space="preserve">Vendor price quotes submitted with the </w:t>
      </w:r>
      <w:r>
        <w:rPr>
          <w:szCs w:val="22"/>
        </w:rPr>
        <w:t xml:space="preserve">FCC Form 5640, </w:t>
      </w:r>
      <w:r w:rsidRPr="00BA03CA">
        <w:rPr>
          <w:szCs w:val="22"/>
        </w:rPr>
        <w:t>Application Request for Funding Allocation</w:t>
      </w:r>
      <w:r>
        <w:rPr>
          <w:szCs w:val="22"/>
        </w:rPr>
        <w:t>,</w:t>
      </w:r>
      <w:r>
        <w:rPr>
          <w:i/>
          <w:iCs/>
          <w:szCs w:val="22"/>
        </w:rPr>
        <w:t xml:space="preserve"> </w:t>
      </w:r>
      <w:r>
        <w:rPr>
          <w:szCs w:val="22"/>
        </w:rPr>
        <w:t>or in a Modification filing</w:t>
      </w:r>
      <w:r w:rsidRPr="0086528B">
        <w:rPr>
          <w:szCs w:val="22"/>
        </w:rPr>
        <w:t xml:space="preserve">; </w:t>
      </w:r>
    </w:p>
    <w:p w:rsidR="00C736CB" w:rsidRPr="0086528B" w:rsidP="007D0D11" w14:paraId="0C367999" w14:textId="77777777">
      <w:pPr>
        <w:pStyle w:val="ParaNum"/>
        <w:numPr>
          <w:ilvl w:val="0"/>
          <w:numId w:val="27"/>
        </w:numPr>
        <w:tabs>
          <w:tab w:val="left" w:pos="720"/>
        </w:tabs>
        <w:rPr>
          <w:szCs w:val="22"/>
        </w:rPr>
      </w:pPr>
      <w:r w:rsidRPr="0086528B">
        <w:rPr>
          <w:szCs w:val="22"/>
        </w:rPr>
        <w:t xml:space="preserve">Invoices submitted with the </w:t>
      </w:r>
      <w:r>
        <w:rPr>
          <w:szCs w:val="22"/>
        </w:rPr>
        <w:t xml:space="preserve">FCC Form 5640, </w:t>
      </w:r>
      <w:r w:rsidRPr="00BA03CA">
        <w:rPr>
          <w:szCs w:val="22"/>
        </w:rPr>
        <w:t>Reimbursement Claim Requests</w:t>
      </w:r>
      <w:r w:rsidRPr="0086528B">
        <w:rPr>
          <w:szCs w:val="22"/>
        </w:rPr>
        <w:t>;</w:t>
      </w:r>
    </w:p>
    <w:p w:rsidR="00C736CB" w:rsidRPr="0086528B" w:rsidP="007D0D11" w14:paraId="20E39FCD" w14:textId="77777777">
      <w:pPr>
        <w:pStyle w:val="ParaNum"/>
        <w:numPr>
          <w:ilvl w:val="0"/>
          <w:numId w:val="27"/>
        </w:numPr>
        <w:tabs>
          <w:tab w:val="left" w:pos="720"/>
        </w:tabs>
        <w:rPr>
          <w:szCs w:val="22"/>
        </w:rPr>
      </w:pPr>
      <w:r w:rsidRPr="0086528B">
        <w:rPr>
          <w:szCs w:val="22"/>
        </w:rPr>
        <w:t>Equipment or services location, including address, lati</w:t>
      </w:r>
      <w:r w:rsidRPr="0086528B">
        <w:rPr>
          <w:szCs w:val="22"/>
        </w:rPr>
        <w:t xml:space="preserve">tude/longitude, etc.; </w:t>
      </w:r>
    </w:p>
    <w:p w:rsidR="00C736CB" w:rsidRPr="0086528B" w:rsidP="007D0D11" w14:paraId="57763E4F" w14:textId="77777777">
      <w:pPr>
        <w:pStyle w:val="ParaNum"/>
        <w:numPr>
          <w:ilvl w:val="0"/>
          <w:numId w:val="27"/>
        </w:numPr>
        <w:tabs>
          <w:tab w:val="left" w:pos="720"/>
        </w:tabs>
        <w:rPr>
          <w:szCs w:val="22"/>
        </w:rPr>
      </w:pPr>
      <w:r w:rsidRPr="0086528B">
        <w:rPr>
          <w:szCs w:val="22"/>
        </w:rPr>
        <w:t xml:space="preserve">Removal or replacement plans that include sensitive information; </w:t>
      </w:r>
    </w:p>
    <w:p w:rsidR="00C736CB" w:rsidRPr="0086528B" w:rsidP="007D0D11" w14:paraId="6E41376F" w14:textId="77777777">
      <w:pPr>
        <w:pStyle w:val="ParaNum"/>
        <w:numPr>
          <w:ilvl w:val="0"/>
          <w:numId w:val="27"/>
        </w:numPr>
        <w:tabs>
          <w:tab w:val="left" w:pos="720"/>
        </w:tabs>
        <w:rPr>
          <w:szCs w:val="22"/>
        </w:rPr>
      </w:pPr>
      <w:r w:rsidRPr="0086528B">
        <w:rPr>
          <w:szCs w:val="22"/>
        </w:rPr>
        <w:t>Specific equipment or service type;</w:t>
      </w:r>
    </w:p>
    <w:p w:rsidR="00C736CB" w:rsidRPr="0086528B" w:rsidP="007D0D11" w14:paraId="56F89C40" w14:textId="77777777">
      <w:pPr>
        <w:pStyle w:val="ParaNum"/>
        <w:numPr>
          <w:ilvl w:val="0"/>
          <w:numId w:val="27"/>
        </w:numPr>
        <w:tabs>
          <w:tab w:val="left" w:pos="720"/>
          <w:tab w:val="left" w:pos="1440"/>
        </w:tabs>
      </w:pPr>
      <w:r w:rsidRPr="77659CA4">
        <w:t>Other provider-specific information;</w:t>
      </w:r>
      <w:r>
        <w:rPr>
          <w:rStyle w:val="FootnoteReference"/>
        </w:rPr>
        <w:footnoteReference w:id="205"/>
      </w:r>
      <w:r w:rsidRPr="0086528B">
        <w:rPr>
          <w:szCs w:val="22"/>
        </w:rPr>
        <w:t xml:space="preserve"> </w:t>
      </w:r>
      <w:r>
        <w:rPr>
          <w:szCs w:val="22"/>
        </w:rPr>
        <w:t>and,</w:t>
      </w:r>
    </w:p>
    <w:p w:rsidR="00C736CB" w:rsidRPr="0086528B" w:rsidP="007D0D11" w14:paraId="1A8F3811" w14:textId="77777777">
      <w:pPr>
        <w:pStyle w:val="ParaNum"/>
        <w:widowControl/>
        <w:numPr>
          <w:ilvl w:val="0"/>
          <w:numId w:val="27"/>
        </w:numPr>
        <w:tabs>
          <w:tab w:val="left" w:pos="720"/>
        </w:tabs>
      </w:pPr>
      <w:r w:rsidRPr="77659CA4">
        <w:t xml:space="preserve">Specific timeline for the permanent removal, replacement, and disposal of </w:t>
      </w:r>
      <w:r w:rsidRPr="77659CA4">
        <w:t>covered communications equipment and services</w:t>
      </w:r>
      <w:r>
        <w:t>.</w:t>
      </w:r>
      <w:r>
        <w:rPr>
          <w:rStyle w:val="FootnoteReference"/>
        </w:rPr>
        <w:footnoteReference w:id="206"/>
      </w:r>
      <w:r w:rsidRPr="0086528B">
        <w:rPr>
          <w:szCs w:val="22"/>
        </w:rPr>
        <w:t xml:space="preserve">  </w:t>
      </w:r>
    </w:p>
    <w:p w:rsidR="00C736CB" w:rsidRPr="0086528B" w:rsidP="00C736CB" w14:paraId="03669E79" w14:textId="77777777">
      <w:pPr>
        <w:pStyle w:val="ParaNum"/>
        <w:widowControl/>
        <w:numPr>
          <w:ilvl w:val="0"/>
          <w:numId w:val="0"/>
        </w:numPr>
        <w:rPr>
          <w:szCs w:val="22"/>
        </w:rPr>
      </w:pPr>
      <w:r w:rsidRPr="77659CA4">
        <w:t xml:space="preserve">We find, consistent with the </w:t>
      </w:r>
      <w:r w:rsidRPr="77659CA4">
        <w:rPr>
          <w:i/>
        </w:rPr>
        <w:t>2020 Supply Chain Order</w:t>
      </w:r>
      <w:r w:rsidRPr="77659CA4">
        <w:t xml:space="preserve">, that this information would likely qualify as </w:t>
      </w:r>
      <w:r>
        <w:t xml:space="preserve">confidential commercial or financial information or </w:t>
      </w:r>
      <w:r w:rsidRPr="77659CA4">
        <w:t>trade secrets under the Freedom of Information Act an</w:t>
      </w:r>
      <w:r w:rsidRPr="77659CA4">
        <w:t>d therefore should be withheld from routine public inspection.</w:t>
      </w:r>
      <w:r>
        <w:rPr>
          <w:rStyle w:val="FootnoteReference"/>
        </w:rPr>
        <w:footnoteReference w:id="207"/>
      </w:r>
      <w:r w:rsidRPr="0086528B">
        <w:rPr>
          <w:bCs/>
          <w:szCs w:val="22"/>
        </w:rPr>
        <w:t xml:space="preserve">  </w:t>
      </w:r>
    </w:p>
    <w:p w:rsidR="00C736CB" w:rsidRPr="00F7420F" w:rsidP="00C736CB" w14:paraId="12DA4793" w14:textId="77777777">
      <w:pPr>
        <w:pStyle w:val="ParaNum"/>
        <w:widowControl/>
        <w:tabs>
          <w:tab w:val="left" w:pos="1440"/>
        </w:tabs>
      </w:pPr>
      <w:r w:rsidRPr="713B60C4">
        <w:rPr>
          <w:snapToGrid/>
        </w:rPr>
        <w:t xml:space="preserve">Finally, we adopt the approach proposed in the </w:t>
      </w:r>
      <w:r w:rsidRPr="713B60C4">
        <w:rPr>
          <w:i/>
          <w:snapToGrid/>
        </w:rPr>
        <w:t>Reimbursement Process Public Notice</w:t>
      </w:r>
      <w:r w:rsidRPr="713B60C4">
        <w:rPr>
          <w:snapToGrid/>
        </w:rPr>
        <w:t xml:space="preserve"> to allow filers upload</w:t>
      </w:r>
      <w:r>
        <w:t>ing</w:t>
      </w:r>
      <w:r w:rsidRPr="713B60C4">
        <w:rPr>
          <w:snapToGrid/>
        </w:rPr>
        <w:t xml:space="preserve"> attachments to the online portal</w:t>
      </w:r>
      <w:r>
        <w:t xml:space="preserve"> to</w:t>
      </w:r>
      <w:r w:rsidRPr="713B60C4">
        <w:rPr>
          <w:snapToGrid/>
        </w:rPr>
        <w:t xml:space="preserve"> categoriz</w:t>
      </w:r>
      <w:r>
        <w:t>e</w:t>
      </w:r>
      <w:r w:rsidRPr="713B60C4">
        <w:rPr>
          <w:snapToGrid/>
        </w:rPr>
        <w:t xml:space="preserve"> whether the attachment is “confid</w:t>
      </w:r>
      <w:r w:rsidRPr="713B60C4">
        <w:rPr>
          <w:snapToGrid/>
        </w:rPr>
        <w:t>ential” or “public.”  RWA argues that “</w:t>
      </w:r>
      <w:r w:rsidRPr="713B60C4">
        <w:t>anything attached to the FCC Form 5640 by an applicant that is clearly marked confidential should be treated as such and withheld from public inspection.”</w:t>
      </w:r>
      <w:r>
        <w:rPr>
          <w:rStyle w:val="FootnoteReference"/>
        </w:rPr>
        <w:footnoteReference w:id="208"/>
      </w:r>
      <w:r w:rsidRPr="713B60C4">
        <w:t xml:space="preserve">  We clarify that participants may submit requests to treat d</w:t>
      </w:r>
      <w:r w:rsidRPr="713B60C4">
        <w:t xml:space="preserve">ocumentation as confidential </w:t>
      </w:r>
      <w:r>
        <w:t>information to be</w:t>
      </w:r>
      <w:r w:rsidRPr="713B60C4">
        <w:t xml:space="preserve"> withh</w:t>
      </w:r>
      <w:r>
        <w:t>e</w:t>
      </w:r>
      <w:r w:rsidRPr="713B60C4">
        <w:t>ld from public inspection</w:t>
      </w:r>
      <w:r>
        <w:t>;</w:t>
      </w:r>
      <w:r>
        <w:rPr>
          <w:szCs w:val="22"/>
        </w:rPr>
        <w:t xml:space="preserve"> </w:t>
      </w:r>
      <w:r w:rsidRPr="713B60C4">
        <w:t>however, such requests must be consistent with FOIA and the Commission’s rules.  Requests for confidential treatment that are overbroad or otherwise inconsistent with our rules</w:t>
      </w:r>
      <w:r w:rsidRPr="713B60C4">
        <w:t xml:space="preserve"> will be rejected.</w:t>
      </w:r>
      <w:r w:rsidRPr="00BF67FE">
        <w:rPr>
          <w:szCs w:val="22"/>
        </w:rPr>
        <w:t xml:space="preserve">  </w:t>
      </w:r>
      <w:r w:rsidRPr="713B60C4">
        <w:rPr>
          <w:snapToGrid/>
        </w:rPr>
        <w:t>Attachments designated as “confidential” will be withheld from routine public inspection, subject to FOIA and the Commission’s rules, whereas attachments designated as “public” may be made publicly available</w:t>
      </w:r>
      <w:r w:rsidRPr="00F7420F">
        <w:rPr>
          <w:snapToGrid/>
          <w:szCs w:val="22"/>
        </w:rPr>
        <w:t>.</w:t>
      </w:r>
      <w:r>
        <w:rPr>
          <w:rStyle w:val="FootnoteReference"/>
          <w:snapToGrid/>
          <w:kern w:val="0"/>
        </w:rPr>
        <w:footnoteReference w:id="209"/>
      </w:r>
    </w:p>
    <w:p w:rsidR="00C736CB" w:rsidP="00C736CB" w14:paraId="5AF88E0B" w14:textId="77777777">
      <w:pPr>
        <w:pStyle w:val="Heading3"/>
      </w:pPr>
      <w:bookmarkStart w:id="98" w:name="_Toc76912053"/>
      <w:bookmarkStart w:id="99" w:name="_Toc76912144"/>
      <w:bookmarkStart w:id="100" w:name="_Toc78364559"/>
      <w:bookmarkStart w:id="101" w:name="_Toc78815424"/>
      <w:bookmarkStart w:id="102" w:name="_Toc78815572"/>
      <w:r>
        <w:t xml:space="preserve">Audits, Reviews, and </w:t>
      </w:r>
      <w:r>
        <w:t>Field Investigations</w:t>
      </w:r>
      <w:bookmarkEnd w:id="98"/>
      <w:bookmarkEnd w:id="99"/>
      <w:bookmarkEnd w:id="100"/>
      <w:bookmarkEnd w:id="101"/>
      <w:bookmarkEnd w:id="102"/>
    </w:p>
    <w:p w:rsidR="00C736CB" w:rsidP="00C736CB" w14:paraId="0C6E2C51" w14:textId="77777777">
      <w:pPr>
        <w:pStyle w:val="ParaNum"/>
        <w:widowControl/>
        <w:tabs>
          <w:tab w:val="left" w:pos="1440"/>
        </w:tabs>
      </w:pPr>
      <w:r>
        <w:t>The Secure Networks Act directed the Commission to “take all necessary steps to avoid waste, fraud, and abuse with respect to the Program,”</w:t>
      </w:r>
      <w:r>
        <w:rPr>
          <w:rStyle w:val="FootnoteReference"/>
        </w:rPr>
        <w:footnoteReference w:id="210"/>
      </w:r>
      <w:r>
        <w:t xml:space="preserve"> including “regular audits and reviews of reimbursements under the Program to confirm that rec</w:t>
      </w:r>
      <w:r>
        <w:t>ipients of such reimbursements are complying with this Act,” and “random field investigations to ensure that recipients of reimbursements under the Program are performing the work such recipients are required to perform.”</w:t>
      </w:r>
      <w:r>
        <w:rPr>
          <w:rStyle w:val="FootnoteReference"/>
        </w:rPr>
        <w:footnoteReference w:id="211"/>
      </w:r>
      <w:r>
        <w:t xml:space="preserve">  In the </w:t>
      </w:r>
      <w:r>
        <w:rPr>
          <w:i/>
          <w:iCs/>
        </w:rPr>
        <w:t>2020 Supply Chain Order</w:t>
      </w:r>
      <w:r>
        <w:t>,</w:t>
      </w:r>
      <w:r>
        <w:t xml:space="preserve"> the Commission adopted a number of measures as directed by the Secure Networks Act to combat waste, fraud, and abuse, including requiring audits, reviews, and field inspections.</w:t>
      </w:r>
      <w:r>
        <w:rPr>
          <w:rStyle w:val="FootnoteReference"/>
        </w:rPr>
        <w:footnoteReference w:id="212"/>
      </w:r>
      <w:r>
        <w:t xml:space="preserve">  In particular, the Commission directed the Office of the Managing Director</w:t>
      </w:r>
      <w:r>
        <w:t xml:space="preserve"> (OMD), or a third-party identified by OMD, to prepare a system to audit Reimbursement Program recipients to ensure compliance with the Commission’s rules.</w:t>
      </w:r>
      <w:r>
        <w:rPr>
          <w:rStyle w:val="FootnoteReference"/>
        </w:rPr>
        <w:footnoteReference w:id="213"/>
      </w:r>
      <w:r>
        <w:t xml:space="preserve">  Recipients are subject to audits and other investigations to evaluate their compliance with the s</w:t>
      </w:r>
      <w:r>
        <w:t>tatutory and regulatory requirements for the program.</w:t>
      </w:r>
      <w:r>
        <w:rPr>
          <w:rStyle w:val="FootnoteReference"/>
        </w:rPr>
        <w:footnoteReference w:id="214"/>
      </w:r>
      <w:r>
        <w:t xml:space="preserve">  To facilitate audits and field investigations, recipients must provide consent to allow vendors or contractors used by the recipient to release confidential information to the auditor, reviewer, or o</w:t>
      </w:r>
      <w:r>
        <w:t>ther representative.</w:t>
      </w:r>
      <w:r>
        <w:rPr>
          <w:rStyle w:val="FootnoteReference"/>
        </w:rPr>
        <w:footnoteReference w:id="215"/>
      </w:r>
      <w:r>
        <w:t xml:space="preserve">  Recipients must also allow any representative appointed by the Commission to enter the premises of the recipient to conduct compliance inspections.</w:t>
      </w:r>
      <w:r>
        <w:rPr>
          <w:rStyle w:val="FootnoteReference"/>
        </w:rPr>
        <w:footnoteReference w:id="216"/>
      </w:r>
      <w:r>
        <w:t xml:space="preserve">  </w:t>
      </w:r>
    </w:p>
    <w:p w:rsidR="00C736CB" w:rsidRPr="00200376" w:rsidP="00C736CB" w14:paraId="79A6DD9D" w14:textId="77777777">
      <w:pPr>
        <w:pStyle w:val="ParaNum"/>
        <w:tabs>
          <w:tab w:val="left" w:pos="1440"/>
        </w:tabs>
      </w:pPr>
      <w:r w:rsidRPr="00192310">
        <w:t xml:space="preserve">In </w:t>
      </w:r>
      <w:r>
        <w:t xml:space="preserve">the </w:t>
      </w:r>
      <w:r w:rsidRPr="00BA03CA">
        <w:rPr>
          <w:i/>
          <w:iCs/>
        </w:rPr>
        <w:t>2021 Supply Chain Order</w:t>
      </w:r>
      <w:r w:rsidRPr="00192310">
        <w:t xml:space="preserve">, </w:t>
      </w:r>
      <w:r>
        <w:t xml:space="preserve">the Commission </w:t>
      </w:r>
      <w:r w:rsidRPr="00192310">
        <w:t>delegate</w:t>
      </w:r>
      <w:r>
        <w:t>d</w:t>
      </w:r>
      <w:r w:rsidRPr="00192310">
        <w:t xml:space="preserve"> financial oversight of </w:t>
      </w:r>
      <w:r w:rsidRPr="00192310">
        <w:t>the Reimbursement Program to OMD</w:t>
      </w:r>
      <w:r>
        <w:t xml:space="preserve">, </w:t>
      </w:r>
      <w:r w:rsidRPr="00192310">
        <w:t>in coordination with the</w:t>
      </w:r>
      <w:r>
        <w:t xml:space="preserve"> Bureau and the Reimbursement Program Fund Administrator, </w:t>
      </w:r>
      <w:r w:rsidRPr="00192310">
        <w:t>to ensure that all financial aspects of the program have adequate internal controls.</w:t>
      </w:r>
      <w:r>
        <w:rPr>
          <w:rStyle w:val="FootnoteReference"/>
        </w:rPr>
        <w:footnoteReference w:id="217"/>
      </w:r>
      <w:r>
        <w:t xml:space="preserve">  </w:t>
      </w:r>
      <w:r w:rsidRPr="00192310">
        <w:t xml:space="preserve">OMD, in coordination </w:t>
      </w:r>
      <w:r>
        <w:t>the</w:t>
      </w:r>
      <w:r w:rsidRPr="00192310">
        <w:t xml:space="preserve"> Bureau, may issue additiona</w:t>
      </w:r>
      <w:r w:rsidRPr="00192310">
        <w:t>l directions to</w:t>
      </w:r>
      <w:r>
        <w:t xml:space="preserve"> the</w:t>
      </w:r>
      <w:r w:rsidRPr="00192310">
        <w:t xml:space="preserve"> </w:t>
      </w:r>
      <w:r>
        <w:t xml:space="preserve">Reimbursement </w:t>
      </w:r>
      <w:r w:rsidRPr="00192310">
        <w:t xml:space="preserve">Program </w:t>
      </w:r>
      <w:r>
        <w:t xml:space="preserve">Fund </w:t>
      </w:r>
      <w:r w:rsidRPr="00192310">
        <w:t>Administrator and program participants in furtherance of its responsibilities.</w:t>
      </w:r>
      <w:r>
        <w:rPr>
          <w:rStyle w:val="FootnoteReference"/>
        </w:rPr>
        <w:footnoteReference w:id="218"/>
      </w:r>
      <w:r w:rsidRPr="00192310">
        <w:t xml:space="preserve"> </w:t>
      </w:r>
      <w:r>
        <w:t xml:space="preserve"> We will continue to work with OMD, any third-party identified by OMD, and the Reimbursement Program Fund Administrator to devel</w:t>
      </w:r>
      <w:r>
        <w:t xml:space="preserve">op an audit, review, and field investigations process for the Reimbursement Program to protect against waste, fraud, and abuse.  Pursuant to the </w:t>
      </w:r>
      <w:r w:rsidRPr="008B38A3">
        <w:rPr>
          <w:i/>
          <w:iCs/>
        </w:rPr>
        <w:t>2020 Supply Chain Order</w:t>
      </w:r>
      <w:r>
        <w:t>, participants must allow any representative appointed by the Commission to enter the pa</w:t>
      </w:r>
      <w:r>
        <w:t>rticipant’s premises to conduct compliance inspections so, at a minimum, the audit process may include site visits to participant’s premises to conduct these compliance inspections.</w:t>
      </w:r>
      <w:r>
        <w:rPr>
          <w:rStyle w:val="FootnoteReference"/>
        </w:rPr>
        <w:footnoteReference w:id="219"/>
      </w:r>
    </w:p>
    <w:p w:rsidR="00C736CB" w:rsidP="00C736CB" w14:paraId="1190C719" w14:textId="482BBA1C">
      <w:pPr>
        <w:pStyle w:val="Heading2"/>
      </w:pPr>
      <w:bookmarkStart w:id="103" w:name="_Toc75940351"/>
      <w:bookmarkStart w:id="104" w:name="_Toc76912054"/>
      <w:bookmarkStart w:id="105" w:name="_Toc76912145"/>
      <w:bookmarkStart w:id="106" w:name="_Toc78364560"/>
      <w:bookmarkStart w:id="107" w:name="_Toc78815425"/>
      <w:bookmarkStart w:id="108" w:name="_Toc78815573"/>
      <w:r>
        <w:t>Catalog of Eligible Expenses</w:t>
      </w:r>
      <w:bookmarkEnd w:id="103"/>
      <w:r>
        <w:t xml:space="preserve"> and Estimated Costs</w:t>
      </w:r>
      <w:bookmarkEnd w:id="104"/>
      <w:bookmarkEnd w:id="105"/>
      <w:bookmarkEnd w:id="106"/>
      <w:bookmarkEnd w:id="107"/>
      <w:bookmarkEnd w:id="108"/>
    </w:p>
    <w:p w:rsidR="00C736CB" w:rsidRPr="0086528B" w:rsidP="00C736CB" w14:paraId="7A32D5AE" w14:textId="77777777">
      <w:pPr>
        <w:pStyle w:val="ParaNum"/>
        <w:tabs>
          <w:tab w:val="left" w:pos="1440"/>
        </w:tabs>
      </w:pPr>
      <w:r>
        <w:t>In this section, we ado</w:t>
      </w:r>
      <w:r>
        <w:t xml:space="preserve">pt a final Catalog which applicants may rely on, where applicable, when submitting cost estimates in their Application Request for Funding Allocation, and we provide </w:t>
      </w:r>
      <w:r>
        <w:t>additional guidance regarding whether certain costs are reasonably incurred and may be rei</w:t>
      </w:r>
      <w:r>
        <w:t xml:space="preserve">mbursable under the Reimbursement Program.  </w:t>
      </w:r>
    </w:p>
    <w:p w:rsidR="00C736CB" w:rsidRPr="009B30CC" w:rsidP="00C736CB" w14:paraId="0B3C7EFB" w14:textId="77777777">
      <w:pPr>
        <w:pStyle w:val="ParaNum"/>
        <w:tabs>
          <w:tab w:val="left" w:pos="1440"/>
        </w:tabs>
      </w:pPr>
      <w:r>
        <w:t>Section 4(d)(1) of the Secure Networks Act requires the Commission to “develop a list of suggested replacements” for covered equipment and services and for applicants to submit “initial reimbursement cost estima</w:t>
      </w:r>
      <w:r>
        <w:t>te[s] at the time of application.”</w:t>
      </w:r>
      <w:r>
        <w:rPr>
          <w:rStyle w:val="FootnoteReference"/>
        </w:rPr>
        <w:footnoteReference w:id="220"/>
      </w:r>
      <w:r>
        <w:t xml:space="preserve">  To accomplish this objective, t</w:t>
      </w:r>
      <w:r w:rsidRPr="713B60C4">
        <w:t>he Commission delegated authority to the Bure</w:t>
      </w:r>
      <w:r w:rsidRPr="00F06477">
        <w:t xml:space="preserve">au to develop and finalize a </w:t>
      </w:r>
      <w:r>
        <w:t xml:space="preserve">Cost </w:t>
      </w:r>
      <w:r w:rsidRPr="00F06477">
        <w:t>Catalog</w:t>
      </w:r>
      <w:r>
        <w:t xml:space="preserve"> in the </w:t>
      </w:r>
      <w:r w:rsidRPr="0071489F">
        <w:rPr>
          <w:i/>
          <w:iCs/>
        </w:rPr>
        <w:t>2020 Supply Chain Order</w:t>
      </w:r>
      <w:r w:rsidRPr="00F06477">
        <w:t>.</w:t>
      </w:r>
      <w:r>
        <w:rPr>
          <w:rStyle w:val="FootnoteReference"/>
        </w:rPr>
        <w:footnoteReference w:id="221"/>
      </w:r>
      <w:r w:rsidRPr="0086528B">
        <w:rPr>
          <w:szCs w:val="22"/>
        </w:rPr>
        <w:t xml:space="preserve">  </w:t>
      </w:r>
      <w:r w:rsidRPr="008B38A3">
        <w:t xml:space="preserve">The Commission’s rules provide that eligible providers may </w:t>
      </w:r>
      <w:r w:rsidRPr="008B38A3">
        <w:t>rely upon the predetermined estimated costs identified in the Catalog when submitting their cost estimates with their requests for funding allocation.</w:t>
      </w:r>
      <w:r>
        <w:rPr>
          <w:rStyle w:val="FootnoteReference"/>
          <w:shd w:val="clear" w:color="auto" w:fill="FFFFFF"/>
        </w:rPr>
        <w:footnoteReference w:id="222"/>
      </w:r>
      <w:r w:rsidRPr="008B38A3">
        <w:t xml:space="preserve">  </w:t>
      </w:r>
      <w:r w:rsidRPr="713B60C4">
        <w:t xml:space="preserve">The </w:t>
      </w:r>
      <w:r w:rsidRPr="00F06477">
        <w:t>Bureau</w:t>
      </w:r>
      <w:r w:rsidRPr="007647BB">
        <w:t xml:space="preserve"> contracted with Widelity to produce a preliminary catalog containing a non-exhaustive list </w:t>
      </w:r>
      <w:r w:rsidRPr="007647BB">
        <w:t>of cost categories and a range of cost estimates for communications equipment and services p</w:t>
      </w:r>
      <w:r w:rsidRPr="00C73C3E">
        <w:t>otentially eligible for reimbursement.</w:t>
      </w:r>
      <w:r>
        <w:rPr>
          <w:rStyle w:val="FootnoteReference"/>
        </w:rPr>
        <w:footnoteReference w:id="223"/>
      </w:r>
      <w:r w:rsidRPr="002D290C">
        <w:t xml:space="preserve"> </w:t>
      </w:r>
      <w:r>
        <w:t xml:space="preserve"> </w:t>
      </w:r>
      <w:r w:rsidRPr="00F06477">
        <w:t xml:space="preserve">Widelity </w:t>
      </w:r>
      <w:r w:rsidRPr="007647BB">
        <w:t>developed the preliminary c</w:t>
      </w:r>
      <w:r w:rsidRPr="00C73C3E">
        <w:t>atalog based on a series of confidential interviews with communications industry stake</w:t>
      </w:r>
      <w:r w:rsidRPr="00C73C3E">
        <w:t xml:space="preserve">holders to understand the process and costs associated with removing, replacing, and </w:t>
      </w:r>
      <w:r w:rsidRPr="00913B0A">
        <w:t>disposing of covered communications equipment and services.</w:t>
      </w:r>
      <w:r>
        <w:rPr>
          <w:rStyle w:val="FootnoteReference"/>
        </w:rPr>
        <w:footnoteReference w:id="224"/>
      </w:r>
      <w:r w:rsidRPr="00D3685F">
        <w:t xml:space="preserve"> </w:t>
      </w:r>
      <w:r>
        <w:t xml:space="preserve"> </w:t>
      </w:r>
      <w:r w:rsidRPr="00F06477">
        <w:t xml:space="preserve">In the </w:t>
      </w:r>
      <w:r w:rsidRPr="007647BB">
        <w:rPr>
          <w:i/>
        </w:rPr>
        <w:t>Catalog Public Notice</w:t>
      </w:r>
      <w:r w:rsidRPr="007647BB">
        <w:t xml:space="preserve">, the Bureau sought comment on the preliminary </w:t>
      </w:r>
      <w:r w:rsidRPr="00C73C3E">
        <w:t>catalog,</w:t>
      </w:r>
      <w:r w:rsidRPr="00913B0A">
        <w:t xml:space="preserve"> </w:t>
      </w:r>
      <w:r w:rsidRPr="008A6775">
        <w:t xml:space="preserve">the suggested ranges of </w:t>
      </w:r>
      <w:r w:rsidRPr="008A6775">
        <w:t xml:space="preserve">estimated costs and cost categories identified </w:t>
      </w:r>
      <w:r w:rsidRPr="003004C4">
        <w:t>therein</w:t>
      </w:r>
      <w:r w:rsidRPr="00052C93">
        <w:t>,</w:t>
      </w:r>
      <w:r w:rsidRPr="00052C93">
        <w:rPr>
          <w:szCs w:val="22"/>
        </w:rPr>
        <w:t xml:space="preserve"> </w:t>
      </w:r>
      <w:r w:rsidRPr="00565383">
        <w:t>and how the Catalog should inform the Reimbursement Program.</w:t>
      </w:r>
      <w:r>
        <w:rPr>
          <w:rStyle w:val="FootnoteReference"/>
        </w:rPr>
        <w:footnoteReference w:id="225"/>
      </w:r>
      <w:r w:rsidRPr="0086528B">
        <w:rPr>
          <w:szCs w:val="22"/>
        </w:rPr>
        <w:t xml:space="preserve">  </w:t>
      </w:r>
      <w:r w:rsidRPr="713B60C4">
        <w:t xml:space="preserve">Widelity subsequently conducted a thorough review of the preliminary </w:t>
      </w:r>
      <w:r w:rsidRPr="00F06477">
        <w:t>c</w:t>
      </w:r>
      <w:r w:rsidRPr="007647BB">
        <w:t xml:space="preserve">atalog, based on comments received in response to the </w:t>
      </w:r>
      <w:r w:rsidRPr="00C73C3E">
        <w:rPr>
          <w:i/>
        </w:rPr>
        <w:t>Catalog Publ</w:t>
      </w:r>
      <w:r w:rsidRPr="00C73C3E">
        <w:rPr>
          <w:i/>
        </w:rPr>
        <w:t>ic Notice,</w:t>
      </w:r>
      <w:r w:rsidRPr="00C73C3E">
        <w:t xml:space="preserve"> and </w:t>
      </w:r>
      <w:r w:rsidRPr="009B30CC">
        <w:t>conducted additional engagement with communications industry stakeholders and the Bureau, resulting in additional improvements to the Catalog</w:t>
      </w:r>
      <w:r w:rsidRPr="009B30CC">
        <w:rPr>
          <w:szCs w:val="22"/>
        </w:rPr>
        <w:t xml:space="preserve">. </w:t>
      </w:r>
    </w:p>
    <w:p w:rsidR="00C736CB" w:rsidRPr="0086528B" w:rsidP="00C736CB" w14:paraId="2AE025F2" w14:textId="77777777">
      <w:pPr>
        <w:pStyle w:val="ParaNum"/>
        <w:tabs>
          <w:tab w:val="left" w:pos="1440"/>
        </w:tabs>
      </w:pPr>
      <w:r>
        <w:t xml:space="preserve">After considering comments received in response to the </w:t>
      </w:r>
      <w:r w:rsidRPr="713B60C4">
        <w:rPr>
          <w:i/>
        </w:rPr>
        <w:t xml:space="preserve">Catalog Public Notice </w:t>
      </w:r>
      <w:r>
        <w:t xml:space="preserve">and in consultation </w:t>
      </w:r>
      <w:r>
        <w:t>with Widelity, we revise and finalize the Catalog as set forth in Appendix C.  The final Catalog includes as an attachment a chart indexing changes from the preliminary catalog to the final Catalog.  In particular, we added an index number to reference lin</w:t>
      </w:r>
      <w:r>
        <w:t xml:space="preserve">e item cost categories, clarified certain expenses that we find are highly variable, clarified units of measurement, clarified cost categories and descriptions, amended certain ranges of cost estimates, and corrected typographical errors.  For the reasons </w:t>
      </w:r>
      <w:r>
        <w:t>discussed below, the Bureau adopts the Catalog in Appendix C for use in the Reimbursement Program.  The Catalog will be made available on the Commission’s website, and the line items and cost estimate averages taken from the ranges identified in the Catalo</w:t>
      </w:r>
      <w:r>
        <w:t xml:space="preserve">g will be incorporated into the online filing portal for use by applicants when completing the FCC Form 5640, Application Request for Funding Allocation.  </w:t>
      </w:r>
    </w:p>
    <w:p w:rsidR="00C736CB" w:rsidP="00C736CB" w14:paraId="741C88AE" w14:textId="77777777">
      <w:pPr>
        <w:pStyle w:val="ParaNum"/>
        <w:tabs>
          <w:tab w:val="left" w:pos="1440"/>
        </w:tabs>
      </w:pPr>
      <w:r>
        <w:t xml:space="preserve">The Catalog identifies cost </w:t>
      </w:r>
      <w:r w:rsidRPr="0086528B">
        <w:t xml:space="preserve">categories and </w:t>
      </w:r>
      <w:r>
        <w:t>a range of estimated costs that providers of advanced com</w:t>
      </w:r>
      <w:r>
        <w:t xml:space="preserve">munications services would typically incur when removing, replacing, and disposing of covered communications equipment or service.  </w:t>
      </w:r>
      <w:r w:rsidRPr="0086528B">
        <w:t xml:space="preserve">We emphasize the Catalog is </w:t>
      </w:r>
      <w:r>
        <w:t>not intended to be a definitive or exhaustive list of all reimbursable expenses but rather is</w:t>
      </w:r>
      <w:r w:rsidRPr="0086528B">
        <w:t xml:space="preserve"> </w:t>
      </w:r>
      <w:r>
        <w:t xml:space="preserve">an additional tool </w:t>
      </w:r>
      <w:r w:rsidRPr="0086528B">
        <w:t xml:space="preserve">to </w:t>
      </w:r>
      <w:r>
        <w:t>help applicants with their application submissions.</w:t>
      </w:r>
      <w:r>
        <w:rPr>
          <w:rStyle w:val="FootnoteReference"/>
        </w:rPr>
        <w:footnoteReference w:id="226"/>
      </w:r>
      <w:r>
        <w:t xml:space="preserve">  I</w:t>
      </w:r>
      <w:r w:rsidRPr="0086528B">
        <w:t xml:space="preserve">nclusion or exclusion </w:t>
      </w:r>
      <w:r>
        <w:t xml:space="preserve">in the Catalog </w:t>
      </w:r>
      <w:r w:rsidRPr="0086528B">
        <w:t xml:space="preserve">of a particular category of costs should not be </w:t>
      </w:r>
      <w:r>
        <w:t>interpreted</w:t>
      </w:r>
      <w:r w:rsidRPr="0086528B">
        <w:t xml:space="preserve"> </w:t>
      </w:r>
      <w:r>
        <w:t xml:space="preserve">as a determination whether </w:t>
      </w:r>
      <w:r w:rsidRPr="0086528B">
        <w:t>the expense will be eligible for reimbursement.</w:t>
      </w:r>
      <w:r>
        <w:rPr>
          <w:rStyle w:val="FootnoteReference"/>
        </w:rPr>
        <w:footnoteReference w:id="227"/>
      </w:r>
      <w:r w:rsidRPr="0086528B">
        <w:t xml:space="preserve">  </w:t>
      </w:r>
      <w:r>
        <w:t>A</w:t>
      </w:r>
      <w:r w:rsidRPr="0086528B">
        <w:t>pp</w:t>
      </w:r>
      <w:r w:rsidRPr="0086528B">
        <w:t xml:space="preserve">licants may reference the line item cost estimates identified in the Catalog when </w:t>
      </w:r>
      <w:r w:rsidRPr="0086528B">
        <w:t>submitting their initial cost estimates.</w:t>
      </w:r>
      <w:r>
        <w:rPr>
          <w:rStyle w:val="FootnoteReference"/>
        </w:rPr>
        <w:footnoteReference w:id="228"/>
      </w:r>
      <w:r w:rsidRPr="0086528B">
        <w:t xml:space="preserve">  </w:t>
      </w:r>
      <w:r>
        <w:t>Consistent with the Secure Networks Act, applicants relying on the Catalog when requesting a funding allocation will still be requ</w:t>
      </w:r>
      <w:r>
        <w:t>ired to provide supporting materials substantiating their cost estimates with documentation such as quotes or invoices before receiving a disbursement of funds for reimbursement.</w:t>
      </w:r>
      <w:r>
        <w:rPr>
          <w:rStyle w:val="FootnoteReference"/>
          <w:szCs w:val="22"/>
        </w:rPr>
        <w:footnoteReference w:id="229"/>
      </w:r>
      <w:r>
        <w:t xml:space="preserve">  </w:t>
      </w:r>
      <w:r w:rsidRPr="0086528B">
        <w:t xml:space="preserve">To the extent that certain </w:t>
      </w:r>
      <w:r>
        <w:t xml:space="preserve">reimbursable expenses </w:t>
      </w:r>
      <w:r w:rsidRPr="0086528B">
        <w:t>are not explicitly listed</w:t>
      </w:r>
      <w:r w:rsidRPr="0086528B">
        <w:t xml:space="preserve"> in the Catalog</w:t>
      </w:r>
      <w:r>
        <w:t xml:space="preserve"> or certain cost categories do not fully account for an applicant’s reimbursable expenses</w:t>
      </w:r>
      <w:r w:rsidRPr="0086528B">
        <w:t xml:space="preserve">, applicants </w:t>
      </w:r>
      <w:r>
        <w:t xml:space="preserve">may </w:t>
      </w:r>
      <w:r w:rsidRPr="0086528B">
        <w:t>request reimbursement</w:t>
      </w:r>
      <w:r>
        <w:t xml:space="preserve"> by submitting individualized cost estimates, </w:t>
      </w:r>
      <w:r w:rsidRPr="00ED60DA">
        <w:t>with</w:t>
      </w:r>
      <w:r>
        <w:t xml:space="preserve"> supporting materials substantiating the costs.</w:t>
      </w:r>
      <w:r>
        <w:rPr>
          <w:rStyle w:val="FootnoteReference"/>
        </w:rPr>
        <w:footnoteReference w:id="230"/>
      </w:r>
      <w:r>
        <w:t xml:space="preserve">  </w:t>
      </w:r>
      <w:r w:rsidRPr="0086528B">
        <w:t>The cost esti</w:t>
      </w:r>
      <w:r w:rsidRPr="0086528B">
        <w:t>mates identified in the final Catalog</w:t>
      </w:r>
      <w:r>
        <w:t xml:space="preserve"> </w:t>
      </w:r>
      <w:r w:rsidRPr="0086528B">
        <w:t xml:space="preserve">do not guarantee </w:t>
      </w:r>
      <w:r>
        <w:t xml:space="preserve">the ultimate disbursement of funds </w:t>
      </w:r>
      <w:r w:rsidRPr="0086528B">
        <w:t>for any individual expense.</w:t>
      </w:r>
      <w:r>
        <w:rPr>
          <w:rStyle w:val="FootnoteReference"/>
        </w:rPr>
        <w:footnoteReference w:id="231"/>
      </w:r>
      <w:r w:rsidRPr="0086528B">
        <w:t xml:space="preserve">  </w:t>
      </w:r>
      <w:r>
        <w:t>Participants’ requests for reimbursement will be evaluated based on supporting documentation regardless of whether the initial cost est</w:t>
      </w:r>
      <w:r>
        <w:t xml:space="preserve">imates were based on the Catalog or individualized cost estimates.   </w:t>
      </w:r>
    </w:p>
    <w:p w:rsidR="00C736CB" w:rsidRPr="0086528B" w:rsidP="00C736CB" w14:paraId="05B47E44" w14:textId="77777777">
      <w:pPr>
        <w:pStyle w:val="ParaNum"/>
        <w:widowControl/>
        <w:tabs>
          <w:tab w:val="left" w:pos="1440"/>
        </w:tabs>
      </w:pPr>
      <w:r w:rsidRPr="713B60C4">
        <w:t>As noted above, cost estimates based on the Catalog will be the average of the low- and high-end range of cost estimates identified in the Catalog.  If an applicant believes a cost estim</w:t>
      </w:r>
      <w:r w:rsidRPr="713B60C4">
        <w:t xml:space="preserve">ate identified in the Catalog does not fully account for its specific circumstances or a cost category is not identified in the Catalog, the applicant may provide an individualized cost estimate.  Applicants providing individualized cost estimates will be </w:t>
      </w:r>
      <w:r w:rsidRPr="713B60C4">
        <w:t>required to submit additional supporting documentation (e.g., vendor quotes) and certify that the cost estimate is made in good faith.</w:t>
      </w:r>
      <w:r>
        <w:rPr>
          <w:rStyle w:val="FootnoteReference"/>
        </w:rPr>
        <w:footnoteReference w:id="232"/>
      </w:r>
      <w:r w:rsidRPr="713B60C4">
        <w:t xml:space="preserve">  All cost estimates are subject to review by Commission staff, with the assistance of the Reimbursement Program Fund Ad</w:t>
      </w:r>
      <w:r w:rsidRPr="713B60C4">
        <w:t>ministrator,</w:t>
      </w:r>
      <w:r>
        <w:rPr>
          <w:szCs w:val="22"/>
        </w:rPr>
        <w:t xml:space="preserve"> </w:t>
      </w:r>
      <w:r w:rsidRPr="713B60C4">
        <w:t>to ensure that an expense is eligible for reimbursement</w:t>
      </w:r>
      <w:r w:rsidRPr="0086528B">
        <w:rPr>
          <w:szCs w:val="22"/>
        </w:rPr>
        <w:t xml:space="preserve"> </w:t>
      </w:r>
      <w:r w:rsidRPr="713B60C4">
        <w:t>under the costs reasonably incurred standard</w:t>
      </w:r>
      <w:r w:rsidRPr="0086528B">
        <w:rPr>
          <w:szCs w:val="22"/>
        </w:rPr>
        <w:t>.</w:t>
      </w:r>
      <w:r>
        <w:rPr>
          <w:rStyle w:val="FootnoteReference"/>
        </w:rPr>
        <w:footnoteReference w:id="233"/>
      </w:r>
      <w:r w:rsidRPr="0086528B">
        <w:rPr>
          <w:szCs w:val="22"/>
        </w:rPr>
        <w:t xml:space="preserve">  </w:t>
      </w:r>
    </w:p>
    <w:p w:rsidR="00C736CB" w:rsidRPr="0086528B" w:rsidP="00C736CB" w14:paraId="785C9E56" w14:textId="77777777">
      <w:pPr>
        <w:pStyle w:val="ParaNum"/>
        <w:tabs>
          <w:tab w:val="left" w:pos="1440"/>
        </w:tabs>
      </w:pPr>
      <w:r w:rsidRPr="713B60C4">
        <w:t>We received 13 comments in response to the</w:t>
      </w:r>
      <w:r w:rsidRPr="0086528B">
        <w:rPr>
          <w:szCs w:val="22"/>
        </w:rPr>
        <w:t xml:space="preserve"> </w:t>
      </w:r>
      <w:r w:rsidRPr="713B60C4">
        <w:rPr>
          <w:i/>
        </w:rPr>
        <w:t>Catalog Public Notice</w:t>
      </w:r>
      <w:r>
        <w:rPr>
          <w:szCs w:val="22"/>
        </w:rPr>
        <w:t>,</w:t>
      </w:r>
      <w:r w:rsidRPr="713B60C4">
        <w:t xml:space="preserve"> including comments addressing the preliminary catalog.  Comments addres</w:t>
      </w:r>
      <w:r w:rsidRPr="713B60C4">
        <w:t>sing the preliminary catalog were generally favorable</w:t>
      </w:r>
      <w:r>
        <w:t>;</w:t>
      </w:r>
      <w:r>
        <w:rPr>
          <w:rStyle w:val="FootnoteReference"/>
        </w:rPr>
        <w:footnoteReference w:id="234"/>
      </w:r>
      <w:r w:rsidRPr="713B60C4">
        <w:t xml:space="preserve"> however, commenters also proposed changes to the preliminary catalog.  Commenters requested clarifications to the units of measurement for particular cost estimates, requested modifications or clarif</w:t>
      </w:r>
      <w:r w:rsidRPr="713B60C4">
        <w:t>ications to certain cost categories, and requested modifications to certain ranges of cost estimates.  Commenters proposed changes to the access layer, distribution layer, and core layer equipment, as well as software and services.  Commenters also request</w:t>
      </w:r>
      <w:r w:rsidRPr="713B60C4">
        <w:t xml:space="preserve">ed clarification on whether certain costs are reimbursable under the Reimbursement Program.  We address these comments below.  We also highlight modifications to the Catalog proposed by Widelity based on </w:t>
      </w:r>
      <w:r>
        <w:t xml:space="preserve">its </w:t>
      </w:r>
      <w:r w:rsidRPr="713B60C4">
        <w:t>own thorough review of the preliminary catalog a</w:t>
      </w:r>
      <w:r w:rsidRPr="713B60C4">
        <w:t xml:space="preserve">nd additional engagement with communications industry stakeholders. </w:t>
      </w:r>
    </w:p>
    <w:p w:rsidR="00C736CB" w:rsidRPr="0086528B" w:rsidP="00C736CB" w14:paraId="14334CD2" w14:textId="77777777">
      <w:pPr>
        <w:pStyle w:val="ParaNum"/>
        <w:widowControl/>
        <w:tabs>
          <w:tab w:val="left" w:pos="1440"/>
        </w:tabs>
      </w:pPr>
      <w:r w:rsidRPr="713B60C4">
        <w:rPr>
          <w:i/>
        </w:rPr>
        <w:t>Clarifying Units of Measurement</w:t>
      </w:r>
      <w:r w:rsidRPr="0086528B">
        <w:rPr>
          <w:szCs w:val="22"/>
        </w:rPr>
        <w:t xml:space="preserve">.  </w:t>
      </w:r>
      <w:r w:rsidRPr="713B60C4">
        <w:t>USTelecom</w:t>
      </w:r>
      <w:r>
        <w:t>—The Broadband Association (USTelecom)</w:t>
      </w:r>
      <w:r w:rsidRPr="713B60C4">
        <w:t xml:space="preserve"> asked the Commission</w:t>
      </w:r>
      <w:r w:rsidRPr="0086528B">
        <w:rPr>
          <w:szCs w:val="22"/>
        </w:rPr>
        <w:t xml:space="preserve"> </w:t>
      </w:r>
      <w:r w:rsidRPr="713B60C4">
        <w:t xml:space="preserve">to clarify whether wavelength division multiplexing (WDM) and </w:t>
      </w:r>
      <w:r w:rsidRPr="713B60C4">
        <w:t>optical transport netw</w:t>
      </w:r>
      <w:r w:rsidRPr="713B60C4">
        <w:t xml:space="preserve">ork (OTN) equipment “prices are ‘per node’ and </w:t>
      </w:r>
      <w:r>
        <w:rPr>
          <w:szCs w:val="22"/>
        </w:rPr>
        <w:t>…</w:t>
      </w:r>
      <w:r w:rsidRPr="713B60C4">
        <w:t xml:space="preserve"> not ‘per route.’”</w:t>
      </w:r>
      <w:r>
        <w:rPr>
          <w:rStyle w:val="FootnoteReference"/>
        </w:rPr>
        <w:footnoteReference w:id="235"/>
      </w:r>
      <w:r w:rsidRPr="0086528B">
        <w:rPr>
          <w:szCs w:val="22"/>
        </w:rPr>
        <w:t xml:space="preserve">  </w:t>
      </w:r>
      <w:r w:rsidRPr="713B60C4">
        <w:t>WDM and OTN</w:t>
      </w:r>
      <w:r w:rsidRPr="713B60C4">
        <w:t xml:space="preserve"> equipment is typically priced in the communications industry on a per node basis as opposed to per route, and </w:t>
      </w:r>
      <w:r>
        <w:t xml:space="preserve">we </w:t>
      </w:r>
      <w:r w:rsidRPr="713B60C4">
        <w:t>clarify</w:t>
      </w:r>
      <w:r w:rsidRPr="0086528B">
        <w:rPr>
          <w:szCs w:val="22"/>
        </w:rPr>
        <w:t xml:space="preserve"> </w:t>
      </w:r>
      <w:r w:rsidRPr="713B60C4">
        <w:t xml:space="preserve">that the range of cost estimates for WDM and OTN equipment </w:t>
      </w:r>
      <w:r>
        <w:t xml:space="preserve">in the Catalog </w:t>
      </w:r>
      <w:r w:rsidRPr="713B60C4">
        <w:t>is priced on a per node basis</w:t>
      </w:r>
      <w:r w:rsidRPr="0086528B">
        <w:rPr>
          <w:szCs w:val="22"/>
        </w:rPr>
        <w:t>.</w:t>
      </w:r>
      <w:r>
        <w:rPr>
          <w:rStyle w:val="FootnoteReference"/>
        </w:rPr>
        <w:footnoteReference w:id="236"/>
      </w:r>
      <w:r w:rsidRPr="713B60C4">
        <w:t xml:space="preserve">  USTelecom also asked the C</w:t>
      </w:r>
      <w:r w:rsidRPr="713B60C4">
        <w:t>ommission to clarify “whether the range of prices identified in the preliminary Catalog for the ‘existing co</w:t>
      </w:r>
      <w:r>
        <w:t>[]</w:t>
      </w:r>
      <w:r w:rsidRPr="713B60C4">
        <w:t>location’ expense type” are “per-month or a flat fee for each lease.”</w:t>
      </w:r>
      <w:r>
        <w:rPr>
          <w:rStyle w:val="FootnoteReference"/>
        </w:rPr>
        <w:footnoteReference w:id="237"/>
      </w:r>
      <w:r w:rsidRPr="0086528B">
        <w:rPr>
          <w:szCs w:val="22"/>
        </w:rPr>
        <w:t xml:space="preserve">  </w:t>
      </w:r>
      <w:r w:rsidRPr="713B60C4">
        <w:t>Because colocation is typically priced on a per</w:t>
      </w:r>
      <w:r>
        <w:t>-</w:t>
      </w:r>
      <w:r w:rsidRPr="713B60C4">
        <w:t xml:space="preserve">site, flat-fee basis, as </w:t>
      </w:r>
      <w:r w:rsidRPr="713B60C4">
        <w:t>opposed to a per-month basis</w:t>
      </w:r>
      <w:r>
        <w:rPr>
          <w:szCs w:val="22"/>
        </w:rPr>
        <w:t xml:space="preserve">, </w:t>
      </w:r>
      <w:r w:rsidRPr="713B60C4">
        <w:t>we revise the Catalog to clarify that the range of cost estimates for colocation is priced on a per</w:t>
      </w:r>
      <w:r>
        <w:t>-</w:t>
      </w:r>
      <w:r w:rsidRPr="713B60C4">
        <w:t>site basis to more accurately describe the per-unit cost of these expenses</w:t>
      </w:r>
      <w:r w:rsidRPr="0086528B">
        <w:rPr>
          <w:szCs w:val="22"/>
        </w:rPr>
        <w:t>.</w:t>
      </w:r>
      <w:r>
        <w:rPr>
          <w:rStyle w:val="FootnoteReference"/>
        </w:rPr>
        <w:footnoteReference w:id="238"/>
      </w:r>
      <w:r w:rsidRPr="0086528B">
        <w:rPr>
          <w:szCs w:val="22"/>
        </w:rPr>
        <w:t xml:space="preserve">  </w:t>
      </w:r>
    </w:p>
    <w:p w:rsidR="00C736CB" w:rsidRPr="0086528B" w:rsidP="00C736CB" w14:paraId="0F16C645" w14:textId="77777777">
      <w:pPr>
        <w:pStyle w:val="ParaNum"/>
        <w:widowControl/>
        <w:tabs>
          <w:tab w:val="left" w:pos="1440"/>
        </w:tabs>
      </w:pPr>
      <w:r w:rsidRPr="713B60C4">
        <w:rPr>
          <w:i/>
        </w:rPr>
        <w:t>Requests to Include Additional Cost Categories</w:t>
      </w:r>
      <w:r w:rsidRPr="713B60C4">
        <w:t xml:space="preserve">.  </w:t>
      </w:r>
      <w:r>
        <w:t xml:space="preserve">CCA </w:t>
      </w:r>
      <w:r w:rsidRPr="713B60C4">
        <w:t>asked us to “include in the Cost Catalog an entry for preparation of the cell site closeout package, which may include photos, red line/as-built drawings, documents, and other relevant information to confirm that the site has been completed to speci</w:t>
      </w:r>
      <w:r w:rsidRPr="713B60C4">
        <w:t>fied standards and requirements.”</w:t>
      </w:r>
      <w:r>
        <w:rPr>
          <w:rStyle w:val="FootnoteReference"/>
        </w:rPr>
        <w:footnoteReference w:id="239"/>
      </w:r>
      <w:r w:rsidRPr="713B60C4">
        <w:t xml:space="preserve">  We agree.  We find that cell site closeout costs may be reasonably necessary to</w:t>
      </w:r>
      <w:r w:rsidRPr="0086528B">
        <w:rPr>
          <w:szCs w:val="22"/>
        </w:rPr>
        <w:t xml:space="preserve"> </w:t>
      </w:r>
      <w:r w:rsidRPr="713B60C4">
        <w:t xml:space="preserve">remove and replace covered communications equipment or services, and revised the Catalog to include under the “Services,” “Site Work” cost </w:t>
      </w:r>
      <w:r w:rsidRPr="713B60C4">
        <w:t>category, a subcategory for “Closeout Package – Microwave” and general “Closeout Package</w:t>
      </w:r>
      <w:r>
        <w:rPr>
          <w:szCs w:val="22"/>
        </w:rPr>
        <w:t>.</w:t>
      </w:r>
      <w:r w:rsidRPr="0086528B">
        <w:rPr>
          <w:szCs w:val="22"/>
        </w:rPr>
        <w:t>”</w:t>
      </w:r>
      <w:r w:rsidRPr="713B60C4">
        <w:rPr>
          <w:rStyle w:val="FootnoteReference"/>
        </w:rPr>
        <w:t xml:space="preserve"> </w:t>
      </w:r>
      <w:r>
        <w:rPr>
          <w:rStyle w:val="FootnoteReference"/>
        </w:rPr>
        <w:footnoteReference w:id="240"/>
      </w:r>
      <w:r w:rsidRPr="0086528B">
        <w:rPr>
          <w:szCs w:val="22"/>
        </w:rPr>
        <w:t xml:space="preserve"> </w:t>
      </w:r>
      <w:r w:rsidRPr="713B60C4">
        <w:t xml:space="preserve"> The range of cost estimates for these new cost categories </w:t>
      </w:r>
      <w:r>
        <w:t xml:space="preserve">was </w:t>
      </w:r>
      <w:r w:rsidRPr="713B60C4">
        <w:t xml:space="preserve">developed by Widelity based on confidential interviews with communications industry stakeholders.  </w:t>
      </w:r>
    </w:p>
    <w:p w:rsidR="00C736CB" w:rsidRPr="0086528B" w:rsidP="00C736CB" w14:paraId="77C0FE75" w14:textId="77777777">
      <w:pPr>
        <w:pStyle w:val="ParaNum"/>
        <w:widowControl/>
        <w:tabs>
          <w:tab w:val="left" w:pos="1440"/>
        </w:tabs>
      </w:pPr>
      <w:r w:rsidRPr="713B60C4">
        <w:t>RWA</w:t>
      </w:r>
      <w:r w:rsidRPr="713B60C4">
        <w:t xml:space="preserve"> requested we add an “Attorney fees” cost category to the Catalog for “legal fees spent on the advocacy surrounding the development of the rules,” or “legal fees related to the ongoing rulemaking process.”</w:t>
      </w:r>
      <w:r>
        <w:rPr>
          <w:rStyle w:val="FootnoteReference"/>
        </w:rPr>
        <w:footnoteReference w:id="241"/>
      </w:r>
      <w:r w:rsidRPr="0086528B">
        <w:rPr>
          <w:szCs w:val="22"/>
        </w:rPr>
        <w:t xml:space="preserve">  </w:t>
      </w:r>
      <w:r w:rsidRPr="713B60C4">
        <w:t>We note that the preliminary catalog included a</w:t>
      </w:r>
      <w:r w:rsidRPr="713B60C4">
        <w:t xml:space="preserve"> “Participation in FCC Rulemaking” cost category with a range of cost estimates.</w:t>
      </w:r>
      <w:r>
        <w:rPr>
          <w:rStyle w:val="FootnoteReference"/>
        </w:rPr>
        <w:footnoteReference w:id="242"/>
      </w:r>
      <w:r>
        <w:rPr>
          <w:szCs w:val="22"/>
        </w:rPr>
        <w:t xml:space="preserve">  </w:t>
      </w:r>
      <w:r w:rsidRPr="713B60C4">
        <w:t>We deny RWA’s request because attorney’s fees related to the rulemaking proceeding are not reasonably necessary for the removal, replacement, and disposal of covered commun</w:t>
      </w:r>
      <w:r w:rsidRPr="713B60C4">
        <w:t>ications equipment or services.  We modify the Catalog to remove the “Participation in FCC Rulemaking” cost category and range of cost estimates identified in the preliminary Catalog.</w:t>
      </w:r>
      <w:r>
        <w:rPr>
          <w:rStyle w:val="FootnoteReference"/>
        </w:rPr>
        <w:footnoteReference w:id="243"/>
      </w:r>
      <w:r w:rsidRPr="713B60C4">
        <w:t xml:space="preserve">  We clarify, however, that certain attorney’s fees and legal expenses </w:t>
      </w:r>
      <w:r w:rsidRPr="713B60C4">
        <w:t>incurred for purposes of participating in the Reimbursement Program, such as preparing application forms, reimbursement forms, extension requests, and waiver requests, may be reimbursable to the extent they are reasonably incurred for the removal, replacem</w:t>
      </w:r>
      <w:r w:rsidRPr="713B60C4">
        <w:t xml:space="preserve">ent, and disposal of covered communications equipment and services and </w:t>
      </w:r>
      <w:r>
        <w:t xml:space="preserve">the allocation request is </w:t>
      </w:r>
      <w:r w:rsidRPr="713B60C4">
        <w:t>substantiated with supporting documentation.  We also note that, for example, attorney fees associated with negotiating and reviewing vendor contracts and lega</w:t>
      </w:r>
      <w:r w:rsidRPr="713B60C4">
        <w:t>l fees associated with zoning and permitting are included in the Catalog range of cost estimates and potentially eligible for reimbursement.</w:t>
      </w:r>
      <w:r>
        <w:rPr>
          <w:rStyle w:val="FootnoteReference"/>
        </w:rPr>
        <w:footnoteReference w:id="244"/>
      </w:r>
      <w:r w:rsidRPr="0086528B">
        <w:rPr>
          <w:szCs w:val="22"/>
        </w:rPr>
        <w:t xml:space="preserve">  </w:t>
      </w:r>
    </w:p>
    <w:p w:rsidR="00C736CB" w:rsidRPr="00BE5661" w:rsidP="00C736CB" w14:paraId="41EED3F4" w14:textId="77777777">
      <w:pPr>
        <w:pStyle w:val="ParaNum"/>
        <w:widowControl/>
        <w:tabs>
          <w:tab w:val="left" w:pos="1440"/>
        </w:tabs>
      </w:pPr>
      <w:r w:rsidRPr="00BE5661">
        <w:rPr>
          <w:i/>
          <w:iCs/>
        </w:rPr>
        <w:t>Clarifying Reimbursable Expenses</w:t>
      </w:r>
      <w:r w:rsidRPr="00175B7A">
        <w:t>.</w:t>
      </w:r>
      <w:r>
        <w:t xml:space="preserve">  </w:t>
      </w:r>
      <w:r w:rsidRPr="713B60C4">
        <w:t>CCA asked us to provide “additional clarification on allowable reimbursement</w:t>
      </w:r>
      <w:r w:rsidRPr="713B60C4">
        <w:t xml:space="preserve">s for internal employee time, including what type of documentation will be </w:t>
      </w:r>
      <w:r w:rsidRPr="713B60C4">
        <w:t>required.”</w:t>
      </w:r>
      <w:r>
        <w:rPr>
          <w:vertAlign w:val="superscript"/>
        </w:rPr>
        <w:footnoteReference w:id="245"/>
      </w:r>
      <w:r w:rsidRPr="00BE5661">
        <w:rPr>
          <w:szCs w:val="22"/>
        </w:rPr>
        <w:t xml:space="preserve">  </w:t>
      </w:r>
      <w:r w:rsidRPr="713B60C4">
        <w:t>As CCA noted, the preliminary catalog included a range of cost estimates related to internal labor costs</w:t>
      </w:r>
      <w:r>
        <w:t>,</w:t>
      </w:r>
      <w:r w:rsidRPr="00BE5661">
        <w:rPr>
          <w:szCs w:val="22"/>
        </w:rPr>
        <w:t xml:space="preserve"> </w:t>
      </w:r>
      <w:r w:rsidRPr="713B60C4">
        <w:t>including carrier internal project management</w:t>
      </w:r>
      <w:r w:rsidRPr="00BE5661">
        <w:rPr>
          <w:szCs w:val="22"/>
        </w:rPr>
        <w:t>.</w:t>
      </w:r>
      <w:r>
        <w:rPr>
          <w:vertAlign w:val="superscript"/>
        </w:rPr>
        <w:footnoteReference w:id="246"/>
      </w:r>
      <w:r w:rsidRPr="00BE5661">
        <w:rPr>
          <w:szCs w:val="22"/>
        </w:rPr>
        <w:t xml:space="preserve">  </w:t>
      </w:r>
      <w:r w:rsidRPr="713B60C4">
        <w:t xml:space="preserve">We </w:t>
      </w:r>
      <w:r w:rsidRPr="713B60C4">
        <w:t>recognize that the Reimbursement Program will demand significant employee time and resources</w:t>
      </w:r>
      <w:r w:rsidRPr="00BE5661">
        <w:rPr>
          <w:szCs w:val="22"/>
        </w:rPr>
        <w:t xml:space="preserve">.  </w:t>
      </w:r>
      <w:r w:rsidRPr="713B60C4">
        <w:t>Internal labor costs</w:t>
      </w:r>
      <w:r>
        <w:t>,</w:t>
      </w:r>
      <w:r w:rsidRPr="713B60C4">
        <w:t xml:space="preserve"> like other program costs</w:t>
      </w:r>
      <w:r>
        <w:t>,</w:t>
      </w:r>
      <w:r w:rsidRPr="713B60C4">
        <w:t xml:space="preserve"> are reimbursable to the extent they are reasonably incurred removing, replacing, and disposing of covered communi</w:t>
      </w:r>
      <w:r w:rsidRPr="713B60C4">
        <w:t xml:space="preserve">cations equipment and services.  However, </w:t>
      </w:r>
      <w:r>
        <w:t>f</w:t>
      </w:r>
      <w:r w:rsidRPr="713B60C4">
        <w:t>or internal labor costs to be reimbursable, they must be entirely related to transition efforts</w:t>
      </w:r>
      <w:r w:rsidRPr="00BE5661">
        <w:rPr>
          <w:szCs w:val="22"/>
        </w:rPr>
        <w:t xml:space="preserve">, </w:t>
      </w:r>
      <w:r>
        <w:t>that is,</w:t>
      </w:r>
      <w:r w:rsidRPr="713B60C4">
        <w:t xml:space="preserve"> the costs would not have been incurred but for Reimbursement Program participation removing, replacing, and</w:t>
      </w:r>
      <w:r w:rsidRPr="713B60C4">
        <w:t xml:space="preserve"> disposing of covered communications equipment and services</w:t>
      </w:r>
      <w:r w:rsidRPr="00BE5661">
        <w:rPr>
          <w:szCs w:val="22"/>
        </w:rPr>
        <w:t xml:space="preserve">.  </w:t>
      </w:r>
      <w:r>
        <w:t>In other words, participants are only eligible to recover that portion of employee time attributable to transitioning equipment and services, not unrelated employee time or expenses related to o</w:t>
      </w:r>
      <w:r>
        <w:t>verhead.  Labor costs associated with n</w:t>
      </w:r>
      <w:r w:rsidRPr="713B60C4">
        <w:t>ormal system or network maintenance and administration, conducted in the ordinary course of business, are not reimbursable.  We will review internal labor costs with heightened scrutiny to ensure that such expenses ar</w:t>
      </w:r>
      <w:r w:rsidRPr="713B60C4">
        <w:t>e reasonably necessary for removal, replacement, and disposal of covered communications equipment or services</w:t>
      </w:r>
      <w:r>
        <w:t>, and to avoid waste, fraud, and abuse in the Program</w:t>
      </w:r>
      <w:r w:rsidRPr="00BE5661">
        <w:rPr>
          <w:szCs w:val="22"/>
        </w:rPr>
        <w:t xml:space="preserve">.  </w:t>
      </w:r>
      <w:r w:rsidRPr="713B60C4">
        <w:t xml:space="preserve">Generally, we expect cost estimates for internal labor to be lower than cost estimates for </w:t>
      </w:r>
      <w:r w:rsidRPr="713B60C4">
        <w:t xml:space="preserve">outside services for the same work.  </w:t>
      </w:r>
    </w:p>
    <w:p w:rsidR="00C736CB" w:rsidRPr="00B7215C" w:rsidP="00C736CB" w14:paraId="0245FE74" w14:textId="77777777">
      <w:pPr>
        <w:pStyle w:val="ParaNum"/>
        <w:widowControl/>
        <w:tabs>
          <w:tab w:val="left" w:pos="1440"/>
        </w:tabs>
      </w:pPr>
      <w:r w:rsidRPr="713B60C4">
        <w:t>We find that the Catalog adequately identifies and accounts for employee time, i.e. internal labor costs, that could be quantified for a range of cost estimates</w:t>
      </w:r>
      <w:r>
        <w:t xml:space="preserve"> based on pricing data submitted by industry stakeholders </w:t>
      </w:r>
      <w:r>
        <w:t>to Widelity</w:t>
      </w:r>
      <w:r w:rsidRPr="713B60C4">
        <w:t xml:space="preserve">.  For example, the Catalog includes </w:t>
      </w:r>
      <w:r>
        <w:t xml:space="preserve">a range of cost estimates for </w:t>
      </w:r>
      <w:r w:rsidRPr="713B60C4">
        <w:t xml:space="preserve">internal labor </w:t>
      </w:r>
      <w:r>
        <w:t>including p</w:t>
      </w:r>
      <w:r w:rsidRPr="713B60C4">
        <w:t xml:space="preserve">roject </w:t>
      </w:r>
      <w:r>
        <w:t>m</w:t>
      </w:r>
      <w:r w:rsidRPr="713B60C4">
        <w:t>anagement</w:t>
      </w:r>
      <w:r>
        <w:rPr>
          <w:rStyle w:val="FootnoteReference"/>
        </w:rPr>
        <w:footnoteReference w:id="247"/>
      </w:r>
      <w:r w:rsidRPr="713B60C4">
        <w:t xml:space="preserve"> and engineer/staff network operations</w:t>
      </w:r>
      <w:r>
        <w:rPr>
          <w:vertAlign w:val="superscript"/>
        </w:rPr>
        <w:footnoteReference w:id="248"/>
      </w:r>
      <w:r>
        <w:t xml:space="preserve"> which are on a per person per month basis.</w:t>
      </w:r>
      <w:r w:rsidRPr="00B7215C">
        <w:rPr>
          <w:szCs w:val="22"/>
        </w:rPr>
        <w:t xml:space="preserve">  </w:t>
      </w:r>
      <w:r w:rsidRPr="713B60C4">
        <w:t>We make no changes to the Catalog with respect t</w:t>
      </w:r>
      <w:r w:rsidRPr="713B60C4">
        <w:t>o internal labor costs</w:t>
      </w:r>
      <w:r>
        <w:rPr>
          <w:szCs w:val="22"/>
        </w:rPr>
        <w:t xml:space="preserve">.  </w:t>
      </w:r>
      <w:r w:rsidRPr="713B60C4">
        <w:t>Internal labor costs identified in the Catalog</w:t>
      </w:r>
      <w:r>
        <w:rPr>
          <w:szCs w:val="22"/>
        </w:rPr>
        <w:t xml:space="preserve"> </w:t>
      </w:r>
      <w:r w:rsidRPr="713B60C4">
        <w:t>are reimbursable to the extent they are reasonably incurred removing, replacing, and disposing of covered communications equipment and services</w:t>
      </w:r>
      <w:r>
        <w:rPr>
          <w:szCs w:val="22"/>
        </w:rPr>
        <w:t xml:space="preserve">.  </w:t>
      </w:r>
      <w:r w:rsidRPr="713B60C4">
        <w:t xml:space="preserve">Applicants may rely on the Catalog to </w:t>
      </w:r>
      <w:r w:rsidRPr="713B60C4">
        <w:t>estimate internal labor costs</w:t>
      </w:r>
      <w:r>
        <w:rPr>
          <w:szCs w:val="22"/>
        </w:rPr>
        <w:t xml:space="preserve"> </w:t>
      </w:r>
      <w:r w:rsidRPr="713B60C4">
        <w:t>for their application submissions</w:t>
      </w:r>
      <w:r>
        <w:rPr>
          <w:szCs w:val="22"/>
        </w:rPr>
        <w:t xml:space="preserve"> </w:t>
      </w:r>
      <w:r w:rsidRPr="713B60C4">
        <w:t>where applicable but</w:t>
      </w:r>
      <w:r>
        <w:rPr>
          <w:szCs w:val="22"/>
        </w:rPr>
        <w:t xml:space="preserve"> </w:t>
      </w:r>
      <w:r>
        <w:t xml:space="preserve">will </w:t>
      </w:r>
      <w:r w:rsidRPr="713B60C4">
        <w:t>be required to submit additional documentation accounting for actual costs during the reimbursement stage to ensure that reimbursement funds are entirely related to t</w:t>
      </w:r>
      <w:r w:rsidRPr="713B60C4">
        <w:t>ransition efforts</w:t>
      </w:r>
      <w:r>
        <w:rPr>
          <w:szCs w:val="22"/>
        </w:rPr>
        <w:t>.</w:t>
      </w:r>
    </w:p>
    <w:p w:rsidR="00C736CB" w:rsidRPr="00330B28" w:rsidP="00C736CB" w14:paraId="523F4E34" w14:textId="77777777">
      <w:pPr>
        <w:pStyle w:val="ParaNum"/>
        <w:tabs>
          <w:tab w:val="left" w:pos="1440"/>
        </w:tabs>
      </w:pPr>
      <w:r w:rsidRPr="713B60C4">
        <w:t>Applicants seeking reimbursement for internal labor costs that are not identified in the Catalog will be required to submit individualized cost estimates and documentation and certify that the estimates are made in good faith.</w:t>
      </w:r>
      <w:r>
        <w:rPr>
          <w:rStyle w:val="FootnoteReference"/>
        </w:rPr>
        <w:footnoteReference w:id="249"/>
      </w:r>
      <w:r w:rsidRPr="713B60C4">
        <w:t xml:space="preserve">  In part</w:t>
      </w:r>
      <w:r w:rsidRPr="713B60C4">
        <w:t xml:space="preserve">icular, to ensure that internal labor costs are entirely related to transition efforts, such costs must be estimated on a per-hour and per-project basis, providing both an estimate of labor hours to be incurred for each project and the internal labor rate </w:t>
      </w:r>
      <w:r w:rsidRPr="713B60C4">
        <w:t>to be used.  Evidence of the salary/hourly rate of internal labor must be provided to establish the reimbursable portion of labor costs.  Labor rates may be inclusive of salary and</w:t>
      </w:r>
      <w:r w:rsidRPr="00B7215C">
        <w:rPr>
          <w:szCs w:val="22"/>
        </w:rPr>
        <w:t xml:space="preserve"> </w:t>
      </w:r>
      <w:r w:rsidRPr="713B60C4">
        <w:t>benefits.  When submitting cost estimates for internal labor costs, the app</w:t>
      </w:r>
      <w:r w:rsidRPr="713B60C4">
        <w:t>licant should provide the employee hourly rates, a description of the work performed, and the number of hours to be worked (e.g. copies of employee timesheets or paystubs with hours worked, and Internal Revenue Service Form W-2, Wage and Tax Statement</w:t>
      </w:r>
      <w:r w:rsidRPr="00B7215C">
        <w:rPr>
          <w:szCs w:val="22"/>
        </w:rPr>
        <w:t xml:space="preserve">).  </w:t>
      </w:r>
    </w:p>
    <w:p w:rsidR="00C736CB" w:rsidRPr="00175B7A" w:rsidP="00C736CB" w14:paraId="61A80538" w14:textId="77777777">
      <w:pPr>
        <w:pStyle w:val="ParaNum"/>
        <w:tabs>
          <w:tab w:val="left" w:pos="1440"/>
        </w:tabs>
      </w:pPr>
      <w:r>
        <w:t>The Bureau will exercise its discretion in determining whether the hours and/or labor rates satisfy the costs reasonably incurred standard.  When submitting actual costs for reimbursement for internal labor, participants should provide: a report listing th</w:t>
      </w:r>
      <w:r>
        <w:t xml:space="preserve">e hours incurred for each transition task, the applicable labor rate, and the resulting cost; and copies of employee timesheets showing hours worked on </w:t>
      </w:r>
      <w:r>
        <w:t>each transition task, by day.  Timesheet hours must match the totals reported by the task above. Timeshe</w:t>
      </w:r>
      <w:r>
        <w:t>ets either may come from the participants’ time and expense reporting systems or can be manually prepared using spreadsheets or other means.  The Bureau may request additional supporting information for internal labor costs, such as payroll, human resource</w:t>
      </w:r>
      <w:r>
        <w:t>s, or financial records.</w:t>
      </w:r>
    </w:p>
    <w:p w:rsidR="00C736CB" w:rsidP="00C736CB" w14:paraId="05DD2E82" w14:textId="77777777">
      <w:pPr>
        <w:pStyle w:val="ParaNum"/>
        <w:widowControl/>
        <w:tabs>
          <w:tab w:val="left" w:pos="1440"/>
        </w:tabs>
      </w:pPr>
      <w:r w:rsidRPr="713B60C4">
        <w:t>RWA argues that</w:t>
      </w:r>
      <w:r w:rsidRPr="0086528B">
        <w:rPr>
          <w:szCs w:val="22"/>
        </w:rPr>
        <w:t xml:space="preserve"> </w:t>
      </w:r>
      <w:r w:rsidRPr="713B60C4">
        <w:t>costs associated with “long term maintenance contracts or managed service contracts to maintain and operate Huawei and ZTE networks</w:t>
      </w:r>
      <w:r>
        <w:t xml:space="preserve"> may need to be terminated prior to the service terms being completed and that the c</w:t>
      </w:r>
      <w:r>
        <w:t xml:space="preserve">osts associated with the termination . . . </w:t>
      </w:r>
      <w:r w:rsidRPr="713B60C4">
        <w:t>should be reimbursed as part of the costs associated with replacing the networks.</w:t>
      </w:r>
      <w:r w:rsidRPr="0086528B">
        <w:rPr>
          <w:szCs w:val="22"/>
        </w:rPr>
        <w:t>”</w:t>
      </w:r>
      <w:r>
        <w:rPr>
          <w:rStyle w:val="FootnoteReference"/>
        </w:rPr>
        <w:footnoteReference w:id="250"/>
      </w:r>
      <w:r w:rsidRPr="0086528B">
        <w:rPr>
          <w:szCs w:val="22"/>
        </w:rPr>
        <w:t xml:space="preserve"> </w:t>
      </w:r>
      <w:r w:rsidRPr="713B60C4">
        <w:t xml:space="preserve"> Observing that “other prepaid service contracts</w:t>
      </w:r>
      <w:r>
        <w:rPr>
          <w:szCs w:val="22"/>
        </w:rPr>
        <w:t xml:space="preserve"> </w:t>
      </w:r>
      <w:r w:rsidRPr="713B60C4">
        <w:t>may need to be terminated prior to the service terms being completed</w:t>
      </w:r>
      <w:r>
        <w:rPr>
          <w:szCs w:val="22"/>
        </w:rPr>
        <w:t>,</w:t>
      </w:r>
      <w:r w:rsidRPr="0086528B">
        <w:rPr>
          <w:szCs w:val="22"/>
        </w:rPr>
        <w:t>”</w:t>
      </w:r>
      <w:r w:rsidRPr="713B60C4">
        <w:t xml:space="preserve"> RWA</w:t>
      </w:r>
      <w:r w:rsidRPr="713B60C4">
        <w:t xml:space="preserve"> argues that “[t]hese costs should be eligible for reimbursement and included in the Cost Catalog because they are outlays already made that are not otherwise recoverable.”</w:t>
      </w:r>
      <w:r>
        <w:rPr>
          <w:rStyle w:val="FootnoteReference"/>
        </w:rPr>
        <w:footnoteReference w:id="251"/>
      </w:r>
      <w:r w:rsidRPr="713B60C4">
        <w:t xml:space="preserve">  We reject RWA’s request because these expenses are incurred to maintain Huawei a</w:t>
      </w:r>
      <w:r w:rsidRPr="713B60C4">
        <w:t>nd ZTE networks</w:t>
      </w:r>
      <w:r w:rsidRPr="0086528B">
        <w:rPr>
          <w:szCs w:val="22"/>
        </w:rPr>
        <w:t xml:space="preserve"> </w:t>
      </w:r>
      <w:r w:rsidRPr="713B60C4">
        <w:t xml:space="preserve">that the Reimbursement Program is designed to replace.  These expenses are not reasonably necessary to remove, replace, and dispose of covered communications equipment and services.  </w:t>
      </w:r>
    </w:p>
    <w:p w:rsidR="00C736CB" w:rsidRPr="0086528B" w:rsidP="00C736CB" w14:paraId="114DD9B1" w14:textId="77777777">
      <w:pPr>
        <w:pStyle w:val="ParaNum"/>
        <w:widowControl/>
        <w:tabs>
          <w:tab w:val="left" w:pos="1440"/>
        </w:tabs>
      </w:pPr>
      <w:r>
        <w:t>We do, however, clarify that early termination fees incu</w:t>
      </w:r>
      <w:r>
        <w:t>rred by providers terminating long term service contracts, managed service contracts, or other prepaid contracts entered into prior to their application submission may be reimbursable to the extent they are reasonably necessary for removing, replacing, and</w:t>
      </w:r>
      <w:r>
        <w:t xml:space="preserve"> disposing of covered communications equipment and services.  We will not reimburse early termination fees for contracts entered into after June 30, 2020, as Congress has established that date as the eligibility cut-off for eligible expenses.</w:t>
      </w:r>
      <w:r>
        <w:rPr>
          <w:rStyle w:val="FootnoteReference"/>
        </w:rPr>
        <w:footnoteReference w:id="252"/>
      </w:r>
      <w:r>
        <w:t xml:space="preserve">  Beyond our</w:t>
      </w:r>
      <w:r>
        <w:t xml:space="preserve"> statutory obligation, after June 30, 2020, the date on which the Public Safety and Homeland Security Bureau released orders designating Huawei and ZTE as covered companies under our rule 54.9, no Universal Service Funds could be used to purchase, obtain, </w:t>
      </w:r>
      <w:r>
        <w:t>maintain, improve, modify, or support Huawei or ZTE equipment or services.</w:t>
      </w:r>
      <w:r>
        <w:rPr>
          <w:rStyle w:val="FootnoteReference"/>
        </w:rPr>
        <w:footnoteReference w:id="253"/>
      </w:r>
      <w:r>
        <w:t xml:space="preserve">  We decline to reward business decisions where a participant should be on notice to not enter into arrangements with such fees given the program’s goals to incentivize providers t</w:t>
      </w:r>
      <w:r>
        <w:t xml:space="preserve">o remove, replace, and dispose of Huawei and ZTE equipment and services.  Participants seeking reimbursement for early termination fees must provide supporting documentation, including copies of vendor contracts with the early termination fee provisions. </w:t>
      </w:r>
    </w:p>
    <w:p w:rsidR="00C736CB" w:rsidP="00C736CB" w14:paraId="72A51212" w14:textId="77777777">
      <w:pPr>
        <w:pStyle w:val="ParaNum"/>
        <w:widowControl/>
        <w:tabs>
          <w:tab w:val="left" w:pos="1440"/>
        </w:tabs>
      </w:pPr>
      <w:r w:rsidRPr="713B60C4">
        <w:t>CCA requested that certain integration costs be included in the Catalog.  CCA requested that any Citizens Broadband Radio Service (CBRS) equipment being replaced should include “the costs of re-integration of the new CBRS equipment with Spectrum Access Sys</w:t>
      </w:r>
      <w:r w:rsidRPr="713B60C4">
        <w:t>tems.”</w:t>
      </w:r>
      <w:r>
        <w:rPr>
          <w:rStyle w:val="FootnoteReference"/>
        </w:rPr>
        <w:footnoteReference w:id="254"/>
      </w:r>
      <w:r w:rsidRPr="713B60C4">
        <w:t xml:space="preserve">  Because Spectrum Access Systems (SAS</w:t>
      </w:r>
      <w:r>
        <w:rPr>
          <w:szCs w:val="22"/>
        </w:rPr>
        <w:t>)</w:t>
      </w:r>
      <w:r w:rsidRPr="713B60C4">
        <w:t xml:space="preserve"> integration costs may be reasonably necessary to replace CBRS equipment, these costs may be reimbursable under the program.  We revise the Catalog to include</w:t>
      </w:r>
      <w:r>
        <w:rPr>
          <w:szCs w:val="22"/>
        </w:rPr>
        <w:t xml:space="preserve"> </w:t>
      </w:r>
      <w:r w:rsidRPr="713B60C4">
        <w:t>cost categories</w:t>
      </w:r>
      <w:r w:rsidRPr="0086528B">
        <w:rPr>
          <w:szCs w:val="22"/>
        </w:rPr>
        <w:t xml:space="preserve"> </w:t>
      </w:r>
      <w:r w:rsidRPr="713B60C4">
        <w:t xml:space="preserve">for access layer and distribution </w:t>
      </w:r>
      <w:r w:rsidRPr="713B60C4">
        <w:t>layer</w:t>
      </w:r>
      <w:r>
        <w:rPr>
          <w:szCs w:val="22"/>
        </w:rPr>
        <w:t xml:space="preserve"> </w:t>
      </w:r>
      <w:r w:rsidRPr="713B60C4">
        <w:t>SAS Integration Costs and a range of cost estimates based on Widelity’s confidential interviews with communications industry stakeholders.</w:t>
      </w:r>
      <w:r>
        <w:rPr>
          <w:rStyle w:val="FootnoteReference"/>
        </w:rPr>
        <w:footnoteReference w:id="255"/>
      </w:r>
      <w:r w:rsidRPr="0086528B">
        <w:rPr>
          <w:szCs w:val="22"/>
        </w:rPr>
        <w:t xml:space="preserve">  </w:t>
      </w:r>
    </w:p>
    <w:p w:rsidR="00C736CB" w:rsidRPr="0086528B" w:rsidP="00C736CB" w14:paraId="41B33446" w14:textId="77777777">
      <w:pPr>
        <w:pStyle w:val="ParaNum"/>
        <w:widowControl/>
        <w:tabs>
          <w:tab w:val="left" w:pos="1440"/>
        </w:tabs>
      </w:pPr>
      <w:r w:rsidRPr="713B60C4">
        <w:t xml:space="preserve">CCA also requested inclusion in the Catalog of a cost category for “third-party integration costs” such as </w:t>
      </w:r>
      <w:r w:rsidRPr="713B60C4">
        <w:t>“billing software, messaging platforms, roaming services, WEAS systems, and robocall blocking services.”</w:t>
      </w:r>
      <w:r>
        <w:rPr>
          <w:rStyle w:val="FootnoteReference"/>
        </w:rPr>
        <w:footnoteReference w:id="256"/>
      </w:r>
      <w:r w:rsidRPr="713B60C4">
        <w:t xml:space="preserve">  </w:t>
      </w:r>
      <w:r>
        <w:t>While these expenses are not in the Catalog, some of these expenses may be reimbursable.  However, w</w:t>
      </w:r>
      <w:r w:rsidRPr="713B60C4">
        <w:t xml:space="preserve">e reject </w:t>
      </w:r>
      <w:r>
        <w:t>CCA’s</w:t>
      </w:r>
      <w:r w:rsidRPr="713B60C4">
        <w:t xml:space="preserve"> request because network integrati</w:t>
      </w:r>
      <w:r w:rsidRPr="713B60C4">
        <w:t xml:space="preserve">on costs are highly </w:t>
      </w:r>
      <w:r w:rsidRPr="713B60C4">
        <w:t>variable</w:t>
      </w:r>
      <w:r>
        <w:t>,</w:t>
      </w:r>
      <w:r w:rsidRPr="713B60C4">
        <w:t xml:space="preserve"> making it difficult to develop a quantifiable range of cost estimates based on the record and information provided by communications industry stakeholders to Widelity.  As noted above, the final Catalog does, however, include </w:t>
      </w:r>
      <w:r w:rsidRPr="713B60C4">
        <w:t>specific</w:t>
      </w:r>
      <w:r w:rsidRPr="0086528B">
        <w:rPr>
          <w:szCs w:val="22"/>
        </w:rPr>
        <w:t xml:space="preserve"> </w:t>
      </w:r>
      <w:r w:rsidRPr="713B60C4">
        <w:t>integration costs, such as SAS integration, that are specific to the type of equipment</w:t>
      </w:r>
      <w:r>
        <w:t xml:space="preserve"> which may be eligible for reimbursement</w:t>
      </w:r>
      <w:r w:rsidRPr="713B60C4">
        <w:t>.</w:t>
      </w:r>
      <w:r>
        <w:rPr>
          <w:rStyle w:val="FootnoteReference"/>
        </w:rPr>
        <w:footnoteReference w:id="257"/>
      </w:r>
      <w:r>
        <w:rPr>
          <w:szCs w:val="22"/>
        </w:rPr>
        <w:t xml:space="preserve">  </w:t>
      </w:r>
      <w:r>
        <w:t xml:space="preserve">Participants seeking reimbursement for network integration costs not identified in the Catalog will need to provide </w:t>
      </w:r>
      <w:r>
        <w:t xml:space="preserve">individualized cost estimates with supporting documentation. </w:t>
      </w:r>
    </w:p>
    <w:p w:rsidR="00C736CB" w:rsidRPr="0086528B" w:rsidP="00C736CB" w14:paraId="12E94576" w14:textId="77777777">
      <w:pPr>
        <w:pStyle w:val="ParaNum"/>
        <w:widowControl/>
        <w:tabs>
          <w:tab w:val="left" w:pos="1440"/>
        </w:tabs>
      </w:pPr>
      <w:r w:rsidRPr="713B60C4">
        <w:t>RWA asked</w:t>
      </w:r>
      <w:r w:rsidRPr="00B02D88">
        <w:rPr>
          <w:szCs w:val="22"/>
        </w:rPr>
        <w:t xml:space="preserve"> </w:t>
      </w:r>
      <w:r w:rsidRPr="713B60C4">
        <w:t>us to modify the Catalog to include “VoLTE compatible replacement subscriber handsets” to replace “CDMA-capable voice services on some handheld devices.”</w:t>
      </w:r>
      <w:r>
        <w:rPr>
          <w:rStyle w:val="FootnoteReference"/>
        </w:rPr>
        <w:footnoteReference w:id="258"/>
      </w:r>
      <w:r w:rsidRPr="713B60C4">
        <w:t xml:space="preserve">  Relatedly, CCA</w:t>
      </w:r>
      <w:r w:rsidRPr="713B60C4">
        <w:t xml:space="preserve"> asked us to modify the Catalog to clarify that replacements to “add, upgrade, or replace HSS, IMS, PCRF, etc. to support UMTS/LTE/VoLTE devices” fall within the catalog’s “purview.”</w:t>
      </w:r>
      <w:r>
        <w:rPr>
          <w:rStyle w:val="FootnoteReference"/>
        </w:rPr>
        <w:footnoteReference w:id="259"/>
      </w:r>
      <w:r w:rsidRPr="713B60C4">
        <w:t xml:space="preserve">  In the </w:t>
      </w:r>
      <w:r w:rsidRPr="713B60C4">
        <w:rPr>
          <w:i/>
        </w:rPr>
        <w:t>2021 Supply Chain Order</w:t>
      </w:r>
      <w:r w:rsidRPr="713B60C4">
        <w:t>, however, the Commission rejected RWA’s</w:t>
      </w:r>
      <w:r w:rsidRPr="713B60C4">
        <w:t xml:space="preserve"> request, finding “CDMA-capable handsets not produced or provided by Huawei or ZTE ineligible for reimbursement under the Reimbursement Program rules because replacing such handsets with VoLTE-compatible subscriber handsets is not reasonably necessary to t</w:t>
      </w:r>
      <w:r w:rsidRPr="713B60C4">
        <w:t>he removal, replacement, and disposal of covered communications equipment or service.”</w:t>
      </w:r>
      <w:r>
        <w:rPr>
          <w:rStyle w:val="FootnoteReference"/>
        </w:rPr>
        <w:footnoteReference w:id="260"/>
      </w:r>
      <w:r w:rsidRPr="713B60C4">
        <w:t xml:space="preserve">  Consistent with the </w:t>
      </w:r>
      <w:r w:rsidRPr="713B60C4">
        <w:rPr>
          <w:i/>
        </w:rPr>
        <w:t>2021 Supply Chain Order</w:t>
      </w:r>
      <w:r w:rsidRPr="713B60C4">
        <w:t xml:space="preserve">, we decline to modify the Catalog to include handsets and other end user customer premises equipment (CPE) outside of the </w:t>
      </w:r>
      <w:r w:rsidRPr="713B60C4">
        <w:t>limited CPE already accounted for in the Catalog</w:t>
      </w:r>
      <w:r w:rsidRPr="0086528B">
        <w:rPr>
          <w:szCs w:val="22"/>
        </w:rPr>
        <w:t>.</w:t>
      </w:r>
      <w:r>
        <w:rPr>
          <w:rStyle w:val="FootnoteReference"/>
        </w:rPr>
        <w:footnoteReference w:id="261"/>
      </w:r>
      <w:r w:rsidRPr="0086528B">
        <w:rPr>
          <w:szCs w:val="22"/>
        </w:rPr>
        <w:t xml:space="preserve">  </w:t>
      </w:r>
    </w:p>
    <w:p w:rsidR="00C736CB" w:rsidRPr="00244F7E" w:rsidP="00C736CB" w14:paraId="1A1A8627" w14:textId="77777777">
      <w:pPr>
        <w:pStyle w:val="ParaNum"/>
        <w:widowControl/>
        <w:tabs>
          <w:tab w:val="left" w:pos="1440"/>
        </w:tabs>
      </w:pPr>
      <w:r>
        <w:t>RWBC</w:t>
      </w:r>
      <w:r w:rsidRPr="713B60C4">
        <w:t xml:space="preserve"> asked us to modify the Catalog to “include cost estimates for deploying fiber backhaul equipment,”</w:t>
      </w:r>
      <w:r>
        <w:rPr>
          <w:rStyle w:val="FootnoteReference"/>
        </w:rPr>
        <w:footnoteReference w:id="262"/>
      </w:r>
      <w:r w:rsidRPr="713B60C4">
        <w:t xml:space="preserve"> arguing that “fiber backhaul facilities should be considered comparable to microwave backhaul fa</w:t>
      </w:r>
      <w:r w:rsidRPr="713B60C4">
        <w:t>cilities under the ‘</w:t>
      </w:r>
      <w:r w:rsidRPr="713B60C4">
        <w:rPr>
          <w:i/>
        </w:rPr>
        <w:t>Emerging Technologies</w:t>
      </w:r>
      <w:r w:rsidRPr="713B60C4">
        <w:t>’ compatibility standard.”</w:t>
      </w:r>
      <w:r>
        <w:rPr>
          <w:rStyle w:val="FootnoteReference"/>
        </w:rPr>
        <w:footnoteReference w:id="263"/>
      </w:r>
      <w:r w:rsidRPr="713B60C4">
        <w:t xml:space="preserve">  Similarly, USTelecom asked us to clarify whether leasing “additional capacity on a long-term basis (like a fiber IRU) that would support the parallel network” </w:t>
      </w:r>
      <w:r>
        <w:t xml:space="preserve">is </w:t>
      </w:r>
      <w:r w:rsidRPr="713B60C4">
        <w:t>eligible for reimbursem</w:t>
      </w:r>
      <w:r w:rsidRPr="713B60C4">
        <w:t>ent.</w:t>
      </w:r>
      <w:r>
        <w:rPr>
          <w:rStyle w:val="FootnoteReference"/>
        </w:rPr>
        <w:footnoteReference w:id="264"/>
      </w:r>
      <w:r w:rsidRPr="713B60C4">
        <w:t xml:space="preserve">  In the </w:t>
      </w:r>
      <w:r w:rsidRPr="713B60C4">
        <w:rPr>
          <w:i/>
        </w:rPr>
        <w:t>2021 Supply Chain Order</w:t>
      </w:r>
      <w:r w:rsidRPr="713B60C4">
        <w:t>, however, the Commission did not consider “replacing microwave backhaul with fiber backhaul</w:t>
      </w:r>
      <w:r>
        <w:t xml:space="preserve"> . . . </w:t>
      </w:r>
      <w:r w:rsidRPr="713B60C4">
        <w:t>necessary for the removal, replacement, and disposal of” covered communications equipment or services.”</w:t>
      </w:r>
      <w:r>
        <w:rPr>
          <w:rStyle w:val="FootnoteReference"/>
        </w:rPr>
        <w:footnoteReference w:id="265"/>
      </w:r>
      <w:r w:rsidRPr="713B60C4">
        <w:t xml:space="preserve">  Instead, the Commission viewed such “fiber link replacements as a technology upgrade, and not a reasonable, comparable replacement.”</w:t>
      </w:r>
      <w:r>
        <w:rPr>
          <w:rStyle w:val="FootnoteReference"/>
        </w:rPr>
        <w:footnoteReference w:id="266"/>
      </w:r>
      <w:r w:rsidRPr="713B60C4">
        <w:t xml:space="preserve">  As the Commission explained in the </w:t>
      </w:r>
      <w:r w:rsidRPr="713B60C4">
        <w:rPr>
          <w:i/>
        </w:rPr>
        <w:t>2021 Supply Chain Order</w:t>
      </w:r>
      <w:r w:rsidRPr="713B60C4">
        <w:t xml:space="preserve">, if the participant decides to upgrade </w:t>
      </w:r>
      <w:r>
        <w:t xml:space="preserve">its </w:t>
      </w:r>
      <w:r w:rsidRPr="713B60C4">
        <w:t xml:space="preserve">equipment, </w:t>
      </w:r>
      <w:r>
        <w:t xml:space="preserve">it </w:t>
      </w:r>
      <w:r w:rsidRPr="713B60C4">
        <w:t>wi</w:t>
      </w:r>
      <w:r w:rsidRPr="713B60C4">
        <w:t xml:space="preserve">ll bear the difference in cost between the comparable replacement and the upgrade, </w:t>
      </w:r>
      <w:r>
        <w:t xml:space="preserve">must provide </w:t>
      </w:r>
      <w:r w:rsidRPr="713B60C4">
        <w:t xml:space="preserve">price quotes </w:t>
      </w:r>
      <w:r>
        <w:t xml:space="preserve">for the comparable replacement </w:t>
      </w:r>
      <w:r w:rsidRPr="713B60C4">
        <w:t xml:space="preserve">with </w:t>
      </w:r>
      <w:r>
        <w:t>its</w:t>
      </w:r>
      <w:r w:rsidRPr="713B60C4">
        <w:t xml:space="preserve"> application, as opposed to relying on the cost estimates in the Catalog, and </w:t>
      </w:r>
      <w:r>
        <w:t xml:space="preserve">must </w:t>
      </w:r>
      <w:r w:rsidRPr="713B60C4">
        <w:t>certify that the estimate</w:t>
      </w:r>
      <w:r w:rsidRPr="713B60C4">
        <w:t>d cost is in good faith.</w:t>
      </w:r>
      <w:r>
        <w:rPr>
          <w:rStyle w:val="FootnoteReference"/>
        </w:rPr>
        <w:footnoteReference w:id="267"/>
      </w:r>
      <w:r w:rsidRPr="713B60C4">
        <w:t xml:space="preserve">  Fiber backhaul facilities and additional capacity would be considered an upgrade, not a reasonable, comparable replacement</w:t>
      </w:r>
      <w:r w:rsidRPr="005C689A">
        <w:rPr>
          <w:szCs w:val="22"/>
        </w:rPr>
        <w:t xml:space="preserve">.  </w:t>
      </w:r>
      <w:r w:rsidRPr="713B60C4">
        <w:t xml:space="preserve">Accordingly, we decline to add this equipment as a separate cost category to the Catalog.  </w:t>
      </w:r>
    </w:p>
    <w:p w:rsidR="00C736CB" w:rsidRPr="000D26F6" w:rsidP="00C736CB" w14:paraId="0699482F" w14:textId="77777777">
      <w:pPr>
        <w:pStyle w:val="ParaNum"/>
        <w:widowControl/>
        <w:tabs>
          <w:tab w:val="left" w:pos="1440"/>
        </w:tabs>
      </w:pPr>
      <w:r w:rsidRPr="713B60C4">
        <w:t>Ericsson ar</w:t>
      </w:r>
      <w:r w:rsidRPr="713B60C4">
        <w:t>gues that the preliminary catalog “only included Internet of Things (‘IoT’) software licenses associated with core network nodes,” which does “not reflect the need to replace existing Machine-to-Machine (‘M2M’) and IoT software licenses in the Radio Access</w:t>
      </w:r>
      <w:r w:rsidRPr="713B60C4">
        <w:t xml:space="preserve"> Networks (‘RAN’) nodes.”</w:t>
      </w:r>
      <w:r>
        <w:rPr>
          <w:rStyle w:val="FootnoteReference"/>
        </w:rPr>
        <w:footnoteReference w:id="268"/>
      </w:r>
      <w:r w:rsidRPr="713B60C4">
        <w:t xml:space="preserve">  Ericsson asked us to “expand the current Catalog to include specific RAN software licenses for existing functionality, such as M2M, Cat-M1, Narrowband IoT, and similar items” because it would “ensure the continuation of IoT cap</w:t>
      </w:r>
      <w:r w:rsidRPr="713B60C4">
        <w:t>abilities in one frequency band in all sectors of an existing LTE site with typical 2, 4, and 8-port radios.”</w:t>
      </w:r>
      <w:r>
        <w:rPr>
          <w:rStyle w:val="FootnoteReference"/>
        </w:rPr>
        <w:footnoteReference w:id="269"/>
      </w:r>
      <w:r w:rsidRPr="713B60C4">
        <w:t xml:space="preserve">  We decline to implement Ericsson’s request because the functionality cited, Internet of Things capabilities, is not reasonably necessary for co</w:t>
      </w:r>
      <w:r w:rsidRPr="713B60C4">
        <w:t xml:space="preserve">re network operations and therefore is outside of the scope of the Catalog.  </w:t>
      </w:r>
      <w:r>
        <w:t xml:space="preserve">The cost categories Ericsson requests to include in the Catalog are not part of the core network but rather are used by end users to connect to advanced communications services.  </w:t>
      </w:r>
      <w:r w:rsidRPr="713B60C4">
        <w:t xml:space="preserve">In the </w:t>
      </w:r>
      <w:r w:rsidRPr="713B60C4">
        <w:rPr>
          <w:i/>
        </w:rPr>
        <w:t>2021 Supply Chain Order</w:t>
      </w:r>
      <w:r w:rsidRPr="713B60C4">
        <w:t>, the Commission found that “Internet of Things devices</w:t>
      </w:r>
      <w:r>
        <w:t>,</w:t>
      </w:r>
      <w:r w:rsidRPr="713B60C4">
        <w:t xml:space="preserve"> used by end users to access and utilize advanced communications services are distinctly different from the cell sites, backhaul, core network, etc. used to operate a net</w:t>
      </w:r>
      <w:r w:rsidRPr="713B60C4">
        <w:t>work and provide advanced communications services,” and were “not reasonably necessary to the removal, replacement, and disposal of covered communications equipment or service.”</w:t>
      </w:r>
      <w:r>
        <w:rPr>
          <w:rStyle w:val="FootnoteReference"/>
        </w:rPr>
        <w:footnoteReference w:id="270"/>
      </w:r>
      <w:r>
        <w:rPr>
          <w:szCs w:val="22"/>
        </w:rPr>
        <w:t xml:space="preserve">  </w:t>
      </w:r>
      <w:r w:rsidRPr="0086528B">
        <w:rPr>
          <w:szCs w:val="22"/>
        </w:rPr>
        <w:t xml:space="preserve">   </w:t>
      </w:r>
    </w:p>
    <w:p w:rsidR="00C736CB" w:rsidRPr="0086528B" w:rsidP="00C736CB" w14:paraId="4172E786" w14:textId="77777777">
      <w:pPr>
        <w:pStyle w:val="ParaNum"/>
        <w:widowControl/>
        <w:tabs>
          <w:tab w:val="left" w:pos="1440"/>
        </w:tabs>
      </w:pPr>
      <w:r w:rsidRPr="713B60C4">
        <w:t>Vantage Point argues that “annual software or license fees” are “a true</w:t>
      </w:r>
      <w:r w:rsidRPr="713B60C4">
        <w:t xml:space="preserve"> cost of network replacement and should be included in Catalog replacement estimates.”</w:t>
      </w:r>
      <w:r>
        <w:rPr>
          <w:rStyle w:val="FootnoteReference"/>
        </w:rPr>
        <w:footnoteReference w:id="271"/>
      </w:r>
      <w:r w:rsidRPr="713B60C4">
        <w:t xml:space="preserve">  </w:t>
      </w:r>
      <w:r>
        <w:t>While these expenses may be reimbursable, w</w:t>
      </w:r>
      <w:r w:rsidRPr="713B60C4">
        <w:t>e decline to implement Vantage Point’s proposed change because specific software licensing fees are already included in the</w:t>
      </w:r>
      <w:r w:rsidRPr="713B60C4">
        <w:t xml:space="preserve"> Catalog based on Widelity’s engagement with industry stakeholders</w:t>
      </w:r>
      <w:r w:rsidRPr="0086528B">
        <w:rPr>
          <w:szCs w:val="22"/>
        </w:rPr>
        <w:t>.</w:t>
      </w:r>
      <w:r>
        <w:rPr>
          <w:rStyle w:val="FootnoteReference"/>
        </w:rPr>
        <w:footnoteReference w:id="272"/>
      </w:r>
      <w:r w:rsidRPr="0086528B">
        <w:rPr>
          <w:szCs w:val="22"/>
        </w:rPr>
        <w:t xml:space="preserve">  </w:t>
      </w:r>
      <w:r w:rsidRPr="00151F45">
        <w:t xml:space="preserve"> </w:t>
      </w:r>
      <w:r>
        <w:t>Participants seeking reimbursement for software and licensing fees not identified in the Catalog will need to provide individualized cost estimates with supporting documentation.</w:t>
      </w:r>
    </w:p>
    <w:p w:rsidR="00C736CB" w:rsidRPr="000D26F6" w:rsidP="00C736CB" w14:paraId="7028DF36" w14:textId="77777777">
      <w:pPr>
        <w:pStyle w:val="ParaNum"/>
        <w:tabs>
          <w:tab w:val="left" w:pos="1440"/>
        </w:tabs>
      </w:pPr>
      <w:r w:rsidRPr="713B60C4">
        <w:rPr>
          <w:i/>
        </w:rPr>
        <w:t>Reque</w:t>
      </w:r>
      <w:r w:rsidRPr="713B60C4">
        <w:rPr>
          <w:i/>
        </w:rPr>
        <w:t>sts to Clarify or Modify Cost Categories</w:t>
      </w:r>
      <w:r>
        <w:rPr>
          <w:szCs w:val="22"/>
        </w:rPr>
        <w:t xml:space="preserve">.  </w:t>
      </w:r>
      <w:r w:rsidRPr="713B60C4">
        <w:t>CCA asks us to “clarify that the full range of 911 implementation costs are reasonable,” including “third-party integration costs.”</w:t>
      </w:r>
      <w:r>
        <w:rPr>
          <w:rStyle w:val="FootnoteReference"/>
        </w:rPr>
        <w:footnoteReference w:id="273"/>
      </w:r>
      <w:r w:rsidRPr="713B60C4">
        <w:t xml:space="preserve">  The Catalog includes</w:t>
      </w:r>
      <w:r>
        <w:rPr>
          <w:szCs w:val="22"/>
        </w:rPr>
        <w:t xml:space="preserve"> </w:t>
      </w:r>
      <w:r w:rsidRPr="713B60C4">
        <w:t>cost estimates for “911 and E911 Services and Test Servic</w:t>
      </w:r>
      <w:r w:rsidRPr="713B60C4">
        <w:t>es” which we find are sufficiently specific.</w:t>
      </w:r>
      <w:r>
        <w:rPr>
          <w:rStyle w:val="FootnoteReference"/>
        </w:rPr>
        <w:footnoteReference w:id="274"/>
      </w:r>
      <w:r w:rsidRPr="713B60C4">
        <w:t xml:space="preserve">  To the extent that there are additional costs associated with 911 and E911 (Enhanced 911) implementation as CCA suggests, there is no evidence in the record or provided to Widelity that would form a basis for</w:t>
      </w:r>
      <w:r w:rsidRPr="713B60C4">
        <w:t xml:space="preserve"> altering the</w:t>
      </w:r>
      <w:r w:rsidRPr="000D26F6">
        <w:rPr>
          <w:szCs w:val="22"/>
        </w:rPr>
        <w:t xml:space="preserve"> </w:t>
      </w:r>
      <w:r w:rsidRPr="713B60C4">
        <w:t>Catalog 911 and E911 services cost categories.  Accordingly, we decline to implement the change proposed by CCA</w:t>
      </w:r>
      <w:r>
        <w:rPr>
          <w:szCs w:val="22"/>
        </w:rPr>
        <w:t>.</w:t>
      </w:r>
      <w:r w:rsidRPr="000D26F6">
        <w:rPr>
          <w:szCs w:val="22"/>
        </w:rPr>
        <w:t xml:space="preserve"> </w:t>
      </w:r>
    </w:p>
    <w:p w:rsidR="00C736CB" w:rsidP="00C736CB" w14:paraId="6B080B28" w14:textId="77777777">
      <w:pPr>
        <w:pStyle w:val="ParaNum"/>
        <w:widowControl/>
        <w:tabs>
          <w:tab w:val="left" w:pos="1440"/>
        </w:tabs>
      </w:pPr>
      <w:r w:rsidRPr="713B60C4">
        <w:t>USTelecom</w:t>
      </w:r>
      <w:r w:rsidRPr="713B60C4">
        <w:t xml:space="preserve"> asked us to clarify that the “Leasing” cost category is not limited to “wireless networks,” but that “wireline networks may also need to obtain or modify leases, such as, for example, for space in third-party datacenters.”</w:t>
      </w:r>
      <w:r>
        <w:rPr>
          <w:rStyle w:val="FootnoteReference"/>
        </w:rPr>
        <w:footnoteReference w:id="275"/>
      </w:r>
      <w:r w:rsidRPr="713B60C4">
        <w:t xml:space="preserve">  In particular, USTelecom asse</w:t>
      </w:r>
      <w:r w:rsidRPr="713B60C4">
        <w:t>rts that the “‘existing colocation’ expense type” is “unclear.”</w:t>
      </w:r>
      <w:r>
        <w:rPr>
          <w:rStyle w:val="FootnoteReference"/>
        </w:rPr>
        <w:footnoteReference w:id="276"/>
      </w:r>
      <w:r w:rsidRPr="713B60C4">
        <w:t xml:space="preserve">  We clarify that providers of wireline networks may be eligible for reimbursement of leasing expenses, including colocation expenses, reasonably incurred</w:t>
      </w:r>
      <w:r>
        <w:t xml:space="preserve"> in</w:t>
      </w:r>
      <w:r w:rsidRPr="713B60C4">
        <w:t xml:space="preserve"> removing, replacing, or disposing</w:t>
      </w:r>
      <w:r w:rsidRPr="713B60C4">
        <w:t xml:space="preserve"> of covered communications equipment and services.</w:t>
      </w:r>
      <w:r>
        <w:rPr>
          <w:rStyle w:val="FootnoteReference"/>
        </w:rPr>
        <w:footnoteReference w:id="277"/>
      </w:r>
      <w:r w:rsidRPr="713B60C4">
        <w:t xml:space="preserve">  We decline, however, to modify the Catalog to account for </w:t>
      </w:r>
      <w:r>
        <w:t xml:space="preserve">costs of leasing space in </w:t>
      </w:r>
      <w:r w:rsidRPr="713B60C4">
        <w:t>third-party data</w:t>
      </w:r>
      <w:r>
        <w:t xml:space="preserve"> </w:t>
      </w:r>
      <w:r w:rsidRPr="713B60C4">
        <w:t xml:space="preserve">centers. </w:t>
      </w:r>
      <w:r>
        <w:rPr>
          <w:szCs w:val="22"/>
        </w:rPr>
        <w:t xml:space="preserve"> </w:t>
      </w:r>
      <w:r w:rsidRPr="713B60C4">
        <w:t xml:space="preserve">We note that there is </w:t>
      </w:r>
      <w:r w:rsidRPr="713B60C4">
        <w:t xml:space="preserve">no documentation in the record to quantify costs for </w:t>
      </w:r>
      <w:r>
        <w:t>leasing space in</w:t>
      </w:r>
      <w:r>
        <w:t xml:space="preserve"> </w:t>
      </w:r>
      <w:r w:rsidRPr="713B60C4">
        <w:t>third-party data</w:t>
      </w:r>
      <w:r>
        <w:t xml:space="preserve"> </w:t>
      </w:r>
      <w:r w:rsidRPr="713B60C4">
        <w:t xml:space="preserve">centers, and Widelity did not receive cost data on </w:t>
      </w:r>
      <w:r>
        <w:t xml:space="preserve">leasing space in </w:t>
      </w:r>
      <w:r w:rsidRPr="713B60C4">
        <w:t>third</w:t>
      </w:r>
      <w:r>
        <w:t>-</w:t>
      </w:r>
      <w:r w:rsidRPr="713B60C4">
        <w:t>party data</w:t>
      </w:r>
      <w:r>
        <w:t xml:space="preserve"> </w:t>
      </w:r>
      <w:r w:rsidRPr="713B60C4">
        <w:t xml:space="preserve">centers.   </w:t>
      </w:r>
    </w:p>
    <w:p w:rsidR="00C736CB" w:rsidRPr="0086528B" w:rsidP="00C736CB" w14:paraId="2EA0F724" w14:textId="77777777">
      <w:pPr>
        <w:pStyle w:val="ParaNum"/>
        <w:tabs>
          <w:tab w:val="left" w:pos="1440"/>
        </w:tabs>
      </w:pPr>
      <w:r w:rsidRPr="713B60C4">
        <w:rPr>
          <w:i/>
        </w:rPr>
        <w:t>Amendments to the Range of Cost Estimates</w:t>
      </w:r>
      <w:r w:rsidRPr="713B60C4">
        <w:t>.  Commenters requested that we modify the range of cost estimates for certain cost categories ident</w:t>
      </w:r>
      <w:r w:rsidRPr="713B60C4">
        <w:t>ified in the preliminary Catalog.  Mavenir argues that the low range of cost estimates identified in the preliminary Catalog for “‘Open vRAN eNodeB’, ‘RAN (Open RAN/ vRAN) Components’ or [Distributed Unit</w:t>
      </w:r>
      <w:r>
        <w:rPr>
          <w:szCs w:val="22"/>
        </w:rPr>
        <w:t>]</w:t>
      </w:r>
      <w:r w:rsidRPr="713B60C4">
        <w:t xml:space="preserve">…need to be changed to reflect that costs provided </w:t>
      </w:r>
      <w:r w:rsidRPr="713B60C4">
        <w:t>by Mavenir.”</w:t>
      </w:r>
      <w:r>
        <w:rPr>
          <w:rStyle w:val="FootnoteReference"/>
        </w:rPr>
        <w:footnoteReference w:id="278"/>
      </w:r>
      <w:r w:rsidRPr="0086528B">
        <w:rPr>
          <w:szCs w:val="22"/>
        </w:rPr>
        <w:t xml:space="preserve">  </w:t>
      </w:r>
      <w:r w:rsidRPr="713B60C4">
        <w:t>We agree with Mavenir that we should modify the Catalog to reduce the low</w:t>
      </w:r>
      <w:r>
        <w:t xml:space="preserve"> </w:t>
      </w:r>
      <w:r w:rsidRPr="713B60C4">
        <w:t xml:space="preserve">end of the range of estimated costs for </w:t>
      </w:r>
      <w:r>
        <w:rPr>
          <w:szCs w:val="22"/>
        </w:rPr>
        <w:t>“</w:t>
      </w:r>
      <w:r w:rsidRPr="713B60C4">
        <w:t>Open vRAN eNodeB,</w:t>
      </w:r>
      <w:r>
        <w:rPr>
          <w:szCs w:val="22"/>
        </w:rPr>
        <w:t>”</w:t>
      </w:r>
      <w:r>
        <w:rPr>
          <w:rStyle w:val="FootnoteReference"/>
          <w:szCs w:val="22"/>
        </w:rPr>
        <w:footnoteReference w:id="279"/>
      </w:r>
      <w:r w:rsidRPr="0086528B">
        <w:rPr>
          <w:szCs w:val="22"/>
        </w:rPr>
        <w:t xml:space="preserve"> </w:t>
      </w:r>
      <w:r w:rsidRPr="713B60C4">
        <w:t>and “RAN (Open RAN/ vRAN</w:t>
      </w:r>
      <w:r w:rsidRPr="713B60C4">
        <w:t xml:space="preserve"> Components)” to reflect the lower pricing information Mavenir submitted to Widelity.</w:t>
      </w:r>
      <w:r>
        <w:rPr>
          <w:rStyle w:val="FootnoteReference"/>
        </w:rPr>
        <w:footnoteReference w:id="280"/>
      </w:r>
      <w:r w:rsidRPr="0086528B">
        <w:rPr>
          <w:szCs w:val="22"/>
        </w:rPr>
        <w:t xml:space="preserve">  </w:t>
      </w:r>
      <w:r w:rsidRPr="713B60C4">
        <w:t>Accordingly, we implement these clarifications in the Catalog.  However, we reject Mavenir’s request to lower the low</w:t>
      </w:r>
      <w:r>
        <w:t xml:space="preserve"> </w:t>
      </w:r>
      <w:r w:rsidRPr="713B60C4">
        <w:t>end of the range of cost estimates for the distri</w:t>
      </w:r>
      <w:r w:rsidRPr="713B60C4">
        <w:t>bution layer Distributed Unit cost category because Widelity had already factored in the pricing information Mavenir submitted to Widelity when developing the range of cost estimates for the preliminary catalog</w:t>
      </w:r>
      <w:r>
        <w:rPr>
          <w:szCs w:val="22"/>
        </w:rPr>
        <w:t>.</w:t>
      </w:r>
      <w:r>
        <w:rPr>
          <w:rStyle w:val="FootnoteReference"/>
        </w:rPr>
        <w:footnoteReference w:id="281"/>
      </w:r>
      <w:r>
        <w:rPr>
          <w:szCs w:val="22"/>
        </w:rPr>
        <w:t xml:space="preserve">  </w:t>
      </w:r>
      <w:r w:rsidRPr="713B60C4">
        <w:t>Because we find the range of cost estimat</w:t>
      </w:r>
      <w:r w:rsidRPr="713B60C4">
        <w:t>es for Distributed Unit identified in the preliminary catalog to be reasonable</w:t>
      </w:r>
      <w:r>
        <w:t>,</w:t>
      </w:r>
      <w:r w:rsidRPr="713B60C4">
        <w:t xml:space="preserve"> we include </w:t>
      </w:r>
      <w:r>
        <w:t xml:space="preserve">it </w:t>
      </w:r>
      <w:r w:rsidRPr="713B60C4">
        <w:t xml:space="preserve">in the final Catalog. </w:t>
      </w:r>
    </w:p>
    <w:p w:rsidR="00C736CB" w:rsidRPr="0086528B" w:rsidP="00C736CB" w14:paraId="7035F26C" w14:textId="77777777">
      <w:pPr>
        <w:pStyle w:val="ParaNum"/>
        <w:widowControl/>
        <w:tabs>
          <w:tab w:val="left" w:pos="1440"/>
        </w:tabs>
      </w:pPr>
      <w:r w:rsidRPr="713B60C4">
        <w:t>USTelecom asked us to “reexamine and confirm the appropriate prices” for WDM and OTN equipment.  USTelecom asserted that it was “unclear wh</w:t>
      </w:r>
      <w:r w:rsidRPr="713B60C4">
        <w:t>y” cost estimates for access layer “Access WDM &amp; OTN” equipment “matches” core layer “Metro WDM &amp; OTN” equipment, “yet the apparently similar” distribution layer “Metro WDM &amp; OTN” cost estimates are “very different.”</w:t>
      </w:r>
      <w:r>
        <w:rPr>
          <w:rStyle w:val="FootnoteReference"/>
        </w:rPr>
        <w:footnoteReference w:id="282"/>
      </w:r>
      <w:r w:rsidRPr="713B60C4">
        <w:t xml:space="preserve">  To remove a potential source of conf</w:t>
      </w:r>
      <w:r w:rsidRPr="713B60C4">
        <w:t>usion for participants</w:t>
      </w:r>
      <w:r>
        <w:t>,</w:t>
      </w:r>
      <w:r w:rsidRPr="713B60C4">
        <w:t xml:space="preserve"> we removed the core layer “Metro WDM &amp; OTN” cost category since this equipment is identical to distribution layer WDM and OTN equipment</w:t>
      </w:r>
      <w:r>
        <w:t xml:space="preserve"> and</w:t>
      </w:r>
      <w:r w:rsidRPr="713B60C4">
        <w:t xml:space="preserve"> thus the cost estimates were duplicative.  As a result, we adjusted the range of cost estima</w:t>
      </w:r>
      <w:r w:rsidRPr="713B60C4">
        <w:t>tes for “WDM &amp; OTN – Core Equipment” to reflect the removal of distribution layer WDM and OTN equipment and the associated range of cost estimates</w:t>
      </w:r>
      <w:r>
        <w:rPr>
          <w:szCs w:val="22"/>
        </w:rPr>
        <w:t xml:space="preserve">.  </w:t>
      </w:r>
      <w:r w:rsidRPr="713B60C4">
        <w:t>Accordingly, we adopt this revision in the Catalog.</w:t>
      </w:r>
      <w:r>
        <w:rPr>
          <w:rStyle w:val="FootnoteReference"/>
        </w:rPr>
        <w:footnoteReference w:id="283"/>
      </w:r>
      <w:r w:rsidRPr="0086528B">
        <w:rPr>
          <w:szCs w:val="22"/>
        </w:rPr>
        <w:t xml:space="preserve">  </w:t>
      </w:r>
      <w:r w:rsidRPr="713B60C4">
        <w:t xml:space="preserve">WDM and OTN associated equipment costs are included </w:t>
      </w:r>
      <w:r w:rsidRPr="713B60C4">
        <w:t>for the access layer,</w:t>
      </w:r>
      <w:r>
        <w:rPr>
          <w:rStyle w:val="FootnoteReference"/>
        </w:rPr>
        <w:footnoteReference w:id="284"/>
      </w:r>
      <w:r w:rsidRPr="713B60C4">
        <w:t xml:space="preserve"> distribution layer,</w:t>
      </w:r>
      <w:r>
        <w:rPr>
          <w:rStyle w:val="FootnoteReference"/>
        </w:rPr>
        <w:footnoteReference w:id="285"/>
      </w:r>
      <w:r w:rsidRPr="713B60C4">
        <w:t xml:space="preserve"> and core layer</w:t>
      </w:r>
      <w:r>
        <w:rPr>
          <w:rStyle w:val="FootnoteReference"/>
        </w:rPr>
        <w:footnoteReference w:id="286"/>
      </w:r>
      <w:r w:rsidRPr="713B60C4">
        <w:t xml:space="preserve"> equipment cost categories.  </w:t>
      </w:r>
    </w:p>
    <w:p w:rsidR="00C736CB" w:rsidRPr="0086528B" w:rsidP="00C736CB" w14:paraId="60A20AF9" w14:textId="77777777">
      <w:pPr>
        <w:pStyle w:val="ParaNum"/>
        <w:widowControl/>
        <w:tabs>
          <w:tab w:val="left" w:pos="1440"/>
        </w:tabs>
      </w:pPr>
      <w:r w:rsidRPr="713B60C4">
        <w:t>USTelecom</w:t>
      </w:r>
      <w:r w:rsidRPr="713B60C4">
        <w:t xml:space="preserve"> states that a member has “Huawei equipment that would appear to be classified as Coaxial Media Converters in the proposed catalog</w:t>
      </w:r>
      <w:r w:rsidRPr="0086528B">
        <w:rPr>
          <w:szCs w:val="22"/>
        </w:rPr>
        <w:t xml:space="preserve">” </w:t>
      </w:r>
      <w:r>
        <w:t xml:space="preserve">and </w:t>
      </w:r>
      <w:r w:rsidRPr="713B60C4">
        <w:t>reports that it “paid well in excess of the maximum allowed,” and “the cost to replace Huawei with equal functionality w</w:t>
      </w:r>
      <w:r w:rsidRPr="713B60C4">
        <w:t>ill range from $13,000-$16,000 per replacement.”</w:t>
      </w:r>
      <w:r>
        <w:rPr>
          <w:rStyle w:val="FootnoteReference"/>
        </w:rPr>
        <w:footnoteReference w:id="287"/>
      </w:r>
      <w:r w:rsidRPr="713B60C4">
        <w:t xml:space="preserve">  USTelecom notes that the carrier “typically refers to” the “Coaxial Media Converters” equipment as a “cable modem termination system (CMTS) and, while CMTS systems are generally deployed in a cable operat</w:t>
      </w:r>
      <w:r w:rsidRPr="713B60C4">
        <w:t>or’s headend, these particular Huawei CMTS devices are field-deployed.”</w:t>
      </w:r>
      <w:r>
        <w:rPr>
          <w:rStyle w:val="FootnoteReference"/>
        </w:rPr>
        <w:footnoteReference w:id="288"/>
      </w:r>
      <w:r w:rsidRPr="713B60C4">
        <w:t xml:space="preserve">  Because we find that the costs </w:t>
      </w:r>
      <w:r>
        <w:t xml:space="preserve">for </w:t>
      </w:r>
      <w:r w:rsidRPr="713B60C4">
        <w:t>replacing CMTS are reasonably necessary to comply with the Reimbursement Program, we find that the Catalog should be revised to account for CMTS c</w:t>
      </w:r>
      <w:r w:rsidRPr="713B60C4">
        <w:t xml:space="preserve">osts.  We agree with USTelecom that the high-end cost estimate should be $16,000 per node but, based on cost </w:t>
      </w:r>
      <w:r w:rsidRPr="713B60C4">
        <w:t>estimates recommended by Widelity based on industry engagement, we find that the low-end cost estimate should be $8,500 per node.  We modify the Ca</w:t>
      </w:r>
      <w:r w:rsidRPr="713B60C4">
        <w:t>talog to include this range of cost estimates for CMTS (per node).</w:t>
      </w:r>
      <w:r>
        <w:rPr>
          <w:rStyle w:val="FootnoteReference"/>
        </w:rPr>
        <w:footnoteReference w:id="289"/>
      </w:r>
      <w:r w:rsidRPr="0086528B">
        <w:rPr>
          <w:szCs w:val="22"/>
        </w:rPr>
        <w:t xml:space="preserve">  </w:t>
      </w:r>
    </w:p>
    <w:p w:rsidR="00C736CB" w:rsidRPr="003074F8" w:rsidP="00C736CB" w14:paraId="438BE878" w14:textId="77777777">
      <w:pPr>
        <w:pStyle w:val="ParaNum"/>
        <w:widowControl/>
        <w:tabs>
          <w:tab w:val="left" w:pos="1440"/>
        </w:tabs>
      </w:pPr>
      <w:r w:rsidRPr="713B60C4">
        <w:t>CCA asks us to “add the costs of cell site routers to the Catalog, with an estimated cost of $3,000 per site” because “[e]ach cell site typically has a router installed.”</w:t>
      </w:r>
      <w:r>
        <w:rPr>
          <w:rStyle w:val="FootnoteReference"/>
        </w:rPr>
        <w:footnoteReference w:id="290"/>
      </w:r>
      <w:r w:rsidRPr="0086528B">
        <w:rPr>
          <w:szCs w:val="22"/>
        </w:rPr>
        <w:t xml:space="preserve">  </w:t>
      </w:r>
      <w:r w:rsidRPr="713B60C4">
        <w:t>The prelimi</w:t>
      </w:r>
      <w:r w:rsidRPr="713B60C4">
        <w:t xml:space="preserve">nary catalog identified a </w:t>
      </w:r>
      <w:r>
        <w:t>D</w:t>
      </w:r>
      <w:r w:rsidRPr="713B60C4">
        <w:t xml:space="preserve">istribution </w:t>
      </w:r>
      <w:r>
        <w:t>L</w:t>
      </w:r>
      <w:r w:rsidRPr="713B60C4">
        <w:t>ayer</w:t>
      </w:r>
      <w:r>
        <w:t xml:space="preserve"> cost subcategory and</w:t>
      </w:r>
      <w:r w:rsidRPr="713B60C4">
        <w:t xml:space="preserve"> range of cost estimates for </w:t>
      </w:r>
      <w:r>
        <w:t>“C</w:t>
      </w:r>
      <w:r w:rsidRPr="713B60C4">
        <w:t xml:space="preserve">ell </w:t>
      </w:r>
      <w:r>
        <w:t>S</w:t>
      </w:r>
      <w:r w:rsidRPr="713B60C4">
        <w:t xml:space="preserve">ite </w:t>
      </w:r>
      <w:r>
        <w:t>R</w:t>
      </w:r>
      <w:r w:rsidRPr="713B60C4">
        <w:t>outers.</w:t>
      </w:r>
      <w:r>
        <w:t>”</w:t>
      </w:r>
      <w:r>
        <w:rPr>
          <w:rStyle w:val="FootnoteReference"/>
        </w:rPr>
        <w:footnoteReference w:id="291"/>
      </w:r>
      <w:r>
        <w:rPr>
          <w:szCs w:val="22"/>
        </w:rPr>
        <w:t xml:space="preserve">  We revised the Catalog to include additional Distribution Layer cost subcategories and ranges of cost estimates for small, medium, and lar</w:t>
      </w:r>
      <w:r>
        <w:rPr>
          <w:szCs w:val="22"/>
        </w:rPr>
        <w:t>ge cell site routers based on Widelity’s additional engagement with industry stakeholders.</w:t>
      </w:r>
      <w:r>
        <w:rPr>
          <w:rStyle w:val="FootnoteReference"/>
          <w:szCs w:val="22"/>
        </w:rPr>
        <w:footnoteReference w:id="292"/>
      </w:r>
      <w:r>
        <w:rPr>
          <w:szCs w:val="22"/>
        </w:rPr>
        <w:t xml:space="preserve">  W</w:t>
      </w:r>
      <w:r w:rsidRPr="713B60C4">
        <w:t xml:space="preserve">e </w:t>
      </w:r>
      <w:r>
        <w:t xml:space="preserve">find </w:t>
      </w:r>
      <w:r w:rsidRPr="713B60C4">
        <w:t>that Widelity’s thorough survey of communications industry manufacturers and service providers reasonably identified relevant ranges of estimated costs</w:t>
      </w:r>
      <w:r>
        <w:t xml:space="preserve"> fo</w:t>
      </w:r>
      <w:r>
        <w:t>r cell site routers</w:t>
      </w:r>
      <w:r w:rsidRPr="713B60C4">
        <w:t xml:space="preserve">.  </w:t>
      </w:r>
      <w:r>
        <w:rPr>
          <w:szCs w:val="22"/>
        </w:rPr>
        <w:t xml:space="preserve">To the extent that applicants disagree with the Catalog cost estimates, they may submit individualized cost estimates along with supporting documentation.  </w:t>
      </w:r>
    </w:p>
    <w:p w:rsidR="00C736CB" w:rsidRPr="0086528B" w:rsidP="00C736CB" w14:paraId="696220A7" w14:textId="77777777">
      <w:pPr>
        <w:pStyle w:val="ParaNum"/>
        <w:widowControl/>
        <w:tabs>
          <w:tab w:val="left" w:pos="1440"/>
        </w:tabs>
      </w:pPr>
      <w:r>
        <w:rPr>
          <w:szCs w:val="22"/>
        </w:rPr>
        <w:t>We also take this opportunity to clarify that costs associated with removing,</w:t>
      </w:r>
      <w:r>
        <w:rPr>
          <w:szCs w:val="22"/>
        </w:rPr>
        <w:t xml:space="preserve"> replacing, and disposing of wired (Wi-Fi) and wireless routers that constitute CPE are not be reimbursable under the program and revise the Catalog accordingly.  The preliminary catalog included a subcategory (without cost estimates) for “</w:t>
      </w:r>
      <w:r w:rsidRPr="008F2D65">
        <w:rPr>
          <w:szCs w:val="22"/>
        </w:rPr>
        <w:t>Smart Home</w:t>
      </w:r>
      <w:r>
        <w:rPr>
          <w:szCs w:val="22"/>
        </w:rPr>
        <w:t xml:space="preserve">” CPE </w:t>
      </w:r>
      <w:r>
        <w:rPr>
          <w:szCs w:val="22"/>
        </w:rPr>
        <w:t>but clarified that “</w:t>
      </w:r>
      <w:r w:rsidRPr="008F2D65">
        <w:rPr>
          <w:szCs w:val="22"/>
        </w:rPr>
        <w:t>IP cameras, wifi doorbells, wifi, light switches, etc. would not be reimbursable</w:t>
      </w:r>
      <w:r>
        <w:rPr>
          <w:szCs w:val="22"/>
        </w:rPr>
        <w:t>.”</w:t>
      </w:r>
      <w:r>
        <w:rPr>
          <w:rStyle w:val="FootnoteReference"/>
          <w:szCs w:val="22"/>
        </w:rPr>
        <w:footnoteReference w:id="293"/>
      </w:r>
      <w:r>
        <w:rPr>
          <w:szCs w:val="22"/>
        </w:rPr>
        <w:t xml:space="preserve">  </w:t>
      </w:r>
      <w:r w:rsidRPr="713B60C4">
        <w:t xml:space="preserve">In the preliminary Report, Widelity noted that </w:t>
      </w:r>
      <w:r>
        <w:t xml:space="preserve">for </w:t>
      </w:r>
      <w:r w:rsidRPr="713B60C4">
        <w:t xml:space="preserve">wireless </w:t>
      </w:r>
      <w:r>
        <w:t>networks, CPE can include an “internal modem and broadband router possibly with a wireless</w:t>
      </w:r>
      <w:r>
        <w:t xml:space="preserve"> access point to distribute a signal throughout the premises or office,” and for wired networks, CPE can include a “broadband router, or a premise gateway with wireless (Wi-Fi) capabilities.”</w:t>
      </w:r>
      <w:r>
        <w:rPr>
          <w:rStyle w:val="FootnoteReference"/>
        </w:rPr>
        <w:footnoteReference w:id="294"/>
      </w:r>
      <w:r>
        <w:t xml:space="preserve">  </w:t>
      </w:r>
      <w:r w:rsidRPr="713B60C4">
        <w:t xml:space="preserve">In the </w:t>
      </w:r>
      <w:r w:rsidRPr="713B60C4">
        <w:rPr>
          <w:i/>
        </w:rPr>
        <w:t>2021 Supply Chain Order</w:t>
      </w:r>
      <w:r w:rsidRPr="00E809B5">
        <w:t>,</w:t>
      </w:r>
      <w:r w:rsidRPr="00FC3355">
        <w:t xml:space="preserve"> </w:t>
      </w:r>
      <w:r w:rsidRPr="713B60C4">
        <w:t xml:space="preserve">the Commission found that </w:t>
      </w:r>
      <w:r>
        <w:t>cer</w:t>
      </w:r>
      <w:r>
        <w:t xml:space="preserve">tain </w:t>
      </w:r>
      <w:r w:rsidRPr="713B60C4">
        <w:t>CPE equipment</w:t>
      </w:r>
      <w:r>
        <w:t xml:space="preserve"> including end-user handsets</w:t>
      </w:r>
      <w:r>
        <w:rPr>
          <w:szCs w:val="22"/>
        </w:rPr>
        <w:t xml:space="preserve"> </w:t>
      </w:r>
      <w:r>
        <w:t xml:space="preserve">were </w:t>
      </w:r>
      <w:r>
        <w:rPr>
          <w:szCs w:val="22"/>
        </w:rPr>
        <w:t>“</w:t>
      </w:r>
      <w:r w:rsidRPr="713B60C4">
        <w:t>distinctly different from cell sites, backhaul, core network, etc. used to operate a network and provide advanced communications services</w:t>
      </w:r>
      <w:r>
        <w:t>.</w:t>
      </w:r>
      <w:r>
        <w:rPr>
          <w:szCs w:val="22"/>
        </w:rPr>
        <w:t>”</w:t>
      </w:r>
      <w:r>
        <w:rPr>
          <w:rStyle w:val="FootnoteReference"/>
        </w:rPr>
        <w:footnoteReference w:id="295"/>
      </w:r>
      <w:r>
        <w:rPr>
          <w:szCs w:val="22"/>
        </w:rPr>
        <w:t xml:space="preserve">  </w:t>
      </w:r>
      <w:r w:rsidRPr="713B60C4">
        <w:t xml:space="preserve">In particular, the Commission found </w:t>
      </w:r>
      <w:r>
        <w:t>this equipment was</w:t>
      </w:r>
      <w:r w:rsidRPr="713B60C4">
        <w:t xml:space="preserve"> not reasonably necessary to the removal, replacement and disposal of covered communications equipment.</w:t>
      </w:r>
      <w:r>
        <w:rPr>
          <w:rStyle w:val="FootnoteReference"/>
        </w:rPr>
        <w:footnoteReference w:id="296"/>
      </w:r>
      <w:r>
        <w:rPr>
          <w:szCs w:val="22"/>
        </w:rPr>
        <w:t xml:space="preserve">  Wired (</w:t>
      </w:r>
      <w:r>
        <w:t>Wi-Fi) and wireless routers may</w:t>
      </w:r>
      <w:r w:rsidRPr="713B60C4">
        <w:t xml:space="preserve"> constitute CPE used by end users to access non-core network elements and, consistent with the </w:t>
      </w:r>
      <w:r w:rsidRPr="713B60C4">
        <w:rPr>
          <w:i/>
        </w:rPr>
        <w:t>2021 Supply Chai</w:t>
      </w:r>
      <w:r w:rsidRPr="713B60C4">
        <w:rPr>
          <w:i/>
        </w:rPr>
        <w:t>n Order</w:t>
      </w:r>
      <w:r>
        <w:rPr>
          <w:szCs w:val="22"/>
        </w:rPr>
        <w:t xml:space="preserve">, </w:t>
      </w:r>
      <w:r w:rsidRPr="713B60C4">
        <w:t>are</w:t>
      </w:r>
      <w:r>
        <w:rPr>
          <w:szCs w:val="22"/>
        </w:rPr>
        <w:t xml:space="preserve"> </w:t>
      </w:r>
      <w:r w:rsidRPr="713B60C4">
        <w:t xml:space="preserve">not reasonably necessary </w:t>
      </w:r>
      <w:r>
        <w:t xml:space="preserve">for </w:t>
      </w:r>
      <w:r w:rsidRPr="713B60C4">
        <w:t>the removal, replacement, and disposal of covered communications equipment or services.</w:t>
      </w:r>
      <w:r>
        <w:rPr>
          <w:rStyle w:val="FootnoteReference"/>
        </w:rPr>
        <w:footnoteReference w:id="297"/>
      </w:r>
      <w:r>
        <w:rPr>
          <w:szCs w:val="22"/>
        </w:rPr>
        <w:t xml:space="preserve">  Accordingly, we revise the Catalog “Smart Home” subcategory to clarify that “Wi-Fi Routers” would not be reimbursable under</w:t>
      </w:r>
      <w:r>
        <w:rPr>
          <w:szCs w:val="22"/>
        </w:rPr>
        <w:t xml:space="preserve"> the program.</w:t>
      </w:r>
      <w:r>
        <w:rPr>
          <w:rStyle w:val="FootnoteReference"/>
          <w:szCs w:val="22"/>
        </w:rPr>
        <w:footnoteReference w:id="298"/>
      </w:r>
      <w:r>
        <w:rPr>
          <w:szCs w:val="22"/>
        </w:rPr>
        <w:t xml:space="preserve"> </w:t>
      </w:r>
    </w:p>
    <w:p w:rsidR="00C736CB" w:rsidP="00C736CB" w14:paraId="748B976F" w14:textId="77777777">
      <w:pPr>
        <w:pStyle w:val="ParaNum"/>
        <w:widowControl/>
        <w:tabs>
          <w:tab w:val="left" w:pos="1440"/>
        </w:tabs>
      </w:pPr>
      <w:r w:rsidRPr="713B60C4">
        <w:t>Airspan argues that the “Cost Catalog’s pricing appears grossly inflated,” noting that “some of the lower bound cost estimates listed in the Cost Catalog are as much as three times (3x) the price Airspan currently offers for equivalent har</w:t>
      </w:r>
      <w:r w:rsidRPr="713B60C4">
        <w:t>dware and other network elements,” and that network equipment and services are becoming less expensive by the day due to the ongoing evolution of network architecture design and equipment manufacturing.”</w:t>
      </w:r>
      <w:r>
        <w:rPr>
          <w:rStyle w:val="FootnoteReference"/>
        </w:rPr>
        <w:footnoteReference w:id="299"/>
      </w:r>
      <w:r>
        <w:rPr>
          <w:szCs w:val="22"/>
        </w:rPr>
        <w:t xml:space="preserve">  </w:t>
      </w:r>
      <w:r w:rsidRPr="713B60C4">
        <w:t xml:space="preserve">Airspan did not sufficiently quantify with </w:t>
      </w:r>
      <w:r w:rsidRPr="713B60C4">
        <w:t>specif</w:t>
      </w:r>
      <w:r w:rsidRPr="713B60C4">
        <w:t>icity the changes to the range of cost estimates it envisioned.  We thus decline to modify the Catalog in response to Airspan’s comment because we believe that Widelity’s thorough survey of communications industry manufacturers and service providers reason</w:t>
      </w:r>
      <w:r w:rsidRPr="713B60C4">
        <w:t>ably identified relevant ranges of estimated costs.  We note that we modified the Catalog in parts to reduce the low-end of the range of cost estimates where appropriate.</w:t>
      </w:r>
      <w:r>
        <w:rPr>
          <w:rStyle w:val="FootnoteReference"/>
        </w:rPr>
        <w:footnoteReference w:id="300"/>
      </w:r>
      <w:r>
        <w:rPr>
          <w:szCs w:val="22"/>
        </w:rPr>
        <w:t xml:space="preserve">  </w:t>
      </w:r>
    </w:p>
    <w:p w:rsidR="00C736CB" w:rsidRPr="0086528B" w:rsidP="00C736CB" w14:paraId="2A3D6554" w14:textId="77777777">
      <w:pPr>
        <w:pStyle w:val="ParaNum"/>
        <w:widowControl/>
        <w:tabs>
          <w:tab w:val="left" w:pos="1440"/>
        </w:tabs>
      </w:pPr>
      <w:r w:rsidRPr="713B60C4">
        <w:t>Vantage Point argues that the preliminary Catalog underestimates shipping costs i</w:t>
      </w:r>
      <w:r w:rsidRPr="713B60C4">
        <w:t>n Alaska, failing to account for “shipping costs to any other major Alaskan port,” other than Seattle to Dutch Harbor, and failing to account for “inland transportation costs.”</w:t>
      </w:r>
      <w:r>
        <w:rPr>
          <w:rStyle w:val="FootnoteReference"/>
        </w:rPr>
        <w:footnoteReference w:id="301"/>
      </w:r>
      <w:r w:rsidRPr="713B60C4">
        <w:t xml:space="preserve">   We decline to modify the Catalog to account for additional shipping costs in Alaska raised by Vantage Point.  The Catalog accounts for shipping costs to Alaska based on the longest shipping route, Seattle to Dutch Harbor, as an example for the costs typ</w:t>
      </w:r>
      <w:r w:rsidRPr="713B60C4">
        <w:t xml:space="preserve">ically incurred.  </w:t>
      </w:r>
      <w:r>
        <w:t>C</w:t>
      </w:r>
      <w:r w:rsidRPr="713B60C4">
        <w:t xml:space="preserve">ost estimates for other outlying regions, which vary depending on multiple cost factors, including distance, time of year, freight weight, etc., </w:t>
      </w:r>
      <w:r>
        <w:t xml:space="preserve">would be </w:t>
      </w:r>
      <w:r w:rsidRPr="713B60C4">
        <w:t xml:space="preserve">too variable to include </w:t>
      </w:r>
      <w:r>
        <w:t>in the Catalog</w:t>
      </w:r>
      <w:r w:rsidRPr="713B60C4">
        <w:t>.  To the extent that providers believe the C</w:t>
      </w:r>
      <w:r w:rsidRPr="713B60C4">
        <w:t xml:space="preserve">atalog does not adequately represent their </w:t>
      </w:r>
      <w:r>
        <w:t xml:space="preserve">shipping </w:t>
      </w:r>
      <w:r w:rsidRPr="713B60C4">
        <w:t>costs, they may submit individualized cost estimates with supporting documentation</w:t>
      </w:r>
      <w:r w:rsidRPr="0086528B">
        <w:rPr>
          <w:szCs w:val="22"/>
        </w:rPr>
        <w:t>.</w:t>
      </w:r>
    </w:p>
    <w:p w:rsidR="00C736CB" w:rsidP="00C736CB" w14:paraId="1064FF7E" w14:textId="77777777">
      <w:pPr>
        <w:pStyle w:val="ParaNum"/>
        <w:widowControl/>
        <w:tabs>
          <w:tab w:val="left" w:pos="1440"/>
        </w:tabs>
      </w:pPr>
      <w:r w:rsidRPr="713B60C4">
        <w:rPr>
          <w:i/>
        </w:rPr>
        <w:t>Widelity Proposed Revisions</w:t>
      </w:r>
      <w:r>
        <w:rPr>
          <w:szCs w:val="22"/>
        </w:rPr>
        <w:t xml:space="preserve">.  </w:t>
      </w:r>
      <w:r w:rsidRPr="713B60C4">
        <w:t>Widelity also proposed various modifications, clarifications, and improvements to the prel</w:t>
      </w:r>
      <w:r w:rsidRPr="713B60C4">
        <w:t>iminary catalog, based on additional engagement with communications industry stakeholders and its own thorough review.  Widelity proposed various clarifications to the descriptions of the cost categories.  For example, Widelity proposed clarifying that the</w:t>
      </w:r>
      <w:r w:rsidRPr="713B60C4">
        <w:t xml:space="preserve"> “Virtual/Cloud Core Deployment Cloud – Virtual IMS” cost category range of estimated costs is for equipment providing service to “up to 100,000 subscribers.”</w:t>
      </w:r>
      <w:r>
        <w:rPr>
          <w:rStyle w:val="FootnoteReference"/>
        </w:rPr>
        <w:footnoteReference w:id="302"/>
      </w:r>
      <w:r w:rsidRPr="713B60C4">
        <w:t xml:space="preserve">  Widelity also proposed</w:t>
      </w:r>
      <w:r w:rsidRPr="0086528B">
        <w:rPr>
          <w:szCs w:val="22"/>
        </w:rPr>
        <w:t xml:space="preserve"> </w:t>
      </w:r>
      <w:r w:rsidRPr="713B60C4">
        <w:t>revising the description for “Antenna – LTE (Long Term Evolution)” to r</w:t>
      </w:r>
      <w:r w:rsidRPr="713B60C4">
        <w:t>epresent costs for a typical 10-port antenna, instead of an 8-port antenna, resulting in a decrease to the low</w:t>
      </w:r>
      <w:r>
        <w:rPr>
          <w:szCs w:val="22"/>
        </w:rPr>
        <w:t>-</w:t>
      </w:r>
      <w:r w:rsidRPr="713B60C4">
        <w:t>range of cost estimates from $2,087 to $1,479.</w:t>
      </w:r>
      <w:r>
        <w:rPr>
          <w:rStyle w:val="FootnoteReference"/>
        </w:rPr>
        <w:footnoteReference w:id="303"/>
      </w:r>
      <w:r w:rsidRPr="0086528B">
        <w:rPr>
          <w:szCs w:val="22"/>
        </w:rPr>
        <w:t xml:space="preserve">  </w:t>
      </w:r>
      <w:r w:rsidRPr="713B60C4">
        <w:t xml:space="preserve">Widelity also proposed adding additional cost subcategories to provide further specificity and </w:t>
      </w:r>
      <w:r w:rsidRPr="713B60C4">
        <w:t>guidance to applicants.  For example, Widelity proposed adding a Distribution Layer Equipment cost category for “Hybrid Cable &amp; Radio Jumpers, Tower Ancillary Components” with a range of cost estimates.</w:t>
      </w:r>
      <w:r>
        <w:rPr>
          <w:rStyle w:val="FootnoteReference"/>
        </w:rPr>
        <w:footnoteReference w:id="304"/>
      </w:r>
      <w:r w:rsidRPr="713B60C4">
        <w:t xml:space="preserve">  Widelity also proposed changes to the range of cos</w:t>
      </w:r>
      <w:r w:rsidRPr="713B60C4">
        <w:t>t estimates proposed in the preliminary catalog to more accurately reflect reasonable costs typically incurred managing a network.  For example, Widelity proposed increasing the high-end of the range of cost estimates for “Tower/Installation Crews,” “Mobil</w:t>
      </w:r>
      <w:r w:rsidRPr="713B60C4">
        <w:t>ization Less than or Equal to 250 Miles (2-4 Member Crew),” from $3,000 to $6,000.</w:t>
      </w:r>
      <w:r>
        <w:rPr>
          <w:rStyle w:val="FootnoteReference"/>
        </w:rPr>
        <w:footnoteReference w:id="305"/>
      </w:r>
      <w:r>
        <w:rPr>
          <w:szCs w:val="22"/>
        </w:rPr>
        <w:t xml:space="preserve">  </w:t>
      </w:r>
    </w:p>
    <w:p w:rsidR="00C736CB" w:rsidP="00C736CB" w14:paraId="0DAA2C30" w14:textId="77777777">
      <w:pPr>
        <w:pStyle w:val="ParaNum"/>
        <w:widowControl/>
        <w:tabs>
          <w:tab w:val="left" w:pos="1440"/>
        </w:tabs>
      </w:pPr>
      <w:r>
        <w:t>Because we find that Widelity’s proposed modifications and clarifications improve the accuracy and quality of the Catalog and will aid participants preparing their initi</w:t>
      </w:r>
      <w:r>
        <w:t>al cost estimates, we revise the Catalog to include additional changes identified by Widelity.  A complete listing of the changes to the preliminary catalog that are reflected in the final Catalog are included as an attachment to the Catalog in Appendix C.</w:t>
      </w:r>
      <w:r>
        <w:t xml:space="preserve">  </w:t>
      </w:r>
    </w:p>
    <w:p w:rsidR="00C736CB" w:rsidRPr="00877F9C" w:rsidP="00C736CB" w14:paraId="546DF5BE" w14:textId="77777777">
      <w:pPr>
        <w:pStyle w:val="ParaNum"/>
        <w:widowControl/>
        <w:tabs>
          <w:tab w:val="left" w:pos="1440"/>
        </w:tabs>
      </w:pPr>
      <w:r w:rsidRPr="713B60C4">
        <w:rPr>
          <w:i/>
        </w:rPr>
        <w:t>Highly Variable Expenses</w:t>
      </w:r>
      <w:r>
        <w:t>.  For certain expenses identified in the preliminary catalog—such as costs associated with network security equipment, network automation, and network integrator services—a range could not be quantified, most often due to the hi</w:t>
      </w:r>
      <w:r>
        <w:t xml:space="preserve">ghly variable nature of the cost.  Taxes, for example, vary by state and locality and/or tax exemption and therefore could not be quantified for the Catalog.  The same holds true for special access site costs which vary by site and region.  For these </w:t>
      </w:r>
      <w:r>
        <w:t>expen</w:t>
      </w:r>
      <w:r>
        <w:t>ses, while we recognize they are potentially reimbursable, applicants will not be able to rely on the Catalog as there is no quantified range.  Accordingly, for such expenses, applicants will need to provide an individual cost estimate with supporting docu</w:t>
      </w:r>
      <w:r>
        <w:t>mentation.  We have moved those expense descriptions to the back of the Catalog merely as an acknowledgement that we have considered such costs and recognize they are potentially eligible for reimbursement even though a cost estimate range could not be qua</w:t>
      </w:r>
      <w:r>
        <w:t>ntified.</w:t>
      </w:r>
    </w:p>
    <w:p w:rsidR="00C736CB" w:rsidP="00C736CB" w14:paraId="19795EBB" w14:textId="44A39563">
      <w:pPr>
        <w:pStyle w:val="Heading2"/>
      </w:pPr>
      <w:bookmarkStart w:id="110" w:name="_Toc75940352"/>
      <w:bookmarkStart w:id="111" w:name="_Toc76912055"/>
      <w:bookmarkStart w:id="112" w:name="_Toc76912146"/>
      <w:bookmarkStart w:id="113" w:name="_Toc78364561"/>
      <w:bookmarkStart w:id="114" w:name="_Toc78815426"/>
      <w:bookmarkStart w:id="115" w:name="_Toc78815574"/>
      <w:r>
        <w:t>Final Replacement List</w:t>
      </w:r>
      <w:bookmarkEnd w:id="110"/>
      <w:bookmarkEnd w:id="111"/>
      <w:bookmarkEnd w:id="112"/>
      <w:bookmarkEnd w:id="113"/>
      <w:bookmarkEnd w:id="114"/>
      <w:bookmarkEnd w:id="115"/>
    </w:p>
    <w:p w:rsidR="00C736CB" w:rsidRPr="00212010" w:rsidP="00C736CB" w14:paraId="6033E434" w14:textId="77777777">
      <w:pPr>
        <w:pStyle w:val="ParaNum"/>
        <w:widowControl/>
        <w:tabs>
          <w:tab w:val="left" w:pos="1440"/>
        </w:tabs>
      </w:pPr>
      <w:r w:rsidRPr="713B60C4">
        <w:t xml:space="preserve">We adopt a final List of Categories of Suggested Replacement Equipment and Services (Replacement List) to guide providers removing, replacing, and disposing of covered communications equipment and services.  </w:t>
      </w:r>
      <w:r>
        <w:t xml:space="preserve">Section 4(d)(1) </w:t>
      </w:r>
      <w:r>
        <w:t>of the Secure Networks Act directs the Commission to “develop a list of suggested replacements of both physical and virtual communications equipment, application and management software, and services or categories of replacements of both physical and virtu</w:t>
      </w:r>
      <w:r>
        <w:t>al communications equipment, application and management software and services.”</w:t>
      </w:r>
      <w:r>
        <w:rPr>
          <w:rStyle w:val="FootnoteReference"/>
          <w:szCs w:val="22"/>
        </w:rPr>
        <w:footnoteReference w:id="306"/>
      </w:r>
      <w:r>
        <w:t xml:space="preserve">  The list must be “technology neutral and may not advantage the use of reimbursement funds for capital expenditures over operational expenditures.”</w:t>
      </w:r>
      <w:r>
        <w:rPr>
          <w:rStyle w:val="FootnoteReference"/>
          <w:szCs w:val="22"/>
        </w:rPr>
        <w:footnoteReference w:id="307"/>
      </w:r>
      <w:r>
        <w:t xml:space="preserve">  Accordingly, in the </w:t>
      </w:r>
      <w:r w:rsidRPr="00EE447B">
        <w:rPr>
          <w:i/>
        </w:rPr>
        <w:t>202</w:t>
      </w:r>
      <w:r w:rsidRPr="00EE447B">
        <w:rPr>
          <w:i/>
        </w:rPr>
        <w:t>0 Supply Chain Order</w:t>
      </w:r>
      <w:r>
        <w:t>, t</w:t>
      </w:r>
      <w:r w:rsidRPr="713B60C4">
        <w:t xml:space="preserve">he Commission </w:t>
      </w:r>
      <w:r>
        <w:t>mandated the development of</w:t>
      </w:r>
      <w:r w:rsidRPr="713B60C4">
        <w:t xml:space="preserve"> a Replacement List </w:t>
      </w:r>
      <w:r>
        <w:t xml:space="preserve">“that will identify the categories of suggested replacements of real and virtual hardware and software equipment and services to guide providers removing covered </w:t>
      </w:r>
      <w:r>
        <w:t>communications equipment from their networks.”</w:t>
      </w:r>
      <w:r>
        <w:rPr>
          <w:rStyle w:val="FootnoteReference"/>
          <w:szCs w:val="22"/>
        </w:rPr>
        <w:footnoteReference w:id="308"/>
      </w:r>
      <w:r>
        <w:t xml:space="preserve"> </w:t>
      </w:r>
      <w:r w:rsidRPr="713B60C4">
        <w:t>and directed the Bureau to issue a public notice announcing the Replacement List.</w:t>
      </w:r>
      <w:r>
        <w:rPr>
          <w:rStyle w:val="FootnoteReference"/>
        </w:rPr>
        <w:footnoteReference w:id="309"/>
      </w:r>
      <w:r w:rsidRPr="713B60C4">
        <w:t xml:space="preserve">  The Bureau sought and received comment on a preliminary Replacement List prepared by Widelity in the </w:t>
      </w:r>
      <w:r w:rsidRPr="713B60C4">
        <w:rPr>
          <w:i/>
        </w:rPr>
        <w:t>Catalog Public Notice</w:t>
      </w:r>
      <w:r w:rsidRPr="00212010">
        <w:rPr>
          <w:szCs w:val="22"/>
        </w:rPr>
        <w:t>.</w:t>
      </w:r>
      <w:r>
        <w:rPr>
          <w:rStyle w:val="FootnoteReference"/>
        </w:rPr>
        <w:footnoteReference w:id="310"/>
      </w:r>
      <w:r w:rsidRPr="713B60C4">
        <w:t xml:space="preserve">  After considering the comments addressing the preliminary Replacement List received in response to the </w:t>
      </w:r>
      <w:r w:rsidRPr="713B60C4">
        <w:rPr>
          <w:i/>
        </w:rPr>
        <w:t>Catalog Public Notice</w:t>
      </w:r>
      <w:r w:rsidRPr="713B60C4">
        <w:t xml:space="preserve">, the Bureau declines to make any changes to the preliminary Replacement List.  </w:t>
      </w:r>
    </w:p>
    <w:p w:rsidR="00C736CB" w:rsidRPr="00212010" w:rsidP="00C736CB" w14:paraId="41C6888A" w14:textId="77777777">
      <w:pPr>
        <w:pStyle w:val="ParaNum"/>
        <w:widowControl/>
        <w:tabs>
          <w:tab w:val="left" w:pos="1440"/>
        </w:tabs>
      </w:pPr>
      <w:r w:rsidRPr="713B60C4">
        <w:t xml:space="preserve">Santel </w:t>
      </w:r>
      <w:r w:rsidRPr="00337084">
        <w:t>Communications Cooperative</w:t>
      </w:r>
      <w:r>
        <w:t>, Inc. (Sante</w:t>
      </w:r>
      <w:r>
        <w:t xml:space="preserve">l) </w:t>
      </w:r>
      <w:r w:rsidRPr="713B60C4">
        <w:t>asked the Bureau to “add a statement in the Replacement List acknowledging that replacing covered equipment with other advanced communications services equipment, specifically including [fiber-to the-premises (FTTP)] equipment, qualifies for reimburseme</w:t>
      </w:r>
      <w:r w:rsidRPr="713B60C4">
        <w:t>nt under the Supply Chain Reimbursement Program.”</w:t>
      </w:r>
      <w:r>
        <w:rPr>
          <w:rStyle w:val="FootnoteReference"/>
        </w:rPr>
        <w:footnoteReference w:id="311"/>
      </w:r>
      <w:r w:rsidRPr="713B60C4">
        <w:t xml:space="preserve">  In the </w:t>
      </w:r>
      <w:r w:rsidRPr="713B60C4">
        <w:rPr>
          <w:i/>
        </w:rPr>
        <w:t>2021 Supply Chain Order</w:t>
      </w:r>
      <w:r w:rsidRPr="713B60C4">
        <w:t>, however, the Commission explained that it generally views fiber link replacements, including FTTP, as a technology upgrade and not a reasonable, comparable replacement for</w:t>
      </w:r>
      <w:r w:rsidRPr="713B60C4">
        <w:t xml:space="preserve"> covered communications equipment and services.</w:t>
      </w:r>
      <w:r>
        <w:rPr>
          <w:rStyle w:val="FootnoteReference"/>
        </w:rPr>
        <w:footnoteReference w:id="312"/>
      </w:r>
      <w:r w:rsidRPr="713B60C4">
        <w:t xml:space="preserve">  Participants may upgrade communications equipment and services under the Reimbursement Program but, as the Commission explained, will ultimately bear the difference in cost between the comparable replaceme</w:t>
      </w:r>
      <w:r w:rsidRPr="713B60C4">
        <w:t>nt and the upgrade.</w:t>
      </w:r>
      <w:r>
        <w:rPr>
          <w:rStyle w:val="FootnoteReference"/>
        </w:rPr>
        <w:footnoteReference w:id="313"/>
      </w:r>
      <w:r w:rsidRPr="713B60C4">
        <w:t xml:space="preserve">  Because cost determinations are very case-by-case specific, and FTTP is generally considered an upgrade, not a reasonable, comparable replacement, we decline to adopt S</w:t>
      </w:r>
      <w:r>
        <w:t>a</w:t>
      </w:r>
      <w:r w:rsidRPr="713B60C4">
        <w:t>ntel’s proposed modification to the Replacement List.</w:t>
      </w:r>
      <w:r>
        <w:rPr>
          <w:rStyle w:val="FootnoteReference"/>
        </w:rPr>
        <w:footnoteReference w:id="314"/>
      </w:r>
      <w:r w:rsidRPr="713B60C4">
        <w:t xml:space="preserve"> </w:t>
      </w:r>
    </w:p>
    <w:p w:rsidR="00C736CB" w:rsidRPr="0086528B" w:rsidP="00C736CB" w14:paraId="7870F451" w14:textId="77777777">
      <w:pPr>
        <w:pStyle w:val="ParaNum"/>
        <w:tabs>
          <w:tab w:val="left" w:pos="1440"/>
        </w:tabs>
      </w:pPr>
      <w:r w:rsidRPr="713B60C4">
        <w:t xml:space="preserve"> ADTRAN</w:t>
      </w:r>
      <w:r w:rsidRPr="713B60C4">
        <w:t xml:space="preserve"> seeks to “incorporate a ‘Buy American’ preference into the suggested Replacement Equipment.”</w:t>
      </w:r>
      <w:r>
        <w:rPr>
          <w:rStyle w:val="FootnoteReference"/>
        </w:rPr>
        <w:footnoteReference w:id="315"/>
      </w:r>
      <w:r w:rsidRPr="713B60C4">
        <w:t xml:space="preserve">  However, when Congress created the Reimbursement Program it did not express a preference for providers to replace covered communications equipment and services</w:t>
      </w:r>
      <w:r w:rsidRPr="713B60C4">
        <w:t xml:space="preserve"> with equipment and services provided by U.S. companies.  Similarly, and by ADTRAN’s own admission, Congress did not include a “Buy American” preference for the Reimburs</w:t>
      </w:r>
      <w:r>
        <w:t>e</w:t>
      </w:r>
      <w:r w:rsidRPr="713B60C4">
        <w:t>ment Program in sections 901 or 906 of the Secure Networks Act.</w:t>
      </w:r>
      <w:r>
        <w:rPr>
          <w:rStyle w:val="FootnoteReference"/>
        </w:rPr>
        <w:footnoteReference w:id="316"/>
      </w:r>
      <w:r w:rsidRPr="713B60C4">
        <w:t xml:space="preserve">  Furthermore, in the</w:t>
      </w:r>
      <w:r w:rsidRPr="713B60C4">
        <w:t xml:space="preserve"> </w:t>
      </w:r>
      <w:r w:rsidRPr="713B60C4">
        <w:rPr>
          <w:i/>
        </w:rPr>
        <w:t>2020 Supply Chain Order</w:t>
      </w:r>
      <w:r w:rsidRPr="713B60C4">
        <w:t xml:space="preserve"> the Commission explained that the Replacement List should “provide carriers with the flexibility to select the equipment or services that fit their needs from categories of equipment and services.”</w:t>
      </w:r>
      <w:r>
        <w:rPr>
          <w:rStyle w:val="FootnoteReference"/>
        </w:rPr>
        <w:footnoteReference w:id="317"/>
      </w:r>
      <w:r w:rsidRPr="713B60C4">
        <w:t xml:space="preserve">  Consistent with the </w:t>
      </w:r>
      <w:r w:rsidRPr="713B60C4">
        <w:rPr>
          <w:i/>
        </w:rPr>
        <w:t>2020 Suppl</w:t>
      </w:r>
      <w:r w:rsidRPr="713B60C4">
        <w:rPr>
          <w:i/>
        </w:rPr>
        <w:t>y Chain Order</w:t>
      </w:r>
      <w:r w:rsidRPr="713B60C4">
        <w:t>, we provide participants with the flexibil</w:t>
      </w:r>
      <w:r>
        <w:t>it</w:t>
      </w:r>
      <w:r w:rsidRPr="713B60C4">
        <w:t>y to select U.S. and non-U.S. equipment or services (excluding, of course, Huawei and ZTE equipment or services) that satisfy their obligations under the Reimbursement Program.  Accordingly, we decl</w:t>
      </w:r>
      <w:r w:rsidRPr="713B60C4">
        <w:t>ine to adopt ADTRAN’s proposed modification to the Replacement List.</w:t>
      </w:r>
      <w:r>
        <w:rPr>
          <w:szCs w:val="22"/>
        </w:rPr>
        <w:t xml:space="preserve">  </w:t>
      </w:r>
    </w:p>
    <w:p w:rsidR="00C736CB" w:rsidP="00C736CB" w14:paraId="2059ADA1" w14:textId="77777777">
      <w:pPr>
        <w:pStyle w:val="ParaNum"/>
        <w:widowControl/>
        <w:tabs>
          <w:tab w:val="left" w:pos="1440"/>
        </w:tabs>
      </w:pPr>
      <w:r w:rsidRPr="713B60C4">
        <w:t xml:space="preserve">Accordingly, for the reasons stated herein, we adopt the preliminary replacement list proposed in the </w:t>
      </w:r>
      <w:r w:rsidRPr="713B60C4">
        <w:rPr>
          <w:i/>
        </w:rPr>
        <w:t>Catalog Public Notice</w:t>
      </w:r>
      <w:r w:rsidRPr="713B60C4">
        <w:t>, without changes, as the final Replacement List for use in th</w:t>
      </w:r>
      <w:r w:rsidRPr="713B60C4">
        <w:t>e Reimbursement Program.</w:t>
      </w:r>
      <w:r>
        <w:rPr>
          <w:rStyle w:val="FootnoteReference"/>
        </w:rPr>
        <w:footnoteReference w:id="318"/>
      </w:r>
      <w:r w:rsidRPr="713B60C4">
        <w:t xml:space="preserve">  Consistent with the </w:t>
      </w:r>
      <w:r w:rsidRPr="713B60C4">
        <w:rPr>
          <w:i/>
        </w:rPr>
        <w:t>2020 Supply Chain Order</w:t>
      </w:r>
      <w:r w:rsidRPr="713B60C4">
        <w:t>, the Bureau will publish the final Replacement List on the Commission’s website and issue a public notice at least annually announcing any updates to the Replacement List, to the exten</w:t>
      </w:r>
      <w:r w:rsidRPr="713B60C4">
        <w:t>t there are any updates, to ensure that the Replacement List remains current.</w:t>
      </w:r>
      <w:r>
        <w:rPr>
          <w:rStyle w:val="FootnoteReference"/>
        </w:rPr>
        <w:footnoteReference w:id="319"/>
      </w:r>
      <w:r w:rsidRPr="713B60C4">
        <w:t xml:space="preserve">  The final Replacement List is attached as Appendix D. </w:t>
      </w:r>
    </w:p>
    <w:p w:rsidR="00C736CB" w:rsidP="00C736CB" w14:paraId="2B66CA0A" w14:textId="6DC83D59">
      <w:pPr>
        <w:pStyle w:val="Heading2"/>
      </w:pPr>
      <w:bookmarkStart w:id="117" w:name="_Toc75940353"/>
      <w:bookmarkStart w:id="118" w:name="_Toc76912056"/>
      <w:bookmarkStart w:id="119" w:name="_Toc76912147"/>
      <w:bookmarkStart w:id="120" w:name="_Toc78364562"/>
      <w:bookmarkStart w:id="121" w:name="_Toc78815427"/>
      <w:bookmarkStart w:id="122" w:name="_Toc78815575"/>
      <w:r>
        <w:t>Widelity Report</w:t>
      </w:r>
      <w:bookmarkEnd w:id="117"/>
      <w:bookmarkEnd w:id="118"/>
      <w:bookmarkEnd w:id="119"/>
      <w:bookmarkEnd w:id="120"/>
      <w:bookmarkEnd w:id="121"/>
      <w:bookmarkEnd w:id="122"/>
    </w:p>
    <w:p w:rsidR="00C736CB" w:rsidRPr="00C449AC" w:rsidP="00C736CB" w14:paraId="21619F3A" w14:textId="77777777">
      <w:pPr>
        <w:pStyle w:val="ParaNum"/>
        <w:widowControl/>
        <w:tabs>
          <w:tab w:val="left" w:pos="1440"/>
        </w:tabs>
      </w:pPr>
      <w:r w:rsidRPr="713B60C4">
        <w:t xml:space="preserve">The Bureau also sought comment in the </w:t>
      </w:r>
      <w:r w:rsidRPr="713B60C4">
        <w:rPr>
          <w:i/>
        </w:rPr>
        <w:t>Catalog Public Notice</w:t>
      </w:r>
      <w:r w:rsidRPr="713B60C4">
        <w:t xml:space="preserve"> on the Supply Chain Reimbursement Program Study (Report) prepared by Widelity.</w:t>
      </w:r>
      <w:r>
        <w:rPr>
          <w:rStyle w:val="FootnoteReference"/>
        </w:rPr>
        <w:footnoteReference w:id="320"/>
      </w:r>
      <w:r w:rsidRPr="00C449AC">
        <w:rPr>
          <w:szCs w:val="22"/>
        </w:rPr>
        <w:t xml:space="preserve">  </w:t>
      </w:r>
      <w:r w:rsidRPr="713B60C4">
        <w:t>The Report represents the views of Widelity, not the views of the Commission</w:t>
      </w:r>
      <w:r w:rsidRPr="00C449AC">
        <w:rPr>
          <w:szCs w:val="22"/>
        </w:rPr>
        <w:t xml:space="preserve"> </w:t>
      </w:r>
      <w:r w:rsidRPr="713B60C4">
        <w:t xml:space="preserve">or </w:t>
      </w:r>
      <w:r>
        <w:t xml:space="preserve">the </w:t>
      </w:r>
      <w:r w:rsidRPr="713B60C4">
        <w:t>Bureau, and is not an official Commission document.  While the Bureau appreciates comment</w:t>
      </w:r>
      <w:r w:rsidRPr="713B60C4">
        <w:t>s received addressing and proposing changes to the Report, the Bureau did not intend for further revisions to the Report</w:t>
      </w:r>
      <w:r>
        <w:rPr>
          <w:szCs w:val="22"/>
        </w:rPr>
        <w:t xml:space="preserve"> </w:t>
      </w:r>
      <w:r w:rsidRPr="713B60C4">
        <w:t>by Widelity</w:t>
      </w:r>
      <w:r>
        <w:rPr>
          <w:szCs w:val="22"/>
        </w:rPr>
        <w:t xml:space="preserve"> </w:t>
      </w:r>
      <w:r w:rsidRPr="713B60C4">
        <w:t>and instead sought comment only to help gauge the adequacy and sufficiency of the subjects covered in the Report as the Bur</w:t>
      </w:r>
      <w:r w:rsidRPr="713B60C4">
        <w:t>eau works to implement the Reimbursement Program</w:t>
      </w:r>
      <w:r w:rsidRPr="00C449AC">
        <w:rPr>
          <w:szCs w:val="22"/>
        </w:rPr>
        <w:t xml:space="preserve">.  </w:t>
      </w:r>
      <w:r w:rsidRPr="713B60C4">
        <w:t>Specifically, the Report was intended “as an industry and technology overview and explains Widelity’s methodologies used to develop the initial version of the proposed Catalog and Replacement List.”</w:t>
      </w:r>
      <w:r>
        <w:rPr>
          <w:rStyle w:val="FootnoteReference"/>
        </w:rPr>
        <w:footnoteReference w:id="321"/>
      </w:r>
      <w:r w:rsidRPr="713B60C4">
        <w:t xml:space="preserve">  Com</w:t>
      </w:r>
      <w:r w:rsidRPr="713B60C4">
        <w:t>ments on the Report are relevant only to the extent they inform the finalization</w:t>
      </w:r>
      <w:r w:rsidRPr="00C449AC">
        <w:rPr>
          <w:szCs w:val="22"/>
        </w:rPr>
        <w:t xml:space="preserve"> </w:t>
      </w:r>
      <w:r w:rsidRPr="713B60C4">
        <w:t xml:space="preserve">of the Catalog and Replacement List.  The final Catalog will be used by participants to estimate initial costs, and the final Replacement List will serve as a suggested guide </w:t>
      </w:r>
      <w:r w:rsidRPr="713B60C4">
        <w:t xml:space="preserve">to </w:t>
      </w:r>
      <w:r w:rsidRPr="713B60C4">
        <w:t>participants replacing equipment and services.  Accordingly, the Bureau finds it unnecessary to require further revisions to</w:t>
      </w:r>
      <w:r w:rsidRPr="00C449AC">
        <w:rPr>
          <w:szCs w:val="22"/>
        </w:rPr>
        <w:t xml:space="preserve"> </w:t>
      </w:r>
      <w:r w:rsidRPr="713B60C4">
        <w:t xml:space="preserve">the Widelity Report.  </w:t>
      </w:r>
    </w:p>
    <w:p w:rsidR="00C736CB" w:rsidP="00C736CB" w14:paraId="39263363" w14:textId="77777777">
      <w:pPr>
        <w:pStyle w:val="Heading1"/>
      </w:pPr>
      <w:bookmarkStart w:id="123" w:name="_Toc75940355"/>
      <w:bookmarkStart w:id="124" w:name="_Toc75940356"/>
      <w:bookmarkStart w:id="125" w:name="_Toc76912057"/>
      <w:bookmarkStart w:id="126" w:name="_Toc76912148"/>
      <w:bookmarkStart w:id="127" w:name="_Toc78364563"/>
      <w:bookmarkStart w:id="128" w:name="_Toc78815428"/>
      <w:bookmarkStart w:id="129" w:name="_Toc78815576"/>
      <w:bookmarkEnd w:id="123"/>
      <w:r>
        <w:t>Procedural Matters</w:t>
      </w:r>
      <w:bookmarkEnd w:id="124"/>
      <w:bookmarkEnd w:id="125"/>
      <w:bookmarkEnd w:id="126"/>
      <w:bookmarkEnd w:id="127"/>
      <w:bookmarkEnd w:id="128"/>
      <w:bookmarkEnd w:id="129"/>
    </w:p>
    <w:p w:rsidR="00C736CB" w:rsidRPr="00BF67FE" w:rsidP="00C736CB" w14:paraId="098E231A" w14:textId="77777777">
      <w:pPr>
        <w:pStyle w:val="ParaNum"/>
        <w:widowControl/>
        <w:tabs>
          <w:tab w:val="left" w:pos="1440"/>
        </w:tabs>
      </w:pPr>
      <w:r w:rsidRPr="00BF67FE">
        <w:rPr>
          <w:i/>
          <w:iCs/>
        </w:rPr>
        <w:t>Legal Authority</w:t>
      </w:r>
      <w:r>
        <w:t>.  We establish procedures for the Reimbursement Program pursuant to th</w:t>
      </w:r>
      <w:r>
        <w:t>e authority contained in section 4 of the Secure Networks Act, as amended, 47 U.S.C. § 1603, and section 1.50004(p) of the Commission’s rules, 47 CFR § 1.50004(p).</w:t>
      </w:r>
    </w:p>
    <w:p w:rsidR="00C736CB" w:rsidP="00C736CB" w14:paraId="2CE55086" w14:textId="77777777">
      <w:pPr>
        <w:pStyle w:val="ParaNum"/>
        <w:widowControl/>
        <w:tabs>
          <w:tab w:val="left" w:pos="1440"/>
        </w:tabs>
      </w:pPr>
      <w:r w:rsidRPr="713B60C4">
        <w:rPr>
          <w:i/>
          <w:snapToGrid/>
          <w:kern w:val="0"/>
        </w:rPr>
        <w:t xml:space="preserve">Treasury Offset. </w:t>
      </w:r>
      <w:r>
        <w:rPr>
          <w:snapToGrid/>
          <w:kern w:val="0"/>
          <w:szCs w:val="22"/>
        </w:rPr>
        <w:t xml:space="preserve"> </w:t>
      </w:r>
      <w:r w:rsidRPr="00C17574">
        <w:t>The </w:t>
      </w:r>
      <w:r>
        <w:t xml:space="preserve">U.S. Department of the </w:t>
      </w:r>
      <w:r w:rsidRPr="00C17574">
        <w:t>Treasury</w:t>
      </w:r>
      <w:r>
        <w:t xml:space="preserve"> (Treasury)</w:t>
      </w:r>
      <w:r w:rsidRPr="00C17574">
        <w:t xml:space="preserve"> has a number of collection </w:t>
      </w:r>
      <w:r w:rsidRPr="00C17574">
        <w:t xml:space="preserve">tools, including the Treasury Offset Program (TOP), </w:t>
      </w:r>
      <w:r>
        <w:t>whereby</w:t>
      </w:r>
      <w:r w:rsidRPr="00C17574">
        <w:t xml:space="preserve"> it collects delinquent debts owed to federal agencies and states by individuals and entities, by offsetting those debts against federal monies owed to the debtors.</w:t>
      </w:r>
      <w:r>
        <w:rPr>
          <w:rStyle w:val="FootnoteReference"/>
        </w:rPr>
        <w:footnoteReference w:id="322"/>
      </w:r>
      <w:r>
        <w:t xml:space="preserve"> </w:t>
      </w:r>
      <w:r w:rsidRPr="00C17574">
        <w:t xml:space="preserve"> </w:t>
      </w:r>
      <w:r w:rsidRPr="00610361">
        <w:t>As noted in the Reimbursement</w:t>
      </w:r>
      <w:r w:rsidRPr="00610361">
        <w:t xml:space="preserve"> Process Public Notice, </w:t>
      </w:r>
      <w:r>
        <w:t xml:space="preserve">TOP </w:t>
      </w:r>
      <w:r w:rsidRPr="00610361">
        <w:t xml:space="preserve">will apply to disbursements from the Reimbursement Program.  </w:t>
      </w:r>
      <w:r>
        <w:t xml:space="preserve">Reimbursement Program participants </w:t>
      </w:r>
      <w:r w:rsidRPr="00C17574">
        <w:t>ow</w:t>
      </w:r>
      <w:r>
        <w:t>ing</w:t>
      </w:r>
      <w:r w:rsidRPr="00C17574">
        <w:t xml:space="preserve"> past-due debt to a federal agency or a state may have all or part of their </w:t>
      </w:r>
      <w:r>
        <w:t xml:space="preserve">disbursement </w:t>
      </w:r>
      <w:r w:rsidRPr="00C17574">
        <w:t>payments</w:t>
      </w:r>
      <w:r>
        <w:t xml:space="preserve"> </w:t>
      </w:r>
      <w:r w:rsidRPr="00C17574">
        <w:t>offset</w:t>
      </w:r>
      <w:r>
        <w:t xml:space="preserve"> </w:t>
      </w:r>
      <w:r w:rsidRPr="00C17574">
        <w:t>by</w:t>
      </w:r>
      <w:r>
        <w:t xml:space="preserve"> </w:t>
      </w:r>
      <w:r w:rsidRPr="00C17574">
        <w:t>Treasury</w:t>
      </w:r>
      <w:r>
        <w:t xml:space="preserve"> </w:t>
      </w:r>
      <w:r w:rsidRPr="00C17574">
        <w:t>to satisfy</w:t>
      </w:r>
      <w:r w:rsidRPr="00C17574">
        <w:t xml:space="preserve"> such debt. </w:t>
      </w:r>
      <w:r>
        <w:t xml:space="preserve"> </w:t>
      </w:r>
      <w:r w:rsidRPr="00C17574">
        <w:t>Prior to referral of its debt to Treasury, a</w:t>
      </w:r>
      <w:r>
        <w:t xml:space="preserve">n entity </w:t>
      </w:r>
      <w:r w:rsidRPr="00C17574">
        <w:t>is notified of the debt owed, including repayment instructions.</w:t>
      </w:r>
      <w:r>
        <w:rPr>
          <w:rStyle w:val="FootnoteReference"/>
        </w:rPr>
        <w:footnoteReference w:id="323"/>
      </w:r>
      <w:r>
        <w:t xml:space="preserve">  </w:t>
      </w:r>
      <w:r w:rsidRPr="00C17574">
        <w:t xml:space="preserve">If the referred debt of a </w:t>
      </w:r>
      <w:r>
        <w:t xml:space="preserve">Reimbursement </w:t>
      </w:r>
      <w:r w:rsidRPr="00C17574">
        <w:t>Program participa</w:t>
      </w:r>
      <w:r>
        <w:t>nt</w:t>
      </w:r>
      <w:r w:rsidRPr="00C17574">
        <w:t xml:space="preserve"> remains outstanding at the time of a </w:t>
      </w:r>
      <w:r>
        <w:t xml:space="preserve">disbursement </w:t>
      </w:r>
      <w:r w:rsidRPr="00C17574">
        <w:t xml:space="preserve">payment from </w:t>
      </w:r>
      <w:r w:rsidRPr="00C17574">
        <w:t xml:space="preserve">the </w:t>
      </w:r>
      <w:r>
        <w:t>Reimbursement</w:t>
      </w:r>
      <w:r w:rsidRPr="00C17574">
        <w:t xml:space="preserve"> Program to that p</w:t>
      </w:r>
      <w:r>
        <w:t>articipant</w:t>
      </w:r>
      <w:r w:rsidRPr="00C17574">
        <w:t>, the p</w:t>
      </w:r>
      <w:r>
        <w:t>articipant</w:t>
      </w:r>
      <w:r w:rsidRPr="00C17574">
        <w:t xml:space="preserve"> will be notified by Treasury that some or all of its payment has been offset to satisfy an outstanding federal or state debt. </w:t>
      </w:r>
      <w:r>
        <w:t xml:space="preserve"> </w:t>
      </w:r>
      <w:r w:rsidRPr="00C17574">
        <w:t>Program p</w:t>
      </w:r>
      <w:r>
        <w:t>articipants</w:t>
      </w:r>
      <w:r w:rsidRPr="00C17574">
        <w:t xml:space="preserve"> that owe past due federal or state debts that ha</w:t>
      </w:r>
      <w:r>
        <w:t>ve</w:t>
      </w:r>
      <w:r w:rsidRPr="00C17574">
        <w:t xml:space="preserve"> been referred to Treasury are encouraged to resolve such debts </w:t>
      </w:r>
      <w:r>
        <w:t>prior to submitting their Application Request for Funding Allocation.</w:t>
      </w:r>
      <w:r>
        <w:rPr>
          <w:rStyle w:val="FootnoteReference"/>
        </w:rPr>
        <w:footnoteReference w:id="324"/>
      </w:r>
      <w:r>
        <w:t xml:space="preserve">  The Bureau lacks discretion to deviate from the requirements of the </w:t>
      </w:r>
      <w:r>
        <w:t>TOP.</w:t>
      </w:r>
    </w:p>
    <w:p w:rsidR="00C736CB" w:rsidRPr="00C449AC" w:rsidP="00C736CB" w14:paraId="744EE15E" w14:textId="77777777">
      <w:pPr>
        <w:pStyle w:val="ParaNum"/>
        <w:widowControl/>
        <w:tabs>
          <w:tab w:val="left" w:pos="1440"/>
        </w:tabs>
      </w:pPr>
      <w:r>
        <w:t>RWA recognizes the Commission lacks the authority to deviate from the TOP requirements but “encourages the Reimbursement Program Fund Administrator and the FCC to work through any debt collection issues with the applicant prior to funds being released</w:t>
      </w:r>
      <w:r>
        <w:t xml:space="preserve"> so that an applicant can cure any outstanding debts in order to receive funding.”</w:t>
      </w:r>
      <w:r>
        <w:rPr>
          <w:rStyle w:val="FootnoteReference"/>
        </w:rPr>
        <w:footnoteReference w:id="325"/>
      </w:r>
      <w:r>
        <w:t xml:space="preserve">  We will endeavor to work with participants, to the extent practicable, on </w:t>
      </w:r>
      <w:r w:rsidRPr="00C17574">
        <w:t>Treasury Offset </w:t>
      </w:r>
      <w:r>
        <w:t>debt collection issues in connection with the disbursement process.  Participant</w:t>
      </w:r>
      <w:r>
        <w:t xml:space="preserve">s are, however, encouraged to proactively identify and resolve any outstanding federal and state debt issues before participating in the Reimbursement Program that could lead to a </w:t>
      </w:r>
      <w:r w:rsidRPr="00C17574">
        <w:t>Treasury Offset</w:t>
      </w:r>
      <w:r>
        <w:t>.</w:t>
      </w:r>
    </w:p>
    <w:p w:rsidR="00C736CB" w:rsidP="00C736CB" w14:paraId="1128D84D" w14:textId="77777777">
      <w:pPr>
        <w:pStyle w:val="ParaNum"/>
        <w:tabs>
          <w:tab w:val="left" w:pos="1440"/>
        </w:tabs>
      </w:pPr>
      <w:r>
        <w:rPr>
          <w:i/>
          <w:iCs/>
        </w:rPr>
        <w:t xml:space="preserve">Do Not Pay.  </w:t>
      </w:r>
      <w:r>
        <w:t>Absent comment on the issue, the Commission ad</w:t>
      </w:r>
      <w:r>
        <w:t>opts the proposal for the Bureau in coordination with the Commission’s Office of Managing Director to “</w:t>
      </w:r>
      <w:r w:rsidRPr="00097AEF">
        <w:t xml:space="preserve">conduct a thorough review of the federal </w:t>
      </w:r>
      <w:r>
        <w:t>“</w:t>
      </w:r>
      <w:r w:rsidRPr="00097AEF">
        <w:t>Do Not Pay</w:t>
      </w:r>
      <w:r>
        <w:t>”</w:t>
      </w:r>
      <w:r w:rsidRPr="00097AEF">
        <w:t xml:space="preserve"> system database to</w:t>
      </w:r>
      <w:r>
        <w:t xml:space="preserve"> </w:t>
      </w:r>
      <w:r w:rsidRPr="00097AEF">
        <w:t>verify an applicant’s eligibility for payments and awards</w:t>
      </w:r>
      <w:r>
        <w:t>”</w:t>
      </w:r>
      <w:r>
        <w:rPr>
          <w:rStyle w:val="FootnoteReference"/>
        </w:rPr>
        <w:footnoteReference w:id="326"/>
      </w:r>
      <w:r>
        <w:t xml:space="preserve"> before distributing</w:t>
      </w:r>
      <w:r>
        <w:t xml:space="preserve"> the funding.  Pursuant to the Payment Integrity Information Act of 2019 (PIIA), the Commission is required to ensure that a thorough review of available databases with relevant information on eligibility occurs to determine program or award eligibility an</w:t>
      </w:r>
      <w:r>
        <w:t>d prevent improper payments before the release of any federal funds.”</w:t>
      </w:r>
      <w:r>
        <w:rPr>
          <w:rStyle w:val="FootnoteReference"/>
        </w:rPr>
        <w:footnoteReference w:id="327"/>
      </w:r>
      <w:r>
        <w:t xml:space="preserve">  The Department of Treasury’s Do Not Pay system </w:t>
      </w:r>
      <w:r>
        <w:t>is designed to decrease improper payments in federal programs such as the payment of funds to ineligible recipients, overpayment, or und</w:t>
      </w:r>
      <w:r>
        <w:t>erpayment.</w:t>
      </w:r>
      <w:r>
        <w:rPr>
          <w:rStyle w:val="FootnoteReference"/>
        </w:rPr>
        <w:footnoteReference w:id="328"/>
      </w:r>
      <w:r>
        <w:t xml:space="preserve">  </w:t>
      </w:r>
    </w:p>
    <w:p w:rsidR="00C736CB" w:rsidRPr="00C14F17" w:rsidP="00C736CB" w14:paraId="66FEACE8" w14:textId="295DCA3D">
      <w:pPr>
        <w:pStyle w:val="ParaNum"/>
        <w:tabs>
          <w:tab w:val="left" w:pos="1440"/>
        </w:tabs>
      </w:pPr>
      <w:r>
        <w:t>Under the PIIA, the Commission is required to verify the eligibility of the funding recipient in multiple databases before allocating and distributing the funding.</w:t>
      </w:r>
      <w:r>
        <w:rPr>
          <w:rStyle w:val="FootnoteReference"/>
        </w:rPr>
        <w:footnoteReference w:id="329"/>
      </w:r>
      <w:r>
        <w:t xml:space="preserve">  The Reimbursement Program Fund Administrator will initially check whether </w:t>
      </w:r>
      <w:r>
        <w:t>an applicant is identified in the Do Not Pay system.  If an applicant is ineligible for funding under the Do Not Pay system, the Reimbursement Program Fund Administrator will notify the applicant and provide an opportunity for the applicant to expeditiousl</w:t>
      </w:r>
      <w:r>
        <w:t>y resolve the matter with the Do Not Pay system.  The Bureau will not allocate funding to the applicant if an applicant is ineligible for funding under the Do Not Pay system.</w:t>
      </w:r>
      <w:r>
        <w:rPr>
          <w:rStyle w:val="FootnoteReference"/>
        </w:rPr>
        <w:footnoteReference w:id="330"/>
      </w:r>
      <w:r>
        <w:t xml:space="preserve">  If a check of the Do Not Pay system results in a finding that a Reimbursement </w:t>
      </w:r>
      <w:r>
        <w:t>Program applicant is ineligible for funding or payment, the Commission will withhold funding and/or payments as appropriate. The Program Administrator may work with the applicant to give it an opportunity to resolve its listing in the Department of the Tre</w:t>
      </w:r>
      <w:r>
        <w:t>asury’s Do Not Pay system if the applicant can produce evidence that its listing in the Do Not Pay system should be removed. However, the applicant or program participant will be responsible for working with the relevant agency to correct its information b</w:t>
      </w:r>
      <w:r>
        <w:t>efore funding can be allocated or payment can be made by the Commission.”</w:t>
      </w:r>
      <w:r>
        <w:rPr>
          <w:rStyle w:val="FootnoteReference"/>
        </w:rPr>
        <w:footnoteReference w:id="331"/>
      </w:r>
    </w:p>
    <w:p w:rsidR="00C736CB" w:rsidP="00C736CB" w14:paraId="533C1D31" w14:textId="77777777">
      <w:pPr>
        <w:pStyle w:val="ParaNum"/>
        <w:tabs>
          <w:tab w:val="left" w:pos="1440"/>
        </w:tabs>
      </w:pPr>
      <w:r>
        <w:rPr>
          <w:i/>
          <w:iCs/>
        </w:rPr>
        <w:t xml:space="preserve">Red Light Rule.  </w:t>
      </w:r>
      <w:r>
        <w:t xml:space="preserve">In the </w:t>
      </w:r>
      <w:r w:rsidRPr="00381F94">
        <w:rPr>
          <w:i/>
          <w:iCs/>
        </w:rPr>
        <w:t>Reimbursement Procedures Public Notice</w:t>
      </w:r>
      <w:r>
        <w:t>, we sought comment on waiving the Commission’s “red light rule” for all funding allocations and disbursements from th</w:t>
      </w:r>
      <w:r>
        <w:t>e Reimbursement Program.</w:t>
      </w:r>
      <w:r>
        <w:rPr>
          <w:rStyle w:val="FootnoteReference"/>
        </w:rPr>
        <w:footnoteReference w:id="332"/>
      </w:r>
      <w:r>
        <w:t xml:space="preserve">  RWA supported this proposal.</w:t>
      </w:r>
      <w:r>
        <w:rPr>
          <w:rStyle w:val="FootnoteReference"/>
        </w:rPr>
        <w:footnoteReference w:id="333"/>
      </w:r>
      <w:r>
        <w:t xml:space="preserve">  Accordingly, we will waive the “red light rule” for the Reimbursement Program as discussed herein.  </w:t>
      </w:r>
    </w:p>
    <w:p w:rsidR="00C736CB" w:rsidP="002C5409" w14:paraId="4438C3A2" w14:textId="77777777">
      <w:pPr>
        <w:pStyle w:val="ParaNum"/>
        <w:widowControl/>
        <w:tabs>
          <w:tab w:val="left" w:pos="1440"/>
        </w:tabs>
      </w:pPr>
      <w:r>
        <w:t xml:space="preserve">The Commission’s “red light rule” prevents parties who are delinquent on debts owed to the </w:t>
      </w:r>
      <w:r>
        <w:t>Commission from receiving benefits from the Commission while the debts remain unpaid.</w:t>
      </w:r>
      <w:r>
        <w:rPr>
          <w:rStyle w:val="FootnoteReference"/>
        </w:rPr>
        <w:footnoteReference w:id="334"/>
      </w:r>
      <w:r>
        <w:t xml:space="preserve">  The Commission adopted the “red light rule” in implementation of the Federal </w:t>
      </w:r>
      <w:r w:rsidRPr="000948A5">
        <w:t>Debt Collection Improvement Act of 1996</w:t>
      </w:r>
      <w:r>
        <w:t xml:space="preserve"> that sought to “</w:t>
      </w:r>
      <w:r w:rsidRPr="009C3ED7">
        <w:t>maximize collections of delinquent</w:t>
      </w:r>
      <w:r w:rsidRPr="009C3ED7">
        <w:t xml:space="preserve"> debts owed to the Government</w:t>
      </w:r>
      <w:r>
        <w:t xml:space="preserve"> . . .”</w:t>
      </w:r>
      <w:r>
        <w:rPr>
          <w:rStyle w:val="FootnoteReference"/>
        </w:rPr>
        <w:footnoteReference w:id="335"/>
      </w:r>
      <w:r>
        <w:t xml:space="preserve">  The Commission has the authority to waive the “red light rule” for “good cause shown” under the Commission’s rules.</w:t>
      </w:r>
      <w:r>
        <w:rPr>
          <w:rStyle w:val="FootnoteReference"/>
        </w:rPr>
        <w:footnoteReference w:id="336"/>
      </w:r>
      <w:r>
        <w:t xml:space="preserve">  The Commission can waive compliance with its own regulations when “p</w:t>
      </w:r>
      <w:r w:rsidRPr="003E49B3">
        <w:t>articular facts would make st</w:t>
      </w:r>
      <w:r w:rsidRPr="003E49B3">
        <w:t>rict compliance</w:t>
      </w:r>
      <w:r>
        <w:t xml:space="preserve"> [with the regulation]</w:t>
      </w:r>
      <w:r w:rsidRPr="003E49B3">
        <w:t xml:space="preserve"> inconsistent with the public interest</w:t>
      </w:r>
      <w:r>
        <w:t>.”</w:t>
      </w:r>
      <w:r>
        <w:rPr>
          <w:rStyle w:val="FootnoteReference"/>
        </w:rPr>
        <w:footnoteReference w:id="337"/>
      </w:r>
      <w:r>
        <w:t xml:space="preserve">  The Commission finds that the waiver of the “red light rule” is justified in this instance given the national </w:t>
      </w:r>
      <w:r>
        <w:t>security risks posed to U.S. networks by Huawei and ZTE covered c</w:t>
      </w:r>
      <w:r>
        <w:t>ommunications equipment and services.</w:t>
      </w:r>
      <w:r>
        <w:rPr>
          <w:rStyle w:val="FootnoteReference"/>
        </w:rPr>
        <w:footnoteReference w:id="338"/>
      </w:r>
    </w:p>
    <w:p w:rsidR="00C736CB" w:rsidP="00C736CB" w14:paraId="50B5E7BB" w14:textId="77777777">
      <w:pPr>
        <w:pStyle w:val="ParaNum"/>
        <w:tabs>
          <w:tab w:val="left" w:pos="1440"/>
        </w:tabs>
      </w:pPr>
      <w:r w:rsidRPr="713B60C4">
        <w:rPr>
          <w:i/>
          <w:snapToGrid/>
          <w:kern w:val="0"/>
        </w:rPr>
        <w:t>Paperwork Reduction Act</w:t>
      </w:r>
      <w:r>
        <w:rPr>
          <w:snapToGrid/>
          <w:kern w:val="0"/>
          <w:szCs w:val="22"/>
        </w:rPr>
        <w:t xml:space="preserve">.  </w:t>
      </w:r>
      <w:r w:rsidRPr="00976009">
        <w:t xml:space="preserve">This document implements the information collections adopted in the </w:t>
      </w:r>
      <w:r>
        <w:rPr>
          <w:i/>
        </w:rPr>
        <w:t xml:space="preserve">2020 Supply Chain Order </w:t>
      </w:r>
      <w:r w:rsidRPr="00976009">
        <w:t xml:space="preserve">and does not contain any additional information collection(s) subject to the Paperwork Reduction Act of 1995 (PRA), Public Law 104-13. </w:t>
      </w:r>
      <w:r>
        <w:t xml:space="preserve"> The Commission is separately </w:t>
      </w:r>
      <w:r w:rsidRPr="713B60C4">
        <w:rPr>
          <w:snapToGrid/>
          <w:kern w:val="0"/>
        </w:rPr>
        <w:t>seeking to obtain the approval of the Office of Management and Budget (OMB) for the informa</w:t>
      </w:r>
      <w:r w:rsidRPr="713B60C4">
        <w:rPr>
          <w:snapToGrid/>
          <w:kern w:val="0"/>
        </w:rPr>
        <w:t xml:space="preserve">tion collection requirements contained in the </w:t>
      </w:r>
      <w:r w:rsidRPr="713B60C4">
        <w:rPr>
          <w:i/>
          <w:snapToGrid/>
          <w:kern w:val="0"/>
        </w:rPr>
        <w:t xml:space="preserve">2020 Supply Chain Order </w:t>
      </w:r>
      <w:r w:rsidRPr="713B60C4">
        <w:rPr>
          <w:snapToGrid/>
          <w:kern w:val="0"/>
        </w:rPr>
        <w:t>per the Paperwork Reduction Act</w:t>
      </w:r>
      <w:r w:rsidRPr="006539ED">
        <w:rPr>
          <w:bCs/>
          <w:szCs w:val="22"/>
        </w:rPr>
        <w:t>.</w:t>
      </w:r>
      <w:r>
        <w:rPr>
          <w:rStyle w:val="FootnoteReference"/>
        </w:rPr>
        <w:footnoteReference w:id="339"/>
      </w:r>
      <w:r w:rsidRPr="006539ED">
        <w:rPr>
          <w:bCs/>
          <w:szCs w:val="22"/>
        </w:rPr>
        <w:t xml:space="preserve">  </w:t>
      </w:r>
      <w:r>
        <w:t>T</w:t>
      </w:r>
      <w:r w:rsidRPr="00976009">
        <w:t xml:space="preserve">herefore, this document does not contain any new or modified information collection burden for small business concerns with fewer than 25 employees, </w:t>
      </w:r>
      <w:r w:rsidRPr="00976009">
        <w:t>pursuant to the Small Busine</w:t>
      </w:r>
      <w:r>
        <w:t>ss Paperwork Relief Act of 2002, Public Law 107-198.</w:t>
      </w:r>
      <w:r>
        <w:rPr>
          <w:rStyle w:val="FootnoteReference"/>
        </w:rPr>
        <w:footnoteReference w:id="340"/>
      </w:r>
    </w:p>
    <w:p w:rsidR="00C736CB" w:rsidRPr="00EE447B" w:rsidP="00C736CB" w14:paraId="6D87CE84" w14:textId="77777777">
      <w:pPr>
        <w:pStyle w:val="ParaNum"/>
        <w:widowControl/>
        <w:tabs>
          <w:tab w:val="left" w:pos="1440"/>
        </w:tabs>
      </w:pPr>
      <w:r w:rsidRPr="00147B88">
        <w:rPr>
          <w:i/>
          <w:iCs/>
        </w:rPr>
        <w:t xml:space="preserve">Final Regulatory Flexibility </w:t>
      </w:r>
      <w:r>
        <w:rPr>
          <w:i/>
          <w:iCs/>
        </w:rPr>
        <w:t>Certification</w:t>
      </w:r>
      <w:r>
        <w:t xml:space="preserve">.  </w:t>
      </w:r>
      <w:r w:rsidRPr="0001178B">
        <w:t>The Regulatory Flexibility Act of 1980, as amended (RFA),</w:t>
      </w:r>
      <w:r>
        <w:rPr>
          <w:rStyle w:val="FootnoteReference"/>
        </w:rPr>
        <w:footnoteReference w:id="341"/>
      </w:r>
      <w:r>
        <w:t xml:space="preserve"> </w:t>
      </w:r>
      <w:r w:rsidRPr="008B38A3">
        <w:rPr>
          <w:shd w:val="clear" w:color="auto" w:fill="FFFFFF"/>
        </w:rPr>
        <w:t>requires that an agency prepare a regulatory flexibility analysis fo</w:t>
      </w:r>
      <w:r w:rsidRPr="008B38A3">
        <w:rPr>
          <w:shd w:val="clear" w:color="auto" w:fill="FFFFFF"/>
        </w:rPr>
        <w:t>r notice and comment rulemakings, unless the agency certifies that “the rule will not, if promulgated, have a significant economic impact on a substantial number of small entities.”   The RFA generally defines the term “small entity” as having the same mea</w:t>
      </w:r>
      <w:r w:rsidRPr="008B38A3">
        <w:rPr>
          <w:shd w:val="clear" w:color="auto" w:fill="FFFFFF"/>
        </w:rPr>
        <w:t>ning as the terms “small business,” “small organization,” and “small governmental jurisdiction.”</w:t>
      </w:r>
      <w:r>
        <w:rPr>
          <w:rStyle w:val="FootnoteReference"/>
          <w:shd w:val="clear" w:color="auto" w:fill="FFFFFF"/>
        </w:rPr>
        <w:footnoteReference w:id="342"/>
      </w:r>
      <w:r w:rsidRPr="008B38A3">
        <w:rPr>
          <w:shd w:val="clear" w:color="auto" w:fill="FFFFFF"/>
        </w:rPr>
        <w:t xml:space="preserve">  In addition, the term “small business” has the same meaning as the term “small business concerns” under the Small Business Act.</w:t>
      </w:r>
      <w:r>
        <w:rPr>
          <w:rStyle w:val="FootnoteReference"/>
          <w:shd w:val="clear" w:color="auto" w:fill="FFFFFF"/>
        </w:rPr>
        <w:footnoteReference w:id="343"/>
      </w:r>
      <w:r w:rsidRPr="008B38A3">
        <w:rPr>
          <w:shd w:val="clear" w:color="auto" w:fill="FFFFFF"/>
        </w:rPr>
        <w:t>  A “small business concern</w:t>
      </w:r>
      <w:r w:rsidRPr="008B38A3">
        <w:rPr>
          <w:shd w:val="clear" w:color="auto" w:fill="FFFFFF"/>
        </w:rPr>
        <w:t>” is one that: (1) is independently owned and operated; (2) is not dominant in its field of operation; and (3) satisfies any additional criteria established by the Small Business Administration (SBA).</w:t>
      </w:r>
      <w:r w:rsidRPr="008B38A3">
        <w:rPr>
          <w:shd w:val="clear" w:color="auto" w:fill="FFFFFF"/>
          <w:vertAlign w:val="superscript"/>
        </w:rPr>
        <w:t xml:space="preserve"> </w:t>
      </w:r>
      <w:r>
        <w:rPr>
          <w:rStyle w:val="FootnoteReference"/>
          <w:shd w:val="clear" w:color="auto" w:fill="FFFFFF"/>
        </w:rPr>
        <w:footnoteReference w:id="344"/>
      </w:r>
    </w:p>
    <w:p w:rsidR="00C736CB" w:rsidP="00C736CB" w14:paraId="0E0A9923" w14:textId="77777777">
      <w:pPr>
        <w:pStyle w:val="ParaNum"/>
        <w:widowControl/>
        <w:tabs>
          <w:tab w:val="left" w:pos="1440"/>
        </w:tabs>
      </w:pPr>
      <w:r>
        <w:t>The Commission prepared Initial Regulatory Flexibili</w:t>
      </w:r>
      <w:r>
        <w:t xml:space="preserve">ty Analyses (IRFAs) in connection with the </w:t>
      </w:r>
      <w:r w:rsidRPr="00192310">
        <w:rPr>
          <w:i/>
          <w:iCs/>
        </w:rPr>
        <w:t>2020 Supply Chain Declaratory Ruling and Second Further Notice</w:t>
      </w:r>
      <w:r>
        <w:rPr>
          <w:i/>
          <w:iCs/>
        </w:rPr>
        <w:t xml:space="preserve"> </w:t>
      </w:r>
      <w:r>
        <w:t xml:space="preserve">and the </w:t>
      </w:r>
      <w:r>
        <w:rPr>
          <w:i/>
          <w:iCs/>
        </w:rPr>
        <w:t>2021 Supply Chain Third Further Notice</w:t>
      </w:r>
      <w:r>
        <w:t>.</w:t>
      </w:r>
      <w:r>
        <w:rPr>
          <w:rStyle w:val="FootnoteReference"/>
        </w:rPr>
        <w:footnoteReference w:id="345"/>
      </w:r>
      <w:r>
        <w:t xml:space="preserve"> </w:t>
      </w:r>
      <w:r w:rsidRPr="009A56D8">
        <w:t xml:space="preserve">The Commission sought written public comment on the proposals in the </w:t>
      </w:r>
      <w:r w:rsidRPr="00192310">
        <w:rPr>
          <w:i/>
          <w:iCs/>
        </w:rPr>
        <w:t>2020 Supply Chain Declaratory R</w:t>
      </w:r>
      <w:r w:rsidRPr="00192310">
        <w:rPr>
          <w:i/>
          <w:iCs/>
        </w:rPr>
        <w:t>uling and Second Further Notice</w:t>
      </w:r>
      <w:r>
        <w:rPr>
          <w:i/>
          <w:iCs/>
        </w:rPr>
        <w:t xml:space="preserve"> </w:t>
      </w:r>
      <w:r>
        <w:t xml:space="preserve">and the </w:t>
      </w:r>
      <w:r>
        <w:rPr>
          <w:i/>
          <w:iCs/>
        </w:rPr>
        <w:t>2021 Supply Chain Third Further Notice</w:t>
      </w:r>
      <w:r w:rsidRPr="009650C3">
        <w:t>, including comments on the IRFAs.  No comments were filed addressing the IRFAs.  The Commission included Final Regulatory Flexibility Analys</w:t>
      </w:r>
      <w:r>
        <w:t>e</w:t>
      </w:r>
      <w:r w:rsidRPr="009650C3">
        <w:t>s (FRFA</w:t>
      </w:r>
      <w:r>
        <w:t>s</w:t>
      </w:r>
      <w:r w:rsidRPr="009650C3">
        <w:t xml:space="preserve">) in connection with the </w:t>
      </w:r>
      <w:r>
        <w:rPr>
          <w:i/>
        </w:rPr>
        <w:t>202</w:t>
      </w:r>
      <w:r>
        <w:rPr>
          <w:i/>
        </w:rPr>
        <w:t xml:space="preserve">0 Supply Chain </w:t>
      </w:r>
      <w:r w:rsidRPr="00EF42E2">
        <w:rPr>
          <w:i/>
        </w:rPr>
        <w:t>Order</w:t>
      </w:r>
      <w:r>
        <w:rPr>
          <w:i/>
        </w:rPr>
        <w:t xml:space="preserve"> </w:t>
      </w:r>
      <w:r>
        <w:rPr>
          <w:iCs/>
        </w:rPr>
        <w:t xml:space="preserve">and the </w:t>
      </w:r>
      <w:r w:rsidRPr="00BA03CA">
        <w:rPr>
          <w:i/>
        </w:rPr>
        <w:t>2021 Supply Chain Order</w:t>
      </w:r>
      <w:r w:rsidRPr="00116D2C">
        <w:t>.</w:t>
      </w:r>
      <w:r>
        <w:rPr>
          <w:rStyle w:val="FootnoteReference"/>
        </w:rPr>
        <w:footnoteReference w:id="346"/>
      </w:r>
      <w:r w:rsidRPr="009650C3">
        <w:t xml:space="preserve">  </w:t>
      </w:r>
    </w:p>
    <w:p w:rsidR="00C736CB" w:rsidP="00C736CB" w14:paraId="47A19EDE" w14:textId="77777777">
      <w:pPr>
        <w:pStyle w:val="ParaNum"/>
        <w:widowControl/>
      </w:pPr>
      <w:r w:rsidRPr="006B60BB">
        <w:t xml:space="preserve">This Public Notice establishes procedures for the </w:t>
      </w:r>
      <w:r>
        <w:t xml:space="preserve">Reimbursement Program to implement the rules adopted by the Commission for the Reimbursement Program in the </w:t>
      </w:r>
      <w:r w:rsidRPr="00EE447B">
        <w:rPr>
          <w:i/>
          <w:iCs/>
        </w:rPr>
        <w:t>2020 Supply Chain Order</w:t>
      </w:r>
      <w:r>
        <w:t xml:space="preserve"> and in the </w:t>
      </w:r>
      <w:r w:rsidRPr="00EE447B">
        <w:rPr>
          <w:i/>
          <w:iCs/>
        </w:rPr>
        <w:t>2021 Supply Chain Order</w:t>
      </w:r>
      <w:r w:rsidRPr="009650C3">
        <w:t>.</w:t>
      </w:r>
      <w:r>
        <w:rPr>
          <w:rStyle w:val="FootnoteReference"/>
        </w:rPr>
        <w:footnoteReference w:id="347"/>
      </w:r>
      <w:r w:rsidRPr="009650C3">
        <w:t xml:space="preserve">  In particular, this Public Notice establishes procedures for, among other things, </w:t>
      </w:r>
      <w:r>
        <w:t>det</w:t>
      </w:r>
      <w:r>
        <w:t>ermining program eligibility and participating in the program, including the filing and processing of applications</w:t>
      </w:r>
      <w:r w:rsidRPr="009650C3">
        <w:t>.</w:t>
      </w:r>
      <w:r>
        <w:t xml:space="preserve">  T</w:t>
      </w:r>
      <w:r w:rsidRPr="00DC75CD">
        <w:t xml:space="preserve">he procedures established in this </w:t>
      </w:r>
      <w:r w:rsidRPr="00755197">
        <w:t>Public Notice</w:t>
      </w:r>
      <w:r w:rsidRPr="009A56D8">
        <w:t xml:space="preserve"> </w:t>
      </w:r>
      <w:r>
        <w:t xml:space="preserve">flow from the proposals set forth in the </w:t>
      </w:r>
      <w:r>
        <w:rPr>
          <w:i/>
          <w:iCs/>
        </w:rPr>
        <w:t>2020 Supply Chain Declaratory Ruling and Second F</w:t>
      </w:r>
      <w:r>
        <w:rPr>
          <w:i/>
          <w:iCs/>
        </w:rPr>
        <w:t>urther Notice</w:t>
      </w:r>
      <w:r>
        <w:t xml:space="preserve"> and the </w:t>
      </w:r>
      <w:r>
        <w:rPr>
          <w:i/>
          <w:iCs/>
        </w:rPr>
        <w:t>2021 Supply Chain Third Further Notice</w:t>
      </w:r>
      <w:r>
        <w:t xml:space="preserve"> and discussed in the IRFAs accompanying those Notices, and</w:t>
      </w:r>
      <w:r w:rsidRPr="009A56D8">
        <w:t xml:space="preserve"> are consistent with the </w:t>
      </w:r>
      <w:r>
        <w:t>requirements established in the</w:t>
      </w:r>
      <w:r w:rsidRPr="009A56D8">
        <w:t xml:space="preserve"> </w:t>
      </w:r>
      <w:r w:rsidRPr="00BA167A">
        <w:rPr>
          <w:i/>
        </w:rPr>
        <w:t xml:space="preserve">2020 Supply Chain </w:t>
      </w:r>
      <w:r w:rsidRPr="003643C5">
        <w:rPr>
          <w:i/>
        </w:rPr>
        <w:t xml:space="preserve">Order </w:t>
      </w:r>
      <w:r w:rsidRPr="00F45E94">
        <w:rPr>
          <w:iCs/>
        </w:rPr>
        <w:t xml:space="preserve">and the </w:t>
      </w:r>
      <w:r w:rsidRPr="00F45E94">
        <w:rPr>
          <w:i/>
        </w:rPr>
        <w:t>2021 Supply Chain Order</w:t>
      </w:r>
      <w:r w:rsidRPr="00F45E94">
        <w:rPr>
          <w:i/>
          <w:iCs/>
        </w:rPr>
        <w:t xml:space="preserve"> </w:t>
      </w:r>
      <w:r w:rsidRPr="00DC75CD">
        <w:t xml:space="preserve">and </w:t>
      </w:r>
      <w:r>
        <w:t xml:space="preserve">addressed in </w:t>
      </w:r>
      <w:r w:rsidRPr="00DC75CD">
        <w:t xml:space="preserve">the </w:t>
      </w:r>
      <w:r>
        <w:t>FRF</w:t>
      </w:r>
      <w:r>
        <w:t xml:space="preserve">As accompanying those Orders. </w:t>
      </w:r>
      <w:r w:rsidRPr="00DC75CD">
        <w:t xml:space="preserve"> </w:t>
      </w:r>
      <w:r>
        <w:t>Accordingly,</w:t>
      </w:r>
      <w:r w:rsidRPr="00DC75CD">
        <w:t xml:space="preserve"> no changes to our earlier analyses are required.</w:t>
      </w:r>
      <w:r>
        <w:t xml:space="preserve">  </w:t>
      </w:r>
    </w:p>
    <w:p w:rsidR="00C736CB" w:rsidRPr="00DC75CD" w:rsidP="00C736CB" w14:paraId="1E588B9C" w14:textId="77777777">
      <w:pPr>
        <w:pStyle w:val="ParaNum"/>
        <w:widowControl/>
      </w:pPr>
      <w:r w:rsidRPr="00157C9D">
        <w:t>We have determined that the impact on the entities affected by the r</w:t>
      </w:r>
      <w:r>
        <w:t xml:space="preserve">equirements contained in this Public Notice </w:t>
      </w:r>
      <w:r w:rsidRPr="00157C9D">
        <w:t xml:space="preserve">will </w:t>
      </w:r>
      <w:r>
        <w:t xml:space="preserve">not </w:t>
      </w:r>
      <w:r w:rsidRPr="00157C9D">
        <w:t xml:space="preserve">be significant. </w:t>
      </w:r>
      <w:r>
        <w:t xml:space="preserve"> </w:t>
      </w:r>
      <w:r w:rsidRPr="00157C9D">
        <w:t xml:space="preserve">The effect </w:t>
      </w:r>
      <w:r>
        <w:t>of these mea</w:t>
      </w:r>
      <w:r>
        <w:t>sures</w:t>
      </w:r>
      <w:r w:rsidRPr="00157C9D">
        <w:t xml:space="preserve"> is to </w:t>
      </w:r>
      <w:r>
        <w:t xml:space="preserve">establish for the benefit of </w:t>
      </w:r>
      <w:r w:rsidRPr="00157C9D">
        <w:t xml:space="preserve">those entities, including small entities, the </w:t>
      </w:r>
      <w:r>
        <w:t xml:space="preserve">procedures for </w:t>
      </w:r>
      <w:r w:rsidRPr="00157C9D">
        <w:t xml:space="preserve">filing an application </w:t>
      </w:r>
      <w:r>
        <w:t>consistent with existing rules,</w:t>
      </w:r>
      <w:r w:rsidRPr="00157C9D">
        <w:t xml:space="preserve"> </w:t>
      </w:r>
      <w:r>
        <w:t>to participate in the Reimbursement Program to obtain funding support to remove from their networks,</w:t>
      </w:r>
      <w:r>
        <w:t xml:space="preserve"> replace, and dispose of communications equipment and service considered a national security risk.  </w:t>
      </w:r>
    </w:p>
    <w:p w:rsidR="00C736CB" w:rsidRPr="009650C3" w:rsidP="00C736CB" w14:paraId="45F094CC" w14:textId="77777777">
      <w:pPr>
        <w:pStyle w:val="ParaNum"/>
        <w:widowControl/>
      </w:pPr>
      <w:r w:rsidRPr="005E1D51">
        <w:t xml:space="preserve"> </w:t>
      </w:r>
      <w:r w:rsidRPr="00EC1636">
        <w:t>We therefore certify that the requirements of th</w:t>
      </w:r>
      <w:r>
        <w:t>is Public Notice</w:t>
      </w:r>
      <w:r w:rsidRPr="00EC1636">
        <w:t xml:space="preserve"> will not have a significant economic impact on a substantial number of small entities. </w:t>
      </w:r>
      <w:r>
        <w:t xml:space="preserve"> </w:t>
      </w:r>
      <w:r w:rsidRPr="00EC1636">
        <w:t xml:space="preserve">The </w:t>
      </w:r>
      <w:r>
        <w:t>Bureau</w:t>
      </w:r>
      <w:r w:rsidRPr="00EC1636">
        <w:t xml:space="preserve"> will send a copy of the </w:t>
      </w:r>
      <w:r>
        <w:t>Public Notice</w:t>
      </w:r>
      <w:r w:rsidRPr="00EC1636">
        <w:t xml:space="preserve"> including a copy of this</w:t>
      </w:r>
      <w:r>
        <w:t xml:space="preserve"> </w:t>
      </w:r>
      <w:r w:rsidRPr="00EE447B">
        <w:t>Final</w:t>
      </w:r>
      <w:r w:rsidRPr="006C2F93">
        <w:t> </w:t>
      </w:r>
      <w:r w:rsidRPr="00EE447B">
        <w:t>Regulatory</w:t>
      </w:r>
      <w:r w:rsidRPr="006C2F93">
        <w:t> </w:t>
      </w:r>
      <w:r w:rsidRPr="00EE447B">
        <w:t>Flexibility</w:t>
      </w:r>
      <w:r w:rsidRPr="006C2F93">
        <w:t> </w:t>
      </w:r>
      <w:r w:rsidRPr="00EE447B">
        <w:t>Certification</w:t>
      </w:r>
      <w:r w:rsidRPr="00EC1636">
        <w:t>, in a report to Congress pursuant to the Congressi</w:t>
      </w:r>
      <w:r w:rsidRPr="00EC1636">
        <w:t>onal Review Act.</w:t>
      </w:r>
      <w:r>
        <w:rPr>
          <w:rStyle w:val="FootnoteReference"/>
        </w:rPr>
        <w:footnoteReference w:id="348"/>
      </w:r>
      <w:r>
        <w:t xml:space="preserve"> </w:t>
      </w:r>
      <w:r w:rsidRPr="00EC1636">
        <w:t xml:space="preserve"> In addition, the </w:t>
      </w:r>
      <w:r>
        <w:t>Public Notice</w:t>
      </w:r>
      <w:r w:rsidRPr="00EC1636">
        <w:t xml:space="preserve"> and this final certification will be sent to the Chief Counsel for Advocacy of the SBA, and will be published in the Federal Register.</w:t>
      </w:r>
      <w:r>
        <w:rPr>
          <w:rStyle w:val="FootnoteReference"/>
        </w:rPr>
        <w:footnoteReference w:id="349"/>
      </w:r>
    </w:p>
    <w:p w:rsidR="00C736CB" w:rsidP="00C736CB" w14:paraId="398927A2" w14:textId="77777777">
      <w:pPr>
        <w:pStyle w:val="ParaNum"/>
        <w:widowControl/>
      </w:pPr>
      <w:bookmarkStart w:id="130" w:name="_Toc501095464"/>
      <w:bookmarkStart w:id="131" w:name="_Toc501361527"/>
      <w:bookmarkStart w:id="132" w:name="_Toc501361735"/>
      <w:bookmarkStart w:id="133" w:name="_Toc502758436"/>
      <w:bookmarkStart w:id="134" w:name="_Toc502845848"/>
      <w:bookmarkStart w:id="135" w:name="_Toc502926783"/>
      <w:bookmarkStart w:id="136" w:name="_Toc502932178"/>
      <w:bookmarkStart w:id="137" w:name="_Toc504661057"/>
      <w:bookmarkStart w:id="138" w:name="_Toc504721848"/>
      <w:bookmarkStart w:id="139" w:name="_Toc505008784"/>
      <w:r w:rsidRPr="00775F79">
        <w:rPr>
          <w:i/>
        </w:rPr>
        <w:t>Report to Congress</w:t>
      </w:r>
      <w:bookmarkEnd w:id="130"/>
      <w:bookmarkEnd w:id="131"/>
      <w:bookmarkEnd w:id="132"/>
      <w:bookmarkEnd w:id="133"/>
      <w:bookmarkEnd w:id="134"/>
      <w:bookmarkEnd w:id="135"/>
      <w:bookmarkEnd w:id="136"/>
      <w:bookmarkEnd w:id="137"/>
      <w:bookmarkEnd w:id="138"/>
      <w:bookmarkEnd w:id="139"/>
      <w:r w:rsidRPr="00775F79">
        <w:rPr>
          <w:i/>
        </w:rPr>
        <w:t xml:space="preserve">.  </w:t>
      </w:r>
      <w:r>
        <w:t>The Commission has determined, and the Administ</w:t>
      </w:r>
      <w:r>
        <w:t xml:space="preserve">rator of the Office of Information and Regulatory Affairs, Office of Management and Budget, concurs, that these requirements are non-major under the Congressional Review Act, 5 U.S.C. </w:t>
      </w:r>
      <w:r w:rsidRPr="00C736CB">
        <w:t>§</w:t>
      </w:r>
      <w:r>
        <w:t xml:space="preserve"> 804(2).  The Bureau will send a copy of this Public Notice to Congress</w:t>
      </w:r>
      <w:r>
        <w:t xml:space="preserve"> and the Government Accountability Office pursuant to 5 U.S.C. </w:t>
      </w:r>
      <w:r w:rsidRPr="00C736CB">
        <w:t>§</w:t>
      </w:r>
      <w:r>
        <w:t xml:space="preserve"> 801(a)(1)(A).</w:t>
      </w:r>
      <w:r w:rsidRPr="00680FCA">
        <w:t> </w:t>
      </w:r>
      <w:r w:rsidRPr="00680FCA">
        <w:rPr>
          <w:i/>
          <w:iCs/>
        </w:rPr>
        <w:t xml:space="preserve"> </w:t>
      </w:r>
    </w:p>
    <w:p w:rsidR="00C736CB" w:rsidRPr="006539ED" w:rsidP="00C736CB" w14:paraId="5DC23D4E" w14:textId="77777777">
      <w:pPr>
        <w:pStyle w:val="ParaNum"/>
        <w:numPr>
          <w:ilvl w:val="0"/>
          <w:numId w:val="0"/>
        </w:numPr>
        <w:ind w:firstLine="720"/>
        <w:rPr>
          <w:szCs w:val="22"/>
        </w:rPr>
      </w:pPr>
      <w:r w:rsidRPr="006539ED">
        <w:rPr>
          <w:szCs w:val="22"/>
        </w:rPr>
        <w:t xml:space="preserve">For additional information on this matter, please email </w:t>
      </w:r>
      <w:hyperlink r:id="rId5" w:history="1">
        <w:r w:rsidRPr="006539ED">
          <w:rPr>
            <w:rStyle w:val="Hyperlink"/>
            <w:szCs w:val="22"/>
          </w:rPr>
          <w:t>supplychain@fcc.gov</w:t>
        </w:r>
      </w:hyperlink>
      <w:r w:rsidRPr="006539ED">
        <w:rPr>
          <w:szCs w:val="22"/>
        </w:rPr>
        <w:t xml:space="preserve">. </w:t>
      </w:r>
    </w:p>
    <w:p w:rsidR="00C736CB" w:rsidP="00316708" w14:paraId="1075477A" w14:textId="5BA98D60">
      <w:pPr>
        <w:pStyle w:val="ParaNum"/>
        <w:numPr>
          <w:ilvl w:val="0"/>
          <w:numId w:val="0"/>
        </w:numPr>
        <w:jc w:val="center"/>
      </w:pPr>
      <w:r w:rsidRPr="006539ED">
        <w:rPr>
          <w:b/>
          <w:bCs/>
          <w:szCs w:val="22"/>
        </w:rPr>
        <w:t xml:space="preserve">- FCC </w:t>
      </w:r>
      <w:r>
        <w:rPr>
          <w:b/>
          <w:bCs/>
          <w:szCs w:val="22"/>
        </w:rPr>
        <w:t>-</w:t>
      </w:r>
      <w:bookmarkEnd w:id="0"/>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D11" w14:paraId="12628F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7D0D11" w14:paraId="6A1BC0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D11" w14:paraId="507DB64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D11" w14:paraId="63D9642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295E" w14:paraId="335E673F" w14:textId="77777777">
      <w:r>
        <w:separator/>
      </w:r>
    </w:p>
  </w:footnote>
  <w:footnote w:type="continuationSeparator" w:id="1">
    <w:p w:rsidR="00E4295E" w14:paraId="1F7BE85C" w14:textId="77777777">
      <w:pPr>
        <w:rPr>
          <w:sz w:val="20"/>
        </w:rPr>
      </w:pPr>
      <w:r>
        <w:rPr>
          <w:sz w:val="20"/>
        </w:rPr>
        <w:t xml:space="preserve">(Continued from previous page)  </w:t>
      </w:r>
      <w:r>
        <w:rPr>
          <w:sz w:val="20"/>
        </w:rPr>
        <w:separator/>
      </w:r>
    </w:p>
  </w:footnote>
  <w:footnote w:type="continuationNotice" w:id="2">
    <w:p w:rsidR="00E4295E" w14:paraId="2ED58590" w14:textId="77777777">
      <w:pPr>
        <w:jc w:val="right"/>
        <w:rPr>
          <w:sz w:val="20"/>
        </w:rPr>
      </w:pPr>
      <w:r>
        <w:rPr>
          <w:sz w:val="20"/>
        </w:rPr>
        <w:t>(continued….)</w:t>
      </w:r>
    </w:p>
  </w:footnote>
  <w:footnote w:id="3">
    <w:p w:rsidR="008115D5" w:rsidP="00C736CB" w14:paraId="1E833CD7" w14:textId="77777777">
      <w:pPr>
        <w:pStyle w:val="FootnoteText"/>
      </w:pPr>
      <w:r>
        <w:rPr>
          <w:rStyle w:val="FootnoteReference"/>
        </w:rPr>
        <w:footnoteRef/>
      </w:r>
      <w:r>
        <w:t xml:space="preserve"> The rules adopted by the Commission in 47 CFR § 1.50004, and cited herein, contain new or modified information collection requirements subject to approval from the Office of Management and Budget pursuant to the Paperwork Reduction Act of 1995, Pub. L. 10</w:t>
      </w:r>
      <w:r>
        <w:t xml:space="preserve">4-13, before becoming effective.  Accordingly, those rule subparts requiring OMB approval are currently denoted as “reserved” in the Electronic Code of Federal Regulations, eCFR.gov.  To find the full text of the adopted rule, see Appx. A to the </w:t>
      </w:r>
      <w:r w:rsidRPr="00EE447B">
        <w:rPr>
          <w:i/>
        </w:rPr>
        <w:t>2020 Suppl</w:t>
      </w:r>
      <w:r w:rsidRPr="00EE447B">
        <w:rPr>
          <w:i/>
        </w:rPr>
        <w:t>y Chain Order</w:t>
      </w:r>
      <w:r>
        <w:t xml:space="preserve">, as amended by Appx. A to the </w:t>
      </w:r>
      <w:r w:rsidRPr="00EE447B">
        <w:rPr>
          <w:i/>
        </w:rPr>
        <w:t>2021</w:t>
      </w:r>
      <w:r w:rsidRPr="00EE447B">
        <w:rPr>
          <w:i/>
          <w:iCs/>
        </w:rPr>
        <w:t xml:space="preserve"> Supply Chain Order</w:t>
      </w:r>
      <w:r>
        <w:t xml:space="preserve">.  </w:t>
      </w:r>
      <w:r w:rsidRPr="77659CA4">
        <w:rPr>
          <w:i/>
        </w:rPr>
        <w:t>Protecting Against National Security Threats to the Communications Supply Chain Through FCC Programs</w:t>
      </w:r>
      <w:r w:rsidRPr="77659CA4">
        <w:t>, WC Docket No. 18-89, Second Report and Order, 35 FCC Rcd 14284</w:t>
      </w:r>
      <w:r>
        <w:t>, 14374-83, Appx. A</w:t>
      </w:r>
      <w:r w:rsidRPr="77659CA4">
        <w:t xml:space="preserve"> (2</w:t>
      </w:r>
      <w:r w:rsidRPr="77659CA4">
        <w:t>020)</w:t>
      </w:r>
      <w:r w:rsidRPr="00504183">
        <w:rPr>
          <w:i/>
          <w:iCs/>
        </w:rPr>
        <w:t xml:space="preserve"> </w:t>
      </w:r>
      <w:r w:rsidRPr="00EE447B">
        <w:t>(</w:t>
      </w:r>
      <w:r w:rsidRPr="00504183">
        <w:rPr>
          <w:i/>
          <w:iCs/>
        </w:rPr>
        <w:t>2020 Supply Chain Order</w:t>
      </w:r>
      <w:r w:rsidRPr="00EE447B">
        <w:t>)</w:t>
      </w:r>
      <w:r>
        <w:t xml:space="preserve">; </w:t>
      </w:r>
      <w:r w:rsidRPr="00EE447B">
        <w:rPr>
          <w:i/>
          <w:iCs/>
        </w:rPr>
        <w:t xml:space="preserve">Protecting Against National Security Threats to the Communications Supply Chain Through FCC Programs, </w:t>
      </w:r>
      <w:r w:rsidRPr="00EE447B">
        <w:t>WC Docket No. 18-89, Third Report and Order, FCC</w:t>
      </w:r>
      <w:r>
        <w:t xml:space="preserve"> </w:t>
      </w:r>
      <w:r w:rsidRPr="00EE447B">
        <w:t>21-86,</w:t>
      </w:r>
      <w:r w:rsidRPr="733A38EF">
        <w:t xml:space="preserve"> 2021 WL </w:t>
      </w:r>
      <w:r w:rsidRPr="5F7AE499">
        <w:t xml:space="preserve">3024271, at </w:t>
      </w:r>
      <w:r>
        <w:t>49-51</w:t>
      </w:r>
      <w:r w:rsidRPr="7A753717">
        <w:t>,</w:t>
      </w:r>
      <w:r w:rsidRPr="00EE447B">
        <w:t xml:space="preserve"> </w:t>
      </w:r>
      <w:r>
        <w:t xml:space="preserve">Appx. A </w:t>
      </w:r>
      <w:r w:rsidRPr="00EE447B">
        <w:t>(Jul. 14, 2021) (</w:t>
      </w:r>
      <w:r w:rsidRPr="00EE447B">
        <w:rPr>
          <w:i/>
          <w:iCs/>
        </w:rPr>
        <w:t xml:space="preserve">2021 </w:t>
      </w:r>
      <w:r w:rsidRPr="00EE447B">
        <w:rPr>
          <w:i/>
          <w:iCs/>
        </w:rPr>
        <w:t>Supply Chain Order</w:t>
      </w:r>
      <w:r w:rsidRPr="00EE447B">
        <w:t>).</w:t>
      </w:r>
    </w:p>
  </w:footnote>
  <w:footnote w:id="4">
    <w:p w:rsidR="008115D5" w:rsidP="00C736CB" w14:paraId="2BC1D734" w14:textId="77777777">
      <w:pPr>
        <w:pStyle w:val="FootnoteText"/>
      </w:pPr>
      <w:r>
        <w:rPr>
          <w:rStyle w:val="FootnoteReference"/>
        </w:rPr>
        <w:footnoteRef/>
      </w:r>
      <w:r>
        <w:t xml:space="preserve"> </w:t>
      </w:r>
      <w:r w:rsidRPr="00264F76">
        <w:rPr>
          <w:i/>
          <w:iCs/>
        </w:rPr>
        <w:t>Wireline Competition Bureau Seeks Comment on Secure and Trusted Communications Networks Reimbursement Program Application Filings and Process</w:t>
      </w:r>
      <w:r w:rsidRPr="00264F76">
        <w:t>, WC Docket No. 18-89, Public Notice, DA 21-607 (WCB May 24, 2021) (</w:t>
      </w:r>
      <w:r w:rsidRPr="00264F76">
        <w:rPr>
          <w:i/>
          <w:iCs/>
        </w:rPr>
        <w:t xml:space="preserve">Reimbursement Process </w:t>
      </w:r>
      <w:r>
        <w:rPr>
          <w:i/>
          <w:iCs/>
        </w:rPr>
        <w:t>Pu</w:t>
      </w:r>
      <w:r>
        <w:rPr>
          <w:i/>
          <w:iCs/>
        </w:rPr>
        <w:t>blic Notice</w:t>
      </w:r>
      <w:r w:rsidRPr="00264F76">
        <w:t>).</w:t>
      </w:r>
      <w:r>
        <w:t xml:space="preserve">  </w:t>
      </w:r>
    </w:p>
  </w:footnote>
  <w:footnote w:id="5">
    <w:p w:rsidR="008115D5" w:rsidP="00C736CB" w14:paraId="4669AA3A" w14:textId="77777777">
      <w:pPr>
        <w:pStyle w:val="FootnoteText"/>
      </w:pPr>
      <w:r>
        <w:rPr>
          <w:rStyle w:val="FootnoteReference"/>
        </w:rPr>
        <w:footnoteRef/>
      </w:r>
      <w:r>
        <w:t xml:space="preserve"> </w:t>
      </w:r>
      <w:r w:rsidRPr="00AC2E80">
        <w:rPr>
          <w:i/>
          <w:iCs/>
        </w:rPr>
        <w:t>See 2021 Supply Chain Order</w:t>
      </w:r>
      <w:r>
        <w:t xml:space="preserve">, Stmt. of Acting Chairwoman Jessica Rosenworcel at *1, </w:t>
      </w:r>
      <w:hyperlink r:id="rId1" w:history="1">
        <w:r w:rsidRPr="00FC7C75">
          <w:rPr>
            <w:rStyle w:val="Hyperlink"/>
          </w:rPr>
          <w:t>https://docs.fcc.gov/public/attachments/FCC-21-86A2.pdf</w:t>
        </w:r>
      </w:hyperlink>
      <w:r>
        <w:t xml:space="preserve">. </w:t>
      </w:r>
    </w:p>
  </w:footnote>
  <w:footnote w:id="6">
    <w:p w:rsidR="008115D5" w:rsidRPr="00264F76" w:rsidP="00C736CB" w14:paraId="5EB43FB8" w14:textId="77777777">
      <w:pPr>
        <w:pStyle w:val="FootnoteText"/>
      </w:pPr>
      <w:r w:rsidRPr="00264F76">
        <w:rPr>
          <w:rStyle w:val="FootnoteReference"/>
          <w:sz w:val="20"/>
        </w:rPr>
        <w:footnoteRef/>
      </w:r>
      <w:r w:rsidRPr="00264F76">
        <w:t xml:space="preserve"> </w:t>
      </w:r>
      <w:r w:rsidRPr="00264F76">
        <w:rPr>
          <w:i/>
          <w:iCs/>
        </w:rPr>
        <w:t>Wireline Competition Bu</w:t>
      </w:r>
      <w:r w:rsidRPr="00264F76">
        <w:rPr>
          <w:i/>
          <w:iCs/>
        </w:rPr>
        <w:t>reau Seeks Comment on a Report and Preliminary Cost Catalog and Replacement List to Help Providers Participate in the Supply Chain Reimbursement Program</w:t>
      </w:r>
      <w:r w:rsidRPr="00264F76">
        <w:t>, WC Docket No. 18-89, Public Notice, DA 21-355 (WCB Mar. 25, 2021) (</w:t>
      </w:r>
      <w:r w:rsidRPr="00264F76">
        <w:rPr>
          <w:i/>
          <w:iCs/>
        </w:rPr>
        <w:t>Catalog Public Notice</w:t>
      </w:r>
      <w:r w:rsidRPr="00264F76">
        <w:t xml:space="preserve">).  </w:t>
      </w:r>
    </w:p>
  </w:footnote>
  <w:footnote w:id="7">
    <w:p w:rsidR="008115D5" w:rsidP="00C736CB" w14:paraId="43FD6F14" w14:textId="77777777">
      <w:pPr>
        <w:pStyle w:val="FootnoteText"/>
      </w:pPr>
      <w:r w:rsidRPr="00EE447B">
        <w:rPr>
          <w:rStyle w:val="FootnoteReference"/>
          <w:sz w:val="20"/>
        </w:rPr>
        <w:footnoteRef/>
      </w:r>
      <w:r>
        <w:t xml:space="preserve"> Informa</w:t>
      </w:r>
      <w:r>
        <w:t xml:space="preserve">tion related to the FCC’s supply chain proceeding and the Reimbursement Program is available at </w:t>
      </w:r>
      <w:hyperlink r:id="rId2" w:history="1">
        <w:r w:rsidRPr="006725EF">
          <w:rPr>
            <w:rStyle w:val="Hyperlink"/>
          </w:rPr>
          <w:t>https://www.fcc.gov/supplychain</w:t>
        </w:r>
      </w:hyperlink>
      <w:r>
        <w:t>.</w:t>
      </w:r>
    </w:p>
  </w:footnote>
  <w:footnote w:id="8">
    <w:p w:rsidR="008115D5" w:rsidRPr="005A4D56" w:rsidP="00C736CB" w14:paraId="6C9B280E" w14:textId="77777777">
      <w:pPr>
        <w:pStyle w:val="FootnoteText"/>
      </w:pPr>
      <w:r w:rsidRPr="00EE447B">
        <w:rPr>
          <w:rStyle w:val="FootnoteReference"/>
          <w:sz w:val="20"/>
        </w:rPr>
        <w:footnoteRef/>
      </w:r>
      <w:r w:rsidRPr="005A4D56">
        <w:t xml:space="preserve"> Secure and Trusted Communications Networks Act of 2019, Pub. L. No. 116-124, </w:t>
      </w:r>
      <w:r w:rsidRPr="005A4D56">
        <w:t>§ 4(a)-(c), 134 Stat. 158 (2020) (codified as amended at 47 U.S.C. §§ 1601–1609) (Secure Networks Act)</w:t>
      </w:r>
      <w:r>
        <w:t>.</w:t>
      </w:r>
    </w:p>
  </w:footnote>
  <w:footnote w:id="9">
    <w:p w:rsidR="008115D5" w:rsidRPr="00FA6D8C" w:rsidP="00C736CB" w14:paraId="175CA078" w14:textId="77777777">
      <w:pPr>
        <w:pStyle w:val="FootnoteText"/>
        <w:spacing w:after="0"/>
        <w:rPr>
          <w:i/>
          <w:iCs/>
        </w:rPr>
      </w:pPr>
      <w:r w:rsidRPr="00EE447B">
        <w:rPr>
          <w:rStyle w:val="FootnoteReference"/>
          <w:sz w:val="20"/>
        </w:rPr>
        <w:footnoteRef/>
      </w:r>
      <w:r w:rsidRPr="00FA6D8C">
        <w:t xml:space="preserve"> </w:t>
      </w:r>
      <w:r w:rsidRPr="00FA6D8C">
        <w:rPr>
          <w:i/>
          <w:iCs/>
        </w:rPr>
        <w:t>See generally Protecting Against National Security Threats to the Communications Supply Chain Through FCC</w:t>
      </w:r>
    </w:p>
    <w:p w:rsidR="008115D5" w:rsidRPr="00A26345" w:rsidP="00C736CB" w14:paraId="5784C6FA" w14:textId="77777777">
      <w:pPr>
        <w:pStyle w:val="FootnoteText"/>
        <w:spacing w:after="0"/>
        <w:rPr>
          <w:i/>
        </w:rPr>
      </w:pPr>
      <w:r w:rsidRPr="00FA6D8C">
        <w:rPr>
          <w:i/>
          <w:iCs/>
        </w:rPr>
        <w:t>Programs – Huawei Designation</w:t>
      </w:r>
      <w:r w:rsidRPr="00FA6D8C">
        <w:t>, PS Docket No. 19-351, Order, 35 FCC Rcd 6604 (PSHSB 2020) (</w:t>
      </w:r>
      <w:r w:rsidRPr="00A26345">
        <w:rPr>
          <w:i/>
        </w:rPr>
        <w:t>Huawei</w:t>
      </w:r>
    </w:p>
    <w:p w:rsidR="008115D5" w:rsidP="00C736CB" w14:paraId="1BD2452E" w14:textId="77777777">
      <w:pPr>
        <w:pStyle w:val="FootnoteText"/>
      </w:pPr>
      <w:r w:rsidRPr="00A26345">
        <w:rPr>
          <w:i/>
        </w:rPr>
        <w:t>Designation Order</w:t>
      </w:r>
      <w:r w:rsidRPr="00FA6D8C">
        <w:t>)</w:t>
      </w:r>
      <w:r>
        <w:t>.</w:t>
      </w:r>
    </w:p>
  </w:footnote>
  <w:footnote w:id="10">
    <w:p w:rsidR="008115D5" w:rsidRPr="00FA6D8C" w:rsidP="00C736CB" w14:paraId="6CB4BFD0" w14:textId="77777777">
      <w:pPr>
        <w:pStyle w:val="FootnoteText"/>
      </w:pPr>
      <w:r w:rsidRPr="00EE447B">
        <w:rPr>
          <w:rStyle w:val="FootnoteReference"/>
          <w:sz w:val="20"/>
        </w:rPr>
        <w:footnoteRef/>
      </w:r>
      <w:r w:rsidRPr="00FA6D8C">
        <w:t xml:space="preserve"> </w:t>
      </w:r>
      <w:r w:rsidRPr="00FA6D8C">
        <w:rPr>
          <w:i/>
          <w:iCs/>
        </w:rPr>
        <w:t>See generally</w:t>
      </w:r>
      <w:r w:rsidRPr="00FA6D8C">
        <w:t xml:space="preserve"> </w:t>
      </w:r>
      <w:r w:rsidRPr="00FA6D8C">
        <w:rPr>
          <w:i/>
          <w:iCs/>
        </w:rPr>
        <w:t>Protecting Against National Security Threats to the Communications Supply Chain Through FCC Programs – ZTE Designation</w:t>
      </w:r>
      <w:r w:rsidRPr="00FA6D8C">
        <w:t xml:space="preserve">, PS Docket No. 19-352, Order, 35 </w:t>
      </w:r>
      <w:r w:rsidRPr="00FA6D8C">
        <w:t>FCC Rcd 6633 (PSHSB 2020) (</w:t>
      </w:r>
      <w:r w:rsidRPr="00A26345">
        <w:rPr>
          <w:i/>
        </w:rPr>
        <w:t>ZTE Designation Order</w:t>
      </w:r>
      <w:r w:rsidRPr="00FA6D8C">
        <w:t>)</w:t>
      </w:r>
      <w:r>
        <w:t>.</w:t>
      </w:r>
    </w:p>
  </w:footnote>
  <w:footnote w:id="11">
    <w:p w:rsidR="008115D5" w:rsidRPr="00491FB3" w:rsidP="00C736CB" w14:paraId="6D2F810D" w14:textId="163D8D8E">
      <w:pPr>
        <w:pStyle w:val="FootnoteText"/>
      </w:pPr>
      <w:r w:rsidRPr="77659CA4">
        <w:rPr>
          <w:rStyle w:val="FootnoteReference"/>
          <w:sz w:val="20"/>
        </w:rPr>
        <w:footnoteRef/>
      </w:r>
      <w:r w:rsidRPr="00491FB3">
        <w:t xml:space="preserve"> </w:t>
      </w:r>
      <w:r w:rsidRPr="00491FB3">
        <w:rPr>
          <w:i/>
        </w:rPr>
        <w:t>See</w:t>
      </w:r>
      <w:r w:rsidRPr="00491FB3">
        <w:t xml:space="preserve"> 47 U.S.C. §§ 1603(c), 1608 (stating “‘advanced communications service’ has the meaning given the term ‘advanced telecommunications capability’ in section 706 of the Telecommunications Act of 1996”);</w:t>
      </w:r>
      <w:r w:rsidRPr="003B3B27">
        <w:rPr>
          <w:i/>
          <w:snapToGrid w:val="0"/>
          <w:kern w:val="28"/>
        </w:rPr>
        <w:t xml:space="preserve"> </w:t>
      </w:r>
      <w:r w:rsidRPr="003B3B27">
        <w:rPr>
          <w:i/>
          <w:snapToGrid w:val="0"/>
          <w:kern w:val="28"/>
        </w:rPr>
        <w:t xml:space="preserve">Protecting </w:t>
      </w:r>
      <w:r w:rsidRPr="000875D4">
        <w:rPr>
          <w:i/>
          <w:snapToGrid w:val="0"/>
          <w:kern w:val="28"/>
        </w:rPr>
        <w:t>Against National Security Threats to the Communications Supply Chain Through FCC Programs</w:t>
      </w:r>
      <w:r w:rsidRPr="00BD1D17">
        <w:rPr>
          <w:snapToGrid w:val="0"/>
          <w:kern w:val="28"/>
        </w:rPr>
        <w:t>, WC Docket No. 18-89, Report and Order, Further Notice of Proposed Rulemaking, and Order, 34 FCC Rcd 11423,</w:t>
      </w:r>
      <w:r w:rsidRPr="00491FB3">
        <w:t xml:space="preserve"> </w:t>
      </w:r>
      <w:r w:rsidRPr="003B3B27">
        <w:rPr>
          <w:snapToGrid w:val="0"/>
          <w:kern w:val="28"/>
        </w:rPr>
        <w:t>11475</w:t>
      </w:r>
      <w:r w:rsidRPr="000875D4">
        <w:rPr>
          <w:snapToGrid w:val="0"/>
          <w:kern w:val="28"/>
        </w:rPr>
        <w:t>-76, para. 140</w:t>
      </w:r>
      <w:r w:rsidRPr="00BD1D17">
        <w:rPr>
          <w:snapToGrid w:val="0"/>
          <w:kern w:val="28"/>
        </w:rPr>
        <w:t xml:space="preserve"> (2019) (</w:t>
      </w:r>
      <w:r w:rsidRPr="00845536">
        <w:rPr>
          <w:i/>
          <w:snapToGrid w:val="0"/>
          <w:kern w:val="28"/>
        </w:rPr>
        <w:t>2019 Supply Chain O</w:t>
      </w:r>
      <w:r w:rsidRPr="00845536">
        <w:rPr>
          <w:i/>
          <w:snapToGrid w:val="0"/>
          <w:kern w:val="28"/>
        </w:rPr>
        <w:t>rder and Fu</w:t>
      </w:r>
      <w:r w:rsidRPr="008525C9">
        <w:rPr>
          <w:i/>
          <w:snapToGrid w:val="0"/>
          <w:kern w:val="28"/>
        </w:rPr>
        <w:t>rther Notice</w:t>
      </w:r>
      <w:r w:rsidRPr="008525C9">
        <w:rPr>
          <w:snapToGrid w:val="0"/>
          <w:kern w:val="28"/>
        </w:rPr>
        <w:t xml:space="preserve">); </w:t>
      </w:r>
      <w:r>
        <w:rPr>
          <w:i/>
          <w:iCs/>
        </w:rPr>
        <w:t>2021 Supply Chain Order</w:t>
      </w:r>
      <w:r w:rsidRPr="5F7AE499">
        <w:t xml:space="preserve"> at </w:t>
      </w:r>
      <w:r w:rsidRPr="421E93C1">
        <w:t>21</w:t>
      </w:r>
      <w:r w:rsidRPr="7A753717">
        <w:t>,</w:t>
      </w:r>
      <w:r w:rsidRPr="00EE447B">
        <w:t xml:space="preserve"> para. 46</w:t>
      </w:r>
      <w:r>
        <w:t>.</w:t>
      </w:r>
    </w:p>
  </w:footnote>
  <w:footnote w:id="12">
    <w:p w:rsidR="008115D5" w:rsidRPr="00237D5A" w:rsidP="00C736CB" w14:paraId="5276BE8A" w14:textId="77777777">
      <w:pPr>
        <w:pStyle w:val="FootnoteText"/>
      </w:pPr>
      <w:r w:rsidRPr="00EE447B">
        <w:rPr>
          <w:rStyle w:val="FootnoteReference"/>
          <w:sz w:val="20"/>
        </w:rPr>
        <w:footnoteRef/>
      </w:r>
      <w:r w:rsidRPr="00504183">
        <w:t xml:space="preserve"> </w:t>
      </w:r>
      <w:r w:rsidRPr="00504183">
        <w:rPr>
          <w:i/>
          <w:iCs/>
        </w:rPr>
        <w:t>2020 Supply Chain Order</w:t>
      </w:r>
      <w:r>
        <w:rPr>
          <w:i/>
          <w:iCs/>
        </w:rPr>
        <w:t>.</w:t>
      </w:r>
    </w:p>
  </w:footnote>
  <w:footnote w:id="13">
    <w:p w:rsidR="008115D5" w:rsidRPr="0088197F" w:rsidP="00C736CB" w14:paraId="3078A6D9" w14:textId="77777777">
      <w:pPr>
        <w:pStyle w:val="FootnoteText"/>
      </w:pPr>
      <w:r w:rsidRPr="00EE447B">
        <w:rPr>
          <w:rStyle w:val="FootnoteReference"/>
          <w:sz w:val="20"/>
        </w:rPr>
        <w:footnoteRef/>
      </w:r>
      <w:r w:rsidRPr="0088197F">
        <w:t xml:space="preserve"> </w:t>
      </w:r>
      <w:r>
        <w:rPr>
          <w:i/>
          <w:iCs/>
        </w:rPr>
        <w:t xml:space="preserve">Id. </w:t>
      </w:r>
      <w:r>
        <w:t xml:space="preserve">at </w:t>
      </w:r>
      <w:r w:rsidRPr="0088197F">
        <w:t>14358</w:t>
      </w:r>
      <w:r>
        <w:t xml:space="preserve">, para. 180.  </w:t>
      </w:r>
    </w:p>
  </w:footnote>
  <w:footnote w:id="14">
    <w:p w:rsidR="008115D5" w:rsidRPr="00BF67FE" w:rsidP="00C736CB" w14:paraId="1FA5B032" w14:textId="77777777">
      <w:pPr>
        <w:pStyle w:val="FootnoteText"/>
      </w:pPr>
      <w:r w:rsidRPr="00EE447B">
        <w:rPr>
          <w:rStyle w:val="FootnoteReference"/>
          <w:sz w:val="20"/>
        </w:rPr>
        <w:footnoteRef/>
      </w:r>
      <w:r>
        <w:t xml:space="preserve"> </w:t>
      </w:r>
      <w:r>
        <w:rPr>
          <w:i/>
          <w:iCs/>
        </w:rPr>
        <w:t xml:space="preserve">2020 Supply Chain </w:t>
      </w:r>
      <w:r w:rsidRPr="00AC4F09">
        <w:rPr>
          <w:i/>
          <w:iCs/>
        </w:rPr>
        <w:t>Order</w:t>
      </w:r>
      <w:r>
        <w:t xml:space="preserve">, 35 FCC Rcd at 14358, para. 180; </w:t>
      </w:r>
      <w:r w:rsidRPr="00BF67FE">
        <w:rPr>
          <w:i/>
          <w:iCs/>
        </w:rPr>
        <w:t>see also</w:t>
      </w:r>
      <w:r>
        <w:t xml:space="preserve"> 47 CFR § 1.50004(p) (“The Commission delegates authority to the [Bureau] to adopt the necessary policies and procedures relating to allocations, draw downs, payments obligations, and expenditures of money from the Reimbursement Program to protect against </w:t>
      </w:r>
      <w:r>
        <w:t>waste, fraud, and abuse and in the event of bankruptcy, to establish a [Catalog] and predetermined cost estimates, review the estimated cost forms, issue funding allocations for costs reasonably incurred, set filing deadlines, and review information and do</w:t>
      </w:r>
      <w:r>
        <w:t>cumentation regarding progress reports, allocations, and final accountings.”).</w:t>
      </w:r>
    </w:p>
  </w:footnote>
  <w:footnote w:id="15">
    <w:p w:rsidR="008115D5" w:rsidRPr="00574AA9" w:rsidP="00C736CB" w14:paraId="32652E14" w14:textId="77777777">
      <w:pPr>
        <w:pStyle w:val="FootnoteText"/>
      </w:pPr>
      <w:r w:rsidRPr="00EE447B">
        <w:rPr>
          <w:rStyle w:val="FootnoteReference"/>
          <w:sz w:val="20"/>
        </w:rPr>
        <w:footnoteRef/>
      </w:r>
      <w:r w:rsidRPr="00AC362E">
        <w:t xml:space="preserve"> </w:t>
      </w:r>
      <w:r>
        <w:rPr>
          <w:i/>
          <w:iCs/>
        </w:rPr>
        <w:t>2020 Supply Chain Order</w:t>
      </w:r>
      <w:r>
        <w:t>, 35 FCC Rcd at 14358, para. 181.</w:t>
      </w:r>
    </w:p>
  </w:footnote>
  <w:footnote w:id="16">
    <w:p w:rsidR="008115D5" w:rsidP="00C736CB" w14:paraId="6EA58CC8" w14:textId="77777777">
      <w:pPr>
        <w:pStyle w:val="FootnoteText"/>
      </w:pPr>
      <w:r w:rsidRPr="00EE447B">
        <w:rPr>
          <w:rStyle w:val="FootnoteReference"/>
          <w:sz w:val="20"/>
        </w:rPr>
        <w:footnoteRef/>
      </w:r>
      <w:r>
        <w:t xml:space="preserve"> </w:t>
      </w:r>
      <w:r w:rsidRPr="0066601F">
        <w:rPr>
          <w:i/>
        </w:rPr>
        <w:t>Id</w:t>
      </w:r>
      <w:r>
        <w:t>.</w:t>
      </w:r>
    </w:p>
  </w:footnote>
  <w:footnote w:id="17">
    <w:p w:rsidR="008115D5" w:rsidRPr="00504183" w:rsidP="00C736CB" w14:paraId="6016B47D" w14:textId="77777777">
      <w:pPr>
        <w:pStyle w:val="FootnoteText"/>
      </w:pPr>
      <w:r w:rsidRPr="00504183">
        <w:rPr>
          <w:rStyle w:val="FootnoteReference"/>
        </w:rPr>
        <w:footnoteRef/>
      </w:r>
      <w:r w:rsidRPr="00504183">
        <w:t xml:space="preserve"> Consolidated Appropriations Act, 2021, Pub. L. No. 116–260, </w:t>
      </w:r>
      <w:r>
        <w:t xml:space="preserve">Title IX—Broadband Internet Access Service, § 906(2), </w:t>
      </w:r>
      <w:r w:rsidRPr="00504183">
        <w:t>134 Stat. 1182 (2020) (CAA).</w:t>
      </w:r>
    </w:p>
  </w:footnote>
  <w:footnote w:id="18">
    <w:p w:rsidR="008115D5" w:rsidRPr="00CD00B3" w:rsidP="00C736CB" w14:paraId="62170589" w14:textId="77777777">
      <w:pPr>
        <w:pStyle w:val="FootnoteText"/>
      </w:pPr>
      <w:r w:rsidRPr="00EE447B">
        <w:rPr>
          <w:rStyle w:val="FootnoteReference"/>
          <w:sz w:val="20"/>
        </w:rPr>
        <w:footnoteRef/>
      </w:r>
      <w:r w:rsidRPr="00E52DFB">
        <w:t xml:space="preserve"> </w:t>
      </w:r>
      <w:r w:rsidRPr="00EE447B">
        <w:rPr>
          <w:i/>
        </w:rPr>
        <w:t>Catalo</w:t>
      </w:r>
      <w:r w:rsidRPr="77659CA4">
        <w:rPr>
          <w:i/>
        </w:rPr>
        <w:t>g Public Notice</w:t>
      </w:r>
      <w:r w:rsidRPr="00EE447B">
        <w:rPr>
          <w:i/>
          <w:snapToGrid w:val="0"/>
          <w:kern w:val="28"/>
        </w:rPr>
        <w:t xml:space="preserve"> </w:t>
      </w:r>
      <w:r w:rsidRPr="003B3B27">
        <w:rPr>
          <w:snapToGrid w:val="0"/>
          <w:kern w:val="28"/>
        </w:rPr>
        <w:t xml:space="preserve">at 2; </w:t>
      </w:r>
      <w:r w:rsidRPr="00EE447B">
        <w:rPr>
          <w:i/>
        </w:rPr>
        <w:t>s</w:t>
      </w:r>
      <w:r w:rsidRPr="003B3B27">
        <w:rPr>
          <w:i/>
          <w:snapToGrid w:val="0"/>
          <w:kern w:val="28"/>
        </w:rPr>
        <w:t>ee</w:t>
      </w:r>
      <w:r w:rsidRPr="77659CA4">
        <w:rPr>
          <w:i/>
        </w:rPr>
        <w:t xml:space="preserve"> </w:t>
      </w:r>
      <w:r w:rsidRPr="00EE447B">
        <w:t>Widelity, Inc.,</w:t>
      </w:r>
      <w:r w:rsidRPr="003B3B27">
        <w:rPr>
          <w:snapToGrid w:val="0"/>
          <w:kern w:val="28"/>
        </w:rPr>
        <w:t xml:space="preserve"> </w:t>
      </w:r>
      <w:hyperlink r:id="rId3" w:history="1">
        <w:r w:rsidRPr="003B3B27">
          <w:rPr>
            <w:rStyle w:val="Hyperlink"/>
            <w:snapToGrid w:val="0"/>
            <w:kern w:val="28"/>
          </w:rPr>
          <w:t>https://widelity.com/about-widelity/</w:t>
        </w:r>
      </w:hyperlink>
      <w:r w:rsidRPr="003B3B27">
        <w:rPr>
          <w:snapToGrid w:val="0"/>
          <w:kern w:val="28"/>
        </w:rPr>
        <w:t xml:space="preserve"> (</w:t>
      </w:r>
      <w:r w:rsidRPr="77659CA4">
        <w:t>l</w:t>
      </w:r>
      <w:r w:rsidRPr="003B3B27">
        <w:rPr>
          <w:snapToGrid w:val="0"/>
          <w:kern w:val="28"/>
        </w:rPr>
        <w:t>ast visited Jun. 11, 2021). Widelity</w:t>
      </w:r>
      <w:r w:rsidRPr="77659CA4">
        <w:t>,</w:t>
      </w:r>
      <w:r w:rsidRPr="003B3B27">
        <w:rPr>
          <w:snapToGrid w:val="0"/>
          <w:kern w:val="28"/>
        </w:rPr>
        <w:t xml:space="preserve"> Inc. is a consulting firm that specializes in providing network engineering consultation services. </w:t>
      </w:r>
      <w:r w:rsidRPr="003B3B27">
        <w:rPr>
          <w:i/>
          <w:snapToGrid w:val="0"/>
          <w:kern w:val="28"/>
        </w:rPr>
        <w:t xml:space="preserve"> </w:t>
      </w:r>
      <w:r w:rsidRPr="000875D4">
        <w:rPr>
          <w:snapToGrid w:val="0"/>
          <w:kern w:val="28"/>
        </w:rPr>
        <w:t xml:space="preserve"> </w:t>
      </w:r>
    </w:p>
  </w:footnote>
  <w:footnote w:id="19">
    <w:p w:rsidR="008115D5" w:rsidRPr="00326AE1" w:rsidP="00C736CB" w14:paraId="283C48B7" w14:textId="77777777">
      <w:pPr>
        <w:pStyle w:val="FootnoteText"/>
      </w:pPr>
      <w:r w:rsidRPr="00EE447B">
        <w:rPr>
          <w:rStyle w:val="FootnoteReference"/>
          <w:sz w:val="20"/>
        </w:rPr>
        <w:footnoteRef/>
      </w:r>
      <w:r w:rsidRPr="00326AE1">
        <w:t xml:space="preserve"> </w:t>
      </w:r>
      <w:bookmarkStart w:id="14" w:name="_Hlk74299739"/>
      <w:r w:rsidRPr="00326AE1">
        <w:rPr>
          <w:i/>
          <w:iCs/>
        </w:rPr>
        <w:t>Wireline Competition Bureau Announces Selection of the Secure and Trusted C</w:t>
      </w:r>
      <w:r w:rsidRPr="00326AE1">
        <w:rPr>
          <w:i/>
          <w:iCs/>
        </w:rPr>
        <w:t>ommunications Networks Reimbursement Program Fund Administrator</w:t>
      </w:r>
      <w:r w:rsidRPr="00326AE1">
        <w:t xml:space="preserve">, </w:t>
      </w:r>
      <w:r w:rsidRPr="003B3B27">
        <w:rPr>
          <w:snapToGrid w:val="0"/>
          <w:kern w:val="28"/>
        </w:rPr>
        <w:t>WC Docket No. 18-89, Public Notice, DA-21-490</w:t>
      </w:r>
      <w:r w:rsidRPr="77659CA4">
        <w:t>,</w:t>
      </w:r>
      <w:r>
        <w:t xml:space="preserve"> 2021 WL 1719301, </w:t>
      </w:r>
      <w:r w:rsidRPr="003B3B27">
        <w:rPr>
          <w:snapToGrid w:val="0"/>
          <w:kern w:val="28"/>
        </w:rPr>
        <w:t>at 1 (WCB Apr. 28, 2021)</w:t>
      </w:r>
      <w:bookmarkEnd w:id="14"/>
      <w:r w:rsidRPr="003B3B27">
        <w:rPr>
          <w:snapToGrid w:val="0"/>
          <w:kern w:val="28"/>
        </w:rPr>
        <w:t xml:space="preserve">; </w:t>
      </w:r>
      <w:r w:rsidRPr="000875D4">
        <w:rPr>
          <w:i/>
          <w:snapToGrid w:val="0"/>
          <w:kern w:val="28"/>
        </w:rPr>
        <w:t>s</w:t>
      </w:r>
      <w:r w:rsidRPr="00BD1D17">
        <w:rPr>
          <w:i/>
          <w:snapToGrid w:val="0"/>
          <w:kern w:val="28"/>
        </w:rPr>
        <w:t xml:space="preserve">ee </w:t>
      </w:r>
      <w:r w:rsidRPr="00845536">
        <w:rPr>
          <w:i/>
          <w:snapToGrid w:val="0"/>
          <w:kern w:val="28"/>
        </w:rPr>
        <w:t>also 2020 Supply Chain Order</w:t>
      </w:r>
      <w:r w:rsidRPr="008525C9">
        <w:rPr>
          <w:snapToGrid w:val="0"/>
          <w:kern w:val="28"/>
        </w:rPr>
        <w:t xml:space="preserve">, 35 FCC Rcd at </w:t>
      </w:r>
      <w:r w:rsidRPr="00326AE1">
        <w:t>14358, para. 181 (“[The Commission] authorizes the Wi</w:t>
      </w:r>
      <w:r w:rsidRPr="00326AE1">
        <w:t>reline Competition Bureau to engage contractors to assist in the reimbursement process and the administration of the Reimbursement Program.”).</w:t>
      </w:r>
    </w:p>
  </w:footnote>
  <w:footnote w:id="20">
    <w:p w:rsidR="008115D5" w:rsidRPr="00132463" w:rsidP="00C736CB" w14:paraId="2BBE5632" w14:textId="77777777">
      <w:pPr>
        <w:pStyle w:val="FootnoteText"/>
        <w:rPr>
          <w:sz w:val="22"/>
          <w:szCs w:val="22"/>
        </w:rPr>
      </w:pPr>
      <w:r w:rsidRPr="00EE447B">
        <w:rPr>
          <w:rStyle w:val="FootnoteReference"/>
          <w:sz w:val="20"/>
        </w:rPr>
        <w:footnoteRef/>
      </w:r>
      <w:r w:rsidRPr="00326AE1">
        <w:t xml:space="preserve"> </w:t>
      </w:r>
      <w:r w:rsidRPr="00EE447B">
        <w:rPr>
          <w:i/>
        </w:rPr>
        <w:t>Reimbursement Process Public Notice</w:t>
      </w:r>
      <w:r w:rsidRPr="00EE447B">
        <w:t xml:space="preserve"> at 1.</w:t>
      </w:r>
    </w:p>
  </w:footnote>
  <w:footnote w:id="21">
    <w:p w:rsidR="008115D5" w:rsidP="00C736CB" w14:paraId="3FFD7B1B" w14:textId="77777777">
      <w:pPr>
        <w:pStyle w:val="FootnoteText"/>
      </w:pPr>
      <w:r w:rsidRPr="00EE447B">
        <w:rPr>
          <w:rStyle w:val="FootnoteReference"/>
          <w:sz w:val="20"/>
        </w:rPr>
        <w:footnoteRef/>
      </w:r>
      <w:r>
        <w:t xml:space="preserve"> Appx. E.</w:t>
      </w:r>
    </w:p>
  </w:footnote>
  <w:footnote w:id="22">
    <w:p w:rsidR="008115D5" w:rsidP="00C736CB" w14:paraId="7A688476" w14:textId="77777777">
      <w:pPr>
        <w:pStyle w:val="FootnoteText"/>
      </w:pPr>
      <w:r w:rsidRPr="00EE447B">
        <w:rPr>
          <w:rStyle w:val="FootnoteReference"/>
          <w:sz w:val="20"/>
        </w:rPr>
        <w:footnoteRef/>
      </w:r>
      <w:r>
        <w:t xml:space="preserve"> </w:t>
      </w:r>
      <w:r w:rsidRPr="687EB5BC">
        <w:rPr>
          <w:i/>
          <w:iCs/>
        </w:rPr>
        <w:t>See</w:t>
      </w:r>
      <w:r w:rsidRPr="687EB5BC">
        <w:rPr>
          <w:i/>
        </w:rPr>
        <w:t xml:space="preserve"> </w:t>
      </w:r>
      <w:r w:rsidRPr="6C6DD956">
        <w:rPr>
          <w:i/>
          <w:iCs/>
        </w:rPr>
        <w:t xml:space="preserve">generally </w:t>
      </w:r>
      <w:r w:rsidRPr="00BF67FE">
        <w:rPr>
          <w:i/>
          <w:iCs/>
        </w:rPr>
        <w:t>2021 Supply Chain Order</w:t>
      </w:r>
      <w:r>
        <w:t xml:space="preserve">. </w:t>
      </w:r>
    </w:p>
  </w:footnote>
  <w:footnote w:id="23">
    <w:p w:rsidR="008115D5" w:rsidP="00C736CB" w14:paraId="16AE91EA" w14:textId="77777777">
      <w:pPr>
        <w:pStyle w:val="FootnoteText"/>
      </w:pPr>
      <w:r w:rsidRPr="00EE447B">
        <w:rPr>
          <w:rStyle w:val="FootnoteReference"/>
          <w:sz w:val="20"/>
        </w:rPr>
        <w:footnoteRef/>
      </w:r>
      <w:r>
        <w:t xml:space="preserve"> </w:t>
      </w:r>
      <w:r w:rsidRPr="2935D370">
        <w:rPr>
          <w:i/>
          <w:iCs/>
        </w:rPr>
        <w:t>Id.</w:t>
      </w:r>
      <w:r>
        <w:t xml:space="preserve"> at </w:t>
      </w:r>
      <w:r w:rsidRPr="5DD88873">
        <w:t xml:space="preserve">1, </w:t>
      </w:r>
      <w:r>
        <w:t xml:space="preserve">para. 2. </w:t>
      </w:r>
    </w:p>
  </w:footnote>
  <w:footnote w:id="24">
    <w:p w:rsidR="008115D5" w:rsidRPr="00E6303C" w:rsidP="00C736CB" w14:paraId="422078FA" w14:textId="77777777">
      <w:pPr>
        <w:pStyle w:val="FootnoteText"/>
      </w:pPr>
      <w:r w:rsidRPr="77659CA4">
        <w:rPr>
          <w:rStyle w:val="FootnoteReference"/>
          <w:sz w:val="20"/>
        </w:rPr>
        <w:footnoteRef/>
      </w:r>
      <w:r w:rsidRPr="00D2704F">
        <w:t xml:space="preserve"> </w:t>
      </w:r>
      <w:r w:rsidRPr="00EE447B">
        <w:rPr>
          <w:i/>
          <w:iCs/>
        </w:rPr>
        <w:t>Reimbursement Process Public Notice</w:t>
      </w:r>
      <w:r w:rsidRPr="00EE447B">
        <w:t xml:space="preserve"> at 3.</w:t>
      </w:r>
      <w:r>
        <w:t xml:space="preserve">  The Bureau, in a future public notice, will provide additional guidance to Reimbursement Program participants on satisfying the Commission’s disposal requirement.  </w:t>
      </w:r>
      <w:r w:rsidRPr="008B38A3">
        <w:rPr>
          <w:i/>
        </w:rPr>
        <w:t>See</w:t>
      </w:r>
      <w:r>
        <w:t xml:space="preserve"> </w:t>
      </w:r>
      <w:r w:rsidRPr="00BF67FE">
        <w:rPr>
          <w:i/>
          <w:iCs/>
        </w:rPr>
        <w:t>2020 Supply Chain Order</w:t>
      </w:r>
      <w:r>
        <w:t>, 35 FCC R</w:t>
      </w:r>
      <w:r>
        <w:t>cd at 14358, para. 179 (“We expect the Wireline Competition Bureau to provide participants with additional guidance to help participants with the disposal and verification process.”).</w:t>
      </w:r>
    </w:p>
  </w:footnote>
  <w:footnote w:id="25">
    <w:p w:rsidR="008115D5" w:rsidP="00C736CB" w14:paraId="72CDE6C9" w14:textId="77777777">
      <w:pPr>
        <w:pStyle w:val="FootnoteText"/>
      </w:pPr>
      <w:r w:rsidRPr="00EE447B">
        <w:rPr>
          <w:rStyle w:val="FootnoteReference"/>
          <w:sz w:val="20"/>
        </w:rPr>
        <w:footnoteRef/>
      </w:r>
      <w:r>
        <w:t xml:space="preserve"> </w:t>
      </w:r>
      <w:r w:rsidRPr="00573B76">
        <w:rPr>
          <w:i/>
          <w:iCs/>
        </w:rPr>
        <w:t>See Reimbursement Process Public Notice</w:t>
      </w:r>
      <w:r>
        <w:t>,</w:t>
      </w:r>
      <w:r w:rsidRPr="0044123D">
        <w:t xml:space="preserve"> </w:t>
      </w:r>
      <w:r>
        <w:t>Appx. A.</w:t>
      </w:r>
    </w:p>
  </w:footnote>
  <w:footnote w:id="26">
    <w:p w:rsidR="008115D5" w:rsidP="00C736CB" w14:paraId="601B904C" w14:textId="77777777">
      <w:pPr>
        <w:pStyle w:val="FootnoteText"/>
      </w:pPr>
      <w:r w:rsidRPr="00EE447B">
        <w:rPr>
          <w:rStyle w:val="FootnoteReference"/>
          <w:sz w:val="20"/>
        </w:rPr>
        <w:footnoteRef/>
      </w:r>
      <w:r>
        <w:t xml:space="preserve"> </w:t>
      </w:r>
      <w:r w:rsidRPr="00573B76">
        <w:rPr>
          <w:i/>
          <w:iCs/>
        </w:rPr>
        <w:t xml:space="preserve">See </w:t>
      </w:r>
      <w:r>
        <w:rPr>
          <w:i/>
          <w:iCs/>
        </w:rPr>
        <w:t>id.</w:t>
      </w:r>
      <w:r>
        <w:t xml:space="preserve"> at 4.</w:t>
      </w:r>
    </w:p>
  </w:footnote>
  <w:footnote w:id="27">
    <w:p w:rsidR="008115D5" w:rsidP="00C736CB" w14:paraId="1C7BA760" w14:textId="77777777">
      <w:pPr>
        <w:pStyle w:val="FootnoteText"/>
      </w:pPr>
      <w:r w:rsidRPr="3B6760A3">
        <w:rPr>
          <w:rStyle w:val="FootnoteReference"/>
          <w:sz w:val="20"/>
        </w:rPr>
        <w:footnoteRef/>
      </w:r>
      <w:r>
        <w:t xml:space="preserve"> </w:t>
      </w:r>
      <w:r w:rsidRPr="00FC68BF">
        <w:rPr>
          <w:i/>
          <w:iCs/>
        </w:rPr>
        <w:t>Se</w:t>
      </w:r>
      <w:r w:rsidRPr="00FC68BF">
        <w:rPr>
          <w:i/>
          <w:iCs/>
        </w:rPr>
        <w:t>e</w:t>
      </w:r>
      <w:r>
        <w:t xml:space="preserve"> CCA Reimbursement Process Public Notice Comments at 5-7 (stating the Commission should allow “reasonable up-front descriptions of covered equipment, followed by later confirmation.”); </w:t>
      </w:r>
      <w:r w:rsidRPr="00FC68BF">
        <w:t>Rural Wireless Broadband Coalition</w:t>
      </w:r>
      <w:r>
        <w:t xml:space="preserve"> Reimbursement Process Public Notice</w:t>
      </w:r>
      <w:r>
        <w:t xml:space="preserve"> Comments at 3-5, 8 (“Matching equipment to specific sites is impracticable, in most cases.”).</w:t>
      </w:r>
    </w:p>
  </w:footnote>
  <w:footnote w:id="28">
    <w:p w:rsidR="008115D5" w:rsidP="00C736CB" w14:paraId="4ED0D9B4" w14:textId="77777777">
      <w:pPr>
        <w:pStyle w:val="FootnoteText"/>
      </w:pPr>
      <w:r w:rsidRPr="00EE447B">
        <w:rPr>
          <w:rStyle w:val="FootnoteReference"/>
          <w:sz w:val="20"/>
        </w:rPr>
        <w:footnoteRef/>
      </w:r>
      <w:r>
        <w:t xml:space="preserve"> </w:t>
      </w:r>
      <w:r w:rsidRPr="00FC68BF">
        <w:t>Rural Wireless Broadband Coalition</w:t>
      </w:r>
      <w:r>
        <w:t xml:space="preserve"> Reimbursement Process </w:t>
      </w:r>
      <w:r w:rsidRPr="00EF2ADD">
        <w:t xml:space="preserve">Public Notice </w:t>
      </w:r>
      <w:r>
        <w:t xml:space="preserve">Comments at 8; </w:t>
      </w:r>
      <w:r w:rsidRPr="00BB01D7">
        <w:rPr>
          <w:i/>
          <w:iCs/>
        </w:rPr>
        <w:t>see also</w:t>
      </w:r>
      <w:r>
        <w:t xml:space="preserve"> Letter from Alexi Maltas, Senior V.P. &amp; General Counsel, CCA, to</w:t>
      </w:r>
      <w:r>
        <w:t xml:space="preserve"> Marlene H. Dortch, Secretary, FCC, WC Docket No. 18-89, at 1-2 (filed July 15, 2021) (urging “Commission to reconsider the level of detail required in the initial application stage”) (CCA July 15, 2021 </w:t>
      </w:r>
      <w:r w:rsidRPr="00BB01D7">
        <w:rPr>
          <w:i/>
          <w:iCs/>
        </w:rPr>
        <w:t>Ex Parte</w:t>
      </w:r>
      <w:r>
        <w:t>).</w:t>
      </w:r>
    </w:p>
  </w:footnote>
  <w:footnote w:id="29">
    <w:p w:rsidR="008115D5" w:rsidP="00C736CB" w14:paraId="3D3CA156" w14:textId="77777777">
      <w:pPr>
        <w:pStyle w:val="FootnoteText"/>
      </w:pPr>
      <w:r>
        <w:rPr>
          <w:rStyle w:val="FootnoteReference"/>
        </w:rPr>
        <w:footnoteRef/>
      </w:r>
      <w:r>
        <w:t xml:space="preserve"> </w:t>
      </w:r>
      <w:r w:rsidRPr="00EE447B">
        <w:rPr>
          <w:i/>
          <w:iCs/>
        </w:rPr>
        <w:t>See</w:t>
      </w:r>
      <w:r>
        <w:t xml:space="preserve"> 47 CFR § 1.50004(p) (delegating auth</w:t>
      </w:r>
      <w:r>
        <w:t>ority to the Bureau to issue “funding allocations for costs reasonably incurred”).</w:t>
      </w:r>
    </w:p>
  </w:footnote>
  <w:footnote w:id="30">
    <w:p w:rsidR="008115D5" w:rsidP="00C736CB" w14:paraId="5A063D01" w14:textId="77777777">
      <w:pPr>
        <w:pStyle w:val="FootnoteText"/>
      </w:pPr>
      <w:r w:rsidRPr="00EE447B">
        <w:rPr>
          <w:rStyle w:val="FootnoteReference"/>
          <w:sz w:val="20"/>
        </w:rPr>
        <w:footnoteRef/>
      </w:r>
      <w:r>
        <w:t xml:space="preserve"> </w:t>
      </w:r>
      <w:r w:rsidRPr="00573B76">
        <w:rPr>
          <w:i/>
          <w:iCs/>
        </w:rPr>
        <w:t>See Reimbursement Process Public Notice</w:t>
      </w:r>
      <w:r>
        <w:t>, Appx. A, Item Number 58.</w:t>
      </w:r>
    </w:p>
  </w:footnote>
  <w:footnote w:id="31">
    <w:p w:rsidR="008115D5" w:rsidP="00C736CB" w14:paraId="3C5F2442" w14:textId="77777777">
      <w:pPr>
        <w:pStyle w:val="FootnoteText"/>
      </w:pPr>
      <w:r w:rsidRPr="00EE447B">
        <w:rPr>
          <w:rStyle w:val="FootnoteReference"/>
          <w:sz w:val="20"/>
        </w:rPr>
        <w:footnoteRef/>
      </w:r>
      <w:r>
        <w:t xml:space="preserve"> </w:t>
      </w:r>
      <w:r w:rsidRPr="00BE5661">
        <w:rPr>
          <w:i/>
          <w:iCs/>
        </w:rPr>
        <w:t xml:space="preserve">See </w:t>
      </w:r>
      <w:r>
        <w:t xml:space="preserve">infra III.A.9 (discussing modifications).  As to the additional concerns raised by RWA, the online application will allow applicants to designate a site as “other” and provide a text field to describe the nature of the site, e.g., warehouse.  </w:t>
      </w:r>
      <w:r w:rsidRPr="00BE5661">
        <w:rPr>
          <w:i/>
          <w:iCs/>
        </w:rPr>
        <w:t>See</w:t>
      </w:r>
      <w:r>
        <w:t xml:space="preserve"> RWA Reimb</w:t>
      </w:r>
      <w:r>
        <w:t xml:space="preserve">ursement Process </w:t>
      </w:r>
      <w:r w:rsidRPr="00EF2ADD">
        <w:t>Public Notice</w:t>
      </w:r>
      <w:r>
        <w:t xml:space="preserve"> Comments at 3.  However, this should not be used to replace more specific site information if it is available.  The online application will also provide a separate field for applicants to identify costs estimates not containe</w:t>
      </w:r>
      <w:r>
        <w:t xml:space="preserve">d, or different than those listed, in the Catalog.  </w:t>
      </w:r>
      <w:r w:rsidRPr="00BE5661">
        <w:rPr>
          <w:i/>
          <w:iCs/>
        </w:rPr>
        <w:t>Id</w:t>
      </w:r>
      <w:r>
        <w:t>. at 4.  We will also allow applicants to identify costs not associated with specific site locations, e.g., network-wide costs that apply to several site locations such as disposal costs or software upg</w:t>
      </w:r>
      <w:r>
        <w:t>rades and other soft costs.</w:t>
      </w:r>
    </w:p>
  </w:footnote>
  <w:footnote w:id="32">
    <w:p w:rsidR="008115D5" w:rsidRPr="00A75E68" w:rsidP="00C736CB" w14:paraId="28FECA1A" w14:textId="77777777">
      <w:pPr>
        <w:pStyle w:val="FootnoteText"/>
      </w:pPr>
      <w:r w:rsidRPr="77659CA4">
        <w:rPr>
          <w:rStyle w:val="FootnoteReference"/>
          <w:sz w:val="20"/>
        </w:rPr>
        <w:footnoteRef/>
      </w:r>
      <w:r w:rsidRPr="0048376B">
        <w:t xml:space="preserve"> </w:t>
      </w:r>
      <w:r w:rsidRPr="005B4782">
        <w:rPr>
          <w:i/>
          <w:iCs/>
        </w:rPr>
        <w:t>See Reimbursement Process Public Notice</w:t>
      </w:r>
      <w:r w:rsidRPr="005B4782">
        <w:t>, Appx.</w:t>
      </w:r>
      <w:r>
        <w:t xml:space="preserve"> A</w:t>
      </w:r>
      <w:r w:rsidRPr="0048376B">
        <w:t>,</w:t>
      </w:r>
      <w:r w:rsidRPr="005B4782">
        <w:t xml:space="preserve"> Item Number</w:t>
      </w:r>
      <w:r w:rsidRPr="0065746E">
        <w:t>s 51-54;</w:t>
      </w:r>
      <w:r w:rsidRPr="00EE447B">
        <w:t xml:space="preserve"> Nokia Reimbursement Process P</w:t>
      </w:r>
      <w:r>
        <w:t xml:space="preserve">ublic </w:t>
      </w:r>
      <w:r w:rsidRPr="00EE447B">
        <w:t>N</w:t>
      </w:r>
      <w:r>
        <w:t>otice</w:t>
      </w:r>
      <w:r w:rsidRPr="00EE447B">
        <w:t xml:space="preserve"> Comments at 12.</w:t>
      </w:r>
    </w:p>
  </w:footnote>
  <w:footnote w:id="33">
    <w:p w:rsidR="008115D5" w:rsidP="00C736CB" w14:paraId="519BFDEB" w14:textId="77777777">
      <w:pPr>
        <w:pStyle w:val="FootnoteText"/>
      </w:pPr>
      <w:r w:rsidRPr="3B6760A3">
        <w:rPr>
          <w:rStyle w:val="FootnoteReference"/>
          <w:sz w:val="20"/>
        </w:rPr>
        <w:footnoteRef/>
      </w:r>
      <w:r>
        <w:t xml:space="preserve"> Nokia Reimbursement Process Public Notice Comments at 12. </w:t>
      </w:r>
    </w:p>
  </w:footnote>
  <w:footnote w:id="34">
    <w:p w:rsidR="008115D5" w:rsidP="00C736CB" w14:paraId="6868FC3B" w14:textId="77777777">
      <w:pPr>
        <w:pStyle w:val="FootnoteText"/>
      </w:pPr>
      <w:r w:rsidRPr="3B6760A3">
        <w:rPr>
          <w:rStyle w:val="FootnoteReference"/>
          <w:sz w:val="20"/>
        </w:rPr>
        <w:footnoteRef/>
      </w:r>
      <w:r>
        <w:t xml:space="preserve"> Mavenir Reimbursement Process Publi</w:t>
      </w:r>
      <w:r>
        <w:t>c Notice Comments at 1-2.</w:t>
      </w:r>
    </w:p>
  </w:footnote>
  <w:footnote w:id="35">
    <w:p w:rsidR="008115D5" w:rsidP="00C736CB" w14:paraId="1EA157CD" w14:textId="77777777">
      <w:pPr>
        <w:pStyle w:val="FootnoteText"/>
      </w:pPr>
      <w:r w:rsidRPr="00EE447B">
        <w:rPr>
          <w:rStyle w:val="FootnoteReference"/>
          <w:sz w:val="20"/>
        </w:rPr>
        <w:footnoteRef/>
      </w:r>
      <w:r>
        <w:t xml:space="preserve"> </w:t>
      </w:r>
      <w:r w:rsidRPr="122AD662">
        <w:rPr>
          <w:i/>
          <w:iCs/>
        </w:rPr>
        <w:t>Id</w:t>
      </w:r>
      <w:r>
        <w:t>.</w:t>
      </w:r>
    </w:p>
  </w:footnote>
  <w:footnote w:id="36">
    <w:p w:rsidR="008115D5" w:rsidP="00C736CB" w14:paraId="2EB20A52" w14:textId="77777777">
      <w:pPr>
        <w:pStyle w:val="FootnoteText"/>
      </w:pPr>
      <w:r w:rsidRPr="00EE447B">
        <w:rPr>
          <w:rStyle w:val="FootnoteReference"/>
          <w:sz w:val="20"/>
        </w:rPr>
        <w:footnoteRef/>
      </w:r>
      <w:r>
        <w:t xml:space="preserve"> </w:t>
      </w:r>
      <w:r w:rsidRPr="10CB134B">
        <w:rPr>
          <w:i/>
          <w:iCs/>
        </w:rPr>
        <w:t>Id.</w:t>
      </w:r>
      <w:r>
        <w:t xml:space="preserve"> at 2.</w:t>
      </w:r>
    </w:p>
  </w:footnote>
  <w:footnote w:id="37">
    <w:p w:rsidR="008115D5" w:rsidP="00C736CB" w14:paraId="7F42C420" w14:textId="77777777">
      <w:pPr>
        <w:pStyle w:val="FootnoteText"/>
      </w:pPr>
      <w:r w:rsidRPr="00EE447B">
        <w:rPr>
          <w:rStyle w:val="FootnoteReference"/>
          <w:sz w:val="20"/>
        </w:rPr>
        <w:footnoteRef/>
      </w:r>
      <w:r>
        <w:t xml:space="preserve"> </w:t>
      </w:r>
      <w:r w:rsidRPr="00573B76">
        <w:rPr>
          <w:i/>
          <w:iCs/>
        </w:rPr>
        <w:t>See Reimbursement Process Public Notice</w:t>
      </w:r>
      <w:r>
        <w:t>, Appx. A, Item Number 51.</w:t>
      </w:r>
    </w:p>
  </w:footnote>
  <w:footnote w:id="38">
    <w:p w:rsidR="008115D5" w:rsidP="00C736CB" w14:paraId="3F6B05BF" w14:textId="77777777">
      <w:pPr>
        <w:pStyle w:val="FootnoteText"/>
      </w:pPr>
      <w:r w:rsidRPr="00EE447B">
        <w:rPr>
          <w:rStyle w:val="FootnoteReference"/>
          <w:sz w:val="20"/>
        </w:rPr>
        <w:footnoteRef/>
      </w:r>
      <w:r>
        <w:t xml:space="preserve"> </w:t>
      </w:r>
      <w:r w:rsidRPr="6E5F4405">
        <w:rPr>
          <w:i/>
          <w:iCs/>
        </w:rPr>
        <w:t>Id.</w:t>
      </w:r>
      <w:r>
        <w:t>, Appx. A, Item Numbers 53 and 54.</w:t>
      </w:r>
    </w:p>
  </w:footnote>
  <w:footnote w:id="39">
    <w:p w:rsidR="008115D5" w:rsidRPr="009A26A2" w:rsidP="00C736CB" w14:paraId="07C84FA0" w14:textId="77777777">
      <w:pPr>
        <w:pStyle w:val="FootnoteText"/>
        <w:rPr>
          <w:color w:val="0000FF"/>
          <w:u w:val="single"/>
        </w:rPr>
      </w:pPr>
      <w:r w:rsidRPr="77659CA4">
        <w:rPr>
          <w:rStyle w:val="FootnoteReference"/>
          <w:sz w:val="20"/>
        </w:rPr>
        <w:footnoteRef/>
      </w:r>
      <w:r w:rsidRPr="005B4782">
        <w:t xml:space="preserve"> </w:t>
      </w:r>
      <w:r w:rsidRPr="00EE447B">
        <w:t>O-RAN Alliance, O-RAN Minimum Viable Plan and Acceleration towards Commercialization (</w:t>
      </w:r>
      <w:r>
        <w:t xml:space="preserve">June 29, </w:t>
      </w:r>
      <w:r w:rsidRPr="00EE447B">
        <w:t xml:space="preserve">2021), </w:t>
      </w:r>
      <w:hyperlink r:id="rId4" w:history="1">
        <w:r w:rsidRPr="005B4782">
          <w:rPr>
            <w:rStyle w:val="Hyperlink"/>
          </w:rPr>
          <w:t>https://static1.squar</w:t>
        </w:r>
        <w:r w:rsidRPr="005B4782">
          <w:rPr>
            <w:rStyle w:val="Hyperlink"/>
          </w:rPr>
          <w:t>espace.com/static/5ad774cce74940d7115044b0/t/60daf34f041acf553658bb34/1624961876380/O-RAN+Minimum+Viable+Plan+and+Acceleration+towards+Commercializatio</w:t>
        </w:r>
        <w:r w:rsidRPr="00B72E68">
          <w:rPr>
            <w:rStyle w:val="Hyperlink"/>
          </w:rPr>
          <w:t>n+White+Paper+29+June+2021.</w:t>
        </w:r>
        <w:r>
          <w:br/>
        </w:r>
        <w:r w:rsidRPr="00B72E68">
          <w:rPr>
            <w:rStyle w:val="Hyperlink"/>
          </w:rPr>
          <w:t>pdf</w:t>
        </w:r>
      </w:hyperlink>
      <w:r>
        <w:t xml:space="preserve"> (O-RAN Alliance White Paper). </w:t>
      </w:r>
    </w:p>
  </w:footnote>
  <w:footnote w:id="40">
    <w:p w:rsidR="008115D5" w:rsidP="00C736CB" w14:paraId="2AA35B6F" w14:textId="77777777">
      <w:pPr>
        <w:pStyle w:val="FootnoteText"/>
      </w:pPr>
      <w:r w:rsidRPr="00EE447B">
        <w:rPr>
          <w:rStyle w:val="FootnoteReference"/>
          <w:sz w:val="20"/>
        </w:rPr>
        <w:footnoteRef/>
      </w:r>
      <w:r>
        <w:t xml:space="preserve"> </w:t>
      </w:r>
      <w:r w:rsidRPr="530736E2">
        <w:t xml:space="preserve">O-RAN </w:t>
      </w:r>
      <w:r>
        <w:t>Alliance</w:t>
      </w:r>
      <w:r w:rsidRPr="530736E2">
        <w:t xml:space="preserve"> White Paper</w:t>
      </w:r>
      <w:r>
        <w:t xml:space="preserve"> at 78.  O-RAN</w:t>
      </w:r>
      <w:r>
        <w:t xml:space="preserve"> Alliance states, “[t]he O-RAN ALLIANCE will continue to work towards the vision of a fully open and intelligent RAN through the definition of innovative use cases and a secure network architecture that can be deployed commercially with interoperable verif</w:t>
      </w:r>
      <w:r>
        <w:t>ied multi-vendor solutions.” O-RAN Alliance White Paper at 25.</w:t>
      </w:r>
    </w:p>
  </w:footnote>
  <w:footnote w:id="41">
    <w:p w:rsidR="008115D5" w:rsidP="00C736CB" w14:paraId="57F76E8A" w14:textId="77777777">
      <w:pPr>
        <w:pStyle w:val="FootnoteText"/>
      </w:pPr>
      <w:r w:rsidRPr="3B6760A3">
        <w:rPr>
          <w:rStyle w:val="FootnoteReference"/>
          <w:sz w:val="20"/>
        </w:rPr>
        <w:footnoteRef/>
      </w:r>
      <w:r>
        <w:t xml:space="preserve"> ADTRAN Reimbursement Program Public Notice Comments at 2-6. </w:t>
      </w:r>
    </w:p>
  </w:footnote>
  <w:footnote w:id="42">
    <w:p w:rsidR="008115D5" w:rsidP="00C736CB" w14:paraId="4A588D55" w14:textId="77777777">
      <w:pPr>
        <w:pStyle w:val="FootnoteText"/>
      </w:pPr>
      <w:r w:rsidRPr="00EE447B">
        <w:rPr>
          <w:rStyle w:val="FootnoteReference"/>
          <w:sz w:val="20"/>
        </w:rPr>
        <w:footnoteRef/>
      </w:r>
      <w:r>
        <w:t xml:space="preserve"> </w:t>
      </w:r>
      <w:r w:rsidRPr="31157B6A">
        <w:rPr>
          <w:i/>
          <w:iCs/>
        </w:rPr>
        <w:t>Id.</w:t>
      </w:r>
      <w:r>
        <w:t xml:space="preserve"> at 2-3.</w:t>
      </w:r>
    </w:p>
  </w:footnote>
  <w:footnote w:id="43">
    <w:p w:rsidR="008115D5" w:rsidP="00C736CB" w14:paraId="4232D09E" w14:textId="77777777">
      <w:pPr>
        <w:pStyle w:val="FootnoteText"/>
      </w:pPr>
      <w:r w:rsidRPr="00EE447B">
        <w:rPr>
          <w:rStyle w:val="FootnoteReference"/>
          <w:sz w:val="20"/>
        </w:rPr>
        <w:footnoteRef/>
      </w:r>
      <w:r>
        <w:t xml:space="preserve"> </w:t>
      </w:r>
      <w:r w:rsidRPr="0933896E">
        <w:rPr>
          <w:i/>
          <w:iCs/>
        </w:rPr>
        <w:t>Id.</w:t>
      </w:r>
      <w:r>
        <w:t xml:space="preserve"> at 6.</w:t>
      </w:r>
    </w:p>
  </w:footnote>
  <w:footnote w:id="44">
    <w:p w:rsidR="008115D5" w:rsidP="00C736CB" w14:paraId="327A15F7" w14:textId="77777777">
      <w:pPr>
        <w:pStyle w:val="FootnoteText"/>
      </w:pPr>
      <w:r w:rsidRPr="3B6760A3">
        <w:rPr>
          <w:rStyle w:val="FootnoteReference"/>
          <w:sz w:val="20"/>
        </w:rPr>
        <w:footnoteRef/>
      </w:r>
      <w:r>
        <w:t xml:space="preserve"> RWA Reimbursement Program Public Notice Comments at 2. </w:t>
      </w:r>
    </w:p>
  </w:footnote>
  <w:footnote w:id="45">
    <w:p w:rsidR="008115D5" w:rsidP="00C736CB" w14:paraId="10A97309" w14:textId="77777777">
      <w:pPr>
        <w:pStyle w:val="FootnoteText"/>
      </w:pPr>
      <w:r w:rsidRPr="00EE447B">
        <w:rPr>
          <w:rStyle w:val="FootnoteReference"/>
          <w:sz w:val="20"/>
        </w:rPr>
        <w:footnoteRef/>
      </w:r>
      <w:r>
        <w:t xml:space="preserve"> </w:t>
      </w:r>
      <w:r w:rsidRPr="00EE447B">
        <w:rPr>
          <w:i/>
          <w:iCs/>
        </w:rPr>
        <w:t>2021 Supply Chain Order</w:t>
      </w:r>
      <w:r>
        <w:t xml:space="preserve"> at 29, para. 65.</w:t>
      </w:r>
    </w:p>
  </w:footnote>
  <w:footnote w:id="46">
    <w:p w:rsidR="008115D5" w:rsidP="00C736CB" w14:paraId="4FAECCA0" w14:textId="77777777">
      <w:pPr>
        <w:pStyle w:val="FootnoteText"/>
      </w:pPr>
      <w:r w:rsidRPr="3B6760A3">
        <w:rPr>
          <w:rStyle w:val="FootnoteReference"/>
          <w:sz w:val="20"/>
        </w:rPr>
        <w:footnoteRef/>
      </w:r>
      <w:r>
        <w:t xml:space="preserve"> </w:t>
      </w:r>
      <w:r>
        <w:t>RWA explicitly took no issue with these requirements.  RWA Reimbursement Program Public Notice Comments at 2.</w:t>
      </w:r>
    </w:p>
  </w:footnote>
  <w:footnote w:id="47">
    <w:p w:rsidR="008115D5" w:rsidP="00C736CB" w14:paraId="7FED0457" w14:textId="77777777">
      <w:pPr>
        <w:pStyle w:val="FootnoteText"/>
      </w:pPr>
      <w:r w:rsidRPr="00EE447B">
        <w:rPr>
          <w:rStyle w:val="FootnoteReference"/>
          <w:sz w:val="20"/>
        </w:rPr>
        <w:footnoteRef/>
      </w:r>
      <w:r>
        <w:t xml:space="preserve"> Applicants can register with CORES here: </w:t>
      </w:r>
      <w:hyperlink r:id="rId5" w:history="1">
        <w:r w:rsidRPr="00785406">
          <w:rPr>
            <w:rStyle w:val="Hyperlink"/>
          </w:rPr>
          <w:t>https://apps.fcc.gov/cores/userLogin.do</w:t>
        </w:r>
      </w:hyperlink>
      <w:r>
        <w:t xml:space="preserve">. </w:t>
      </w:r>
    </w:p>
  </w:footnote>
  <w:footnote w:id="48">
    <w:p w:rsidR="008115D5" w:rsidP="00C736CB" w14:paraId="42CC853A" w14:textId="77777777">
      <w:pPr>
        <w:pStyle w:val="FootnoteText"/>
      </w:pPr>
      <w:r w:rsidRPr="00EE447B">
        <w:rPr>
          <w:rStyle w:val="FootnoteReference"/>
          <w:sz w:val="20"/>
        </w:rPr>
        <w:footnoteRef/>
      </w:r>
      <w:r>
        <w:t xml:space="preserve"> </w:t>
      </w:r>
      <w:r w:rsidRPr="00EB1171">
        <w:t xml:space="preserve">31 </w:t>
      </w:r>
      <w:r w:rsidRPr="00EB1171">
        <w:t>U</w:t>
      </w:r>
      <w:r>
        <w:t>.</w:t>
      </w:r>
      <w:r w:rsidRPr="00EB1171">
        <w:t>S</w:t>
      </w:r>
      <w:r>
        <w:t>.</w:t>
      </w:r>
      <w:r w:rsidRPr="00EB1171">
        <w:t>C</w:t>
      </w:r>
      <w:r>
        <w:t>.</w:t>
      </w:r>
      <w:r w:rsidRPr="00EB1171">
        <w:t xml:space="preserve"> </w:t>
      </w:r>
      <w:r>
        <w:t xml:space="preserve">§ </w:t>
      </w:r>
      <w:r w:rsidRPr="00EB1171">
        <w:t>6101 note.</w:t>
      </w:r>
      <w:r>
        <w:t xml:space="preserve"> Applicants can register with the SAM here: </w:t>
      </w:r>
      <w:hyperlink r:id="rId6" w:history="1">
        <w:r w:rsidRPr="00DC6E04">
          <w:rPr>
            <w:rStyle w:val="Hyperlink"/>
          </w:rPr>
          <w:t>https://www.sam.gov/SAM/</w:t>
        </w:r>
      </w:hyperlink>
      <w:r>
        <w:t xml:space="preserve">.  SAM registration requires additional information including: Data Universal Numbering System (DUNS) number, Taxpayer </w:t>
      </w:r>
      <w:r>
        <w:t>Identification Number (TIN) or Employment Identification Number (EIN), and bank routing and account number for Electronic Funds Transfer (EFT).  The CAGE code is a five-character identifier,</w:t>
      </w:r>
      <w:r w:rsidRPr="00530457">
        <w:t xml:space="preserve"> </w:t>
      </w:r>
      <w:r>
        <w:t>which is used by entities doing business with the Federal governm</w:t>
      </w:r>
      <w:r>
        <w:t>ent to provide banking and other related information.</w:t>
      </w:r>
    </w:p>
  </w:footnote>
  <w:footnote w:id="49">
    <w:p w:rsidR="008115D5" w:rsidP="00C736CB" w14:paraId="3B1FD338" w14:textId="77777777">
      <w:pPr>
        <w:pStyle w:val="FootnoteText"/>
      </w:pPr>
      <w:r w:rsidRPr="00EE447B">
        <w:rPr>
          <w:rStyle w:val="FootnoteReference"/>
          <w:sz w:val="20"/>
        </w:rPr>
        <w:footnoteRef/>
      </w:r>
      <w:r>
        <w:t xml:space="preserve"> </w:t>
      </w:r>
      <w:r w:rsidRPr="001F4417">
        <w:t xml:space="preserve">SAM Non-Federal User Guide § 4.3.1.6.1 (“If your entity has more than one bank account that needs to be listed on the registration, you will need to create DUNS+4. The DUNS+4 should be created if the </w:t>
      </w:r>
      <w:r w:rsidRPr="001F4417">
        <w:t>registered entity only has one physical location but more than one bank account. The DUNS+4 is a user generated four-digit number.”).</w:t>
      </w:r>
    </w:p>
  </w:footnote>
  <w:footnote w:id="50">
    <w:p w:rsidR="008115D5" w:rsidP="00C736CB" w14:paraId="4EF6DA51" w14:textId="77777777">
      <w:pPr>
        <w:pStyle w:val="FootnoteText"/>
      </w:pPr>
      <w:r w:rsidRPr="00EE447B">
        <w:rPr>
          <w:rStyle w:val="FootnoteReference"/>
          <w:sz w:val="20"/>
        </w:rPr>
        <w:footnoteRef/>
      </w:r>
      <w:r>
        <w:t xml:space="preserve"> </w:t>
      </w:r>
      <w:r w:rsidRPr="00573B76">
        <w:rPr>
          <w:i/>
          <w:iCs/>
        </w:rPr>
        <w:t>See Reimbursement Process Public Notice</w:t>
      </w:r>
      <w:r>
        <w:t>, Appx. A, Item Number 25.</w:t>
      </w:r>
    </w:p>
  </w:footnote>
  <w:footnote w:id="51">
    <w:p w:rsidR="008115D5" w:rsidP="00C736CB" w14:paraId="6F22407F" w14:textId="77777777">
      <w:pPr>
        <w:pStyle w:val="FootnoteText"/>
      </w:pPr>
      <w:r w:rsidRPr="00EE447B">
        <w:rPr>
          <w:rStyle w:val="FootnoteReference"/>
          <w:sz w:val="20"/>
        </w:rPr>
        <w:footnoteRef/>
      </w:r>
      <w:r>
        <w:t xml:space="preserve"> </w:t>
      </w:r>
      <w:r w:rsidRPr="00192310">
        <w:rPr>
          <w:i/>
          <w:iCs/>
        </w:rPr>
        <w:t xml:space="preserve">See </w:t>
      </w:r>
      <w:r w:rsidRPr="00192310">
        <w:t>CAA § 901.</w:t>
      </w:r>
    </w:p>
  </w:footnote>
  <w:footnote w:id="52">
    <w:p w:rsidR="008115D5" w:rsidP="00C736CB" w14:paraId="101137A2" w14:textId="77777777">
      <w:pPr>
        <w:pStyle w:val="FootnoteText"/>
      </w:pPr>
      <w:r w:rsidRPr="00EE447B">
        <w:rPr>
          <w:rStyle w:val="FootnoteReference"/>
          <w:sz w:val="20"/>
        </w:rPr>
        <w:footnoteRef/>
      </w:r>
      <w:r>
        <w:t xml:space="preserve"> </w:t>
      </w:r>
      <w:r w:rsidRPr="00BF67FE">
        <w:rPr>
          <w:i/>
          <w:iCs/>
        </w:rPr>
        <w:t>2021 Supply Chain Order</w:t>
      </w:r>
      <w:r>
        <w:t xml:space="preserve"> at </w:t>
      </w:r>
      <w:r w:rsidRPr="7B27F492">
        <w:t>70,</w:t>
      </w:r>
      <w:r w:rsidRPr="4C7B971E">
        <w:t xml:space="preserve"> </w:t>
      </w:r>
      <w:r>
        <w:t>para</w:t>
      </w:r>
      <w:r>
        <w:t>. 45.</w:t>
      </w:r>
    </w:p>
  </w:footnote>
  <w:footnote w:id="53">
    <w:p w:rsidR="008115D5" w:rsidRPr="006A5C3F" w:rsidP="00C736CB" w14:paraId="7F90001D" w14:textId="77777777">
      <w:pPr>
        <w:pStyle w:val="FootnoteText"/>
      </w:pPr>
      <w:r w:rsidRPr="77659CA4">
        <w:rPr>
          <w:rStyle w:val="FootnoteReference"/>
          <w:sz w:val="20"/>
        </w:rPr>
        <w:footnoteRef/>
      </w:r>
      <w:r w:rsidRPr="005B4782">
        <w:t xml:space="preserve"> </w:t>
      </w:r>
      <w:r w:rsidRPr="005B4782">
        <w:rPr>
          <w:i/>
          <w:iCs/>
        </w:rPr>
        <w:t>See</w:t>
      </w:r>
      <w:r w:rsidRPr="00EE447B">
        <w:rPr>
          <w:i/>
          <w:iCs/>
        </w:rPr>
        <w:t xml:space="preserve"> Reimbursement Process Public Notice</w:t>
      </w:r>
      <w:r w:rsidRPr="00EE447B">
        <w:t>, Appx.</w:t>
      </w:r>
      <w:r>
        <w:t xml:space="preserve"> A</w:t>
      </w:r>
      <w:r w:rsidRPr="00EE447B">
        <w:t>, Item Number 25.</w:t>
      </w:r>
    </w:p>
  </w:footnote>
  <w:footnote w:id="54">
    <w:p w:rsidR="008115D5" w:rsidP="00C736CB" w14:paraId="52615690" w14:textId="77777777">
      <w:pPr>
        <w:pStyle w:val="FootnoteText"/>
      </w:pPr>
      <w:r w:rsidRPr="3539E99B">
        <w:rPr>
          <w:rStyle w:val="FootnoteReference"/>
          <w:sz w:val="20"/>
        </w:rPr>
        <w:footnoteRef/>
      </w:r>
      <w:r>
        <w:t xml:space="preserve"> </w:t>
      </w:r>
      <w:r w:rsidRPr="00E25C7E">
        <w:rPr>
          <w:i/>
          <w:iCs/>
        </w:rPr>
        <w:t>2021 Supply Chain Order</w:t>
      </w:r>
      <w:r>
        <w:t xml:space="preserve"> at </w:t>
      </w:r>
      <w:r w:rsidRPr="3539E99B">
        <w:t>36</w:t>
      </w:r>
      <w:r>
        <w:t>-3</w:t>
      </w:r>
      <w:r w:rsidRPr="3539E99B">
        <w:t xml:space="preserve">7, </w:t>
      </w:r>
      <w:r>
        <w:t xml:space="preserve">paras. 88, 91 (“In particular, we reiterate, as previously stated in the </w:t>
      </w:r>
      <w:r w:rsidRPr="00A814E6">
        <w:rPr>
          <w:i/>
          <w:iCs/>
        </w:rPr>
        <w:t>2020 Supply Chain Order</w:t>
      </w:r>
      <w:r>
        <w:rPr>
          <w:iCs/>
        </w:rPr>
        <w:t>,</w:t>
      </w:r>
      <w:r>
        <w:t xml:space="preserve"> that 4G Long Term Evolution (LTE)</w:t>
      </w:r>
      <w:r w:rsidRPr="00192310">
        <w:t xml:space="preserve"> </w:t>
      </w:r>
      <w:r>
        <w:t>network equipment or service, which would include VoLTE technology, would be treated as a comparable replacement for an older mobile wireless network for purposes of the Reimbursement Program.”) (citation omitted).</w:t>
      </w:r>
    </w:p>
  </w:footnote>
  <w:footnote w:id="55">
    <w:p w:rsidR="008115D5" w:rsidP="00C736CB" w14:paraId="7B42C03B" w14:textId="77777777">
      <w:pPr>
        <w:pStyle w:val="FootnoteText"/>
      </w:pPr>
      <w:r>
        <w:rPr>
          <w:rStyle w:val="FootnoteReference"/>
        </w:rPr>
        <w:footnoteRef/>
      </w:r>
      <w:r>
        <w:t xml:space="preserve"> </w:t>
      </w:r>
      <w:r w:rsidRPr="00121B58">
        <w:rPr>
          <w:i/>
          <w:iCs/>
        </w:rPr>
        <w:t xml:space="preserve">See </w:t>
      </w:r>
      <w:r>
        <w:rPr>
          <w:i/>
          <w:iCs/>
        </w:rPr>
        <w:t>id.</w:t>
      </w:r>
      <w:r>
        <w:t xml:space="preserve"> at 37-38, paras. 91-92.</w:t>
      </w:r>
    </w:p>
  </w:footnote>
  <w:footnote w:id="56">
    <w:p w:rsidR="008115D5" w:rsidP="00C736CB" w14:paraId="4AD5832E" w14:textId="77777777">
      <w:pPr>
        <w:pStyle w:val="FootnoteText"/>
      </w:pPr>
      <w:r>
        <w:rPr>
          <w:rStyle w:val="FootnoteReference"/>
        </w:rPr>
        <w:footnoteRef/>
      </w:r>
      <w:r>
        <w:t xml:space="preserve"> </w:t>
      </w:r>
      <w:r>
        <w:rPr>
          <w:i/>
          <w:iCs/>
        </w:rPr>
        <w:t>Reimbursement Process Public Notice</w:t>
      </w:r>
      <w:r>
        <w:t xml:space="preserve"> at 3.</w:t>
      </w:r>
    </w:p>
  </w:footnote>
  <w:footnote w:id="57">
    <w:p w:rsidR="008115D5" w:rsidP="00C736CB" w14:paraId="7C165D57" w14:textId="77777777">
      <w:pPr>
        <w:pStyle w:val="FootnoteText"/>
      </w:pPr>
      <w:r w:rsidRPr="00EE447B">
        <w:rPr>
          <w:rStyle w:val="FootnoteReference"/>
          <w:sz w:val="20"/>
        </w:rPr>
        <w:footnoteRef/>
      </w:r>
      <w:r>
        <w:t xml:space="preserve"> </w:t>
      </w:r>
      <w:r>
        <w:rPr>
          <w:i/>
          <w:iCs/>
        </w:rPr>
        <w:t>Id.</w:t>
      </w:r>
      <w:r>
        <w:t xml:space="preserve"> at 5.</w:t>
      </w:r>
    </w:p>
  </w:footnote>
  <w:footnote w:id="58">
    <w:p w:rsidR="008115D5" w:rsidP="00C736CB" w14:paraId="0107C673" w14:textId="77777777">
      <w:pPr>
        <w:pStyle w:val="FootnoteText"/>
      </w:pPr>
      <w:r w:rsidRPr="3B6760A3">
        <w:rPr>
          <w:rStyle w:val="FootnoteReference"/>
          <w:sz w:val="20"/>
        </w:rPr>
        <w:footnoteRef/>
      </w:r>
      <w:r>
        <w:t xml:space="preserve"> CCA Reimbursement Process Public Notice Comments at 4; RWA Reimbursement Process Public Notice Comments at 3. </w:t>
      </w:r>
    </w:p>
  </w:footnote>
  <w:footnote w:id="59">
    <w:p w:rsidR="008115D5" w:rsidP="00C736CB" w14:paraId="2254D65D" w14:textId="77777777">
      <w:pPr>
        <w:pStyle w:val="FootnoteText"/>
      </w:pPr>
      <w:r w:rsidRPr="00EE447B">
        <w:rPr>
          <w:rStyle w:val="FootnoteReference"/>
          <w:sz w:val="20"/>
        </w:rPr>
        <w:footnoteRef/>
      </w:r>
      <w:r>
        <w:t xml:space="preserve"> For example, we are working towards facilitating batch up</w:t>
      </w:r>
      <w:r>
        <w:t>loads for the site-location and equipment identification information contained in the Application Request for Funding Allocation.  Separately, as requested by RWA, we will evaluate the use of .zip upload files for providing supporting documentation.  RWA C</w:t>
      </w:r>
      <w:r>
        <w:t>omment at 3.</w:t>
      </w:r>
    </w:p>
  </w:footnote>
  <w:footnote w:id="60">
    <w:p w:rsidR="008115D5" w:rsidP="00C736CB" w14:paraId="2BB06430" w14:textId="77777777">
      <w:pPr>
        <w:pStyle w:val="FootnoteText"/>
      </w:pPr>
      <w:r w:rsidRPr="3B6760A3">
        <w:rPr>
          <w:rStyle w:val="FootnoteReference"/>
          <w:sz w:val="20"/>
        </w:rPr>
        <w:footnoteRef/>
      </w:r>
      <w:r>
        <w:t xml:space="preserve"> CCA Reimbursement Process Public Notice Comments at 4-5. </w:t>
      </w:r>
    </w:p>
  </w:footnote>
  <w:footnote w:id="61">
    <w:p w:rsidR="008115D5" w:rsidRPr="001F4417" w:rsidP="00C736CB" w14:paraId="29003F79" w14:textId="77777777">
      <w:pPr>
        <w:pStyle w:val="FootnoteText"/>
      </w:pPr>
      <w:r w:rsidRPr="00EE447B">
        <w:rPr>
          <w:rStyle w:val="FootnoteReference"/>
          <w:sz w:val="20"/>
        </w:rPr>
        <w:footnoteRef/>
      </w:r>
      <w:r w:rsidRPr="001F4417">
        <w:t xml:space="preserve"> 47 CFR § 1.50004(</w:t>
      </w:r>
      <w:r>
        <w:t>b).</w:t>
      </w:r>
    </w:p>
  </w:footnote>
  <w:footnote w:id="62">
    <w:p w:rsidR="008115D5" w:rsidP="00C736CB" w14:paraId="098FBF5E" w14:textId="77777777">
      <w:pPr>
        <w:pStyle w:val="FootnoteText"/>
      </w:pPr>
      <w:r w:rsidRPr="3B6760A3">
        <w:rPr>
          <w:rStyle w:val="FootnoteReference"/>
          <w:sz w:val="20"/>
        </w:rPr>
        <w:footnoteRef/>
      </w:r>
      <w:r>
        <w:t xml:space="preserve"> The Rural Wireless Broadband Coalition (RWBC) indicated that the process is burdensome on applicants and that it will take a significant amount of time to gat</w:t>
      </w:r>
      <w:r>
        <w:t>her the information necessary to file an application request for funding allocation.  RWBC Reimbursement Process Public Notice Comments at 8.  RWBC suggests delaying the opening of the filing window by six months if the Commission adopted its proposed proc</w:t>
      </w:r>
      <w:r>
        <w:t xml:space="preserve">esses.  </w:t>
      </w:r>
      <w:r w:rsidRPr="00121B58">
        <w:rPr>
          <w:i/>
          <w:iCs/>
        </w:rPr>
        <w:t>Id.</w:t>
      </w:r>
      <w:r>
        <w:t xml:space="preserve"> at 8.  As we have not yet announced the opening of the filing window and have provided notice of our expectations and the information required in the application, we do not find it in the public interest to delay the opening of the filing windo</w:t>
      </w:r>
      <w:r>
        <w:t xml:space="preserve">w by six months.  Moreover, given the national security threat posed by the </w:t>
      </w:r>
      <w:r w:rsidRPr="00192310">
        <w:t>communications equipment and services</w:t>
      </w:r>
      <w:r>
        <w:t xml:space="preserve"> that will be removed, replaced, and disposed of, time is of the essence and we intend to open the filing window in due course. </w:t>
      </w:r>
    </w:p>
  </w:footnote>
  <w:footnote w:id="63">
    <w:p w:rsidR="008115D5" w:rsidRPr="001F4417" w:rsidP="00C736CB" w14:paraId="6AAD3008" w14:textId="77777777">
      <w:pPr>
        <w:pStyle w:val="FootnoteText"/>
      </w:pPr>
      <w:r w:rsidRPr="37AC26AD">
        <w:rPr>
          <w:rStyle w:val="FootnoteReference"/>
          <w:sz w:val="20"/>
        </w:rPr>
        <w:footnoteRef/>
      </w:r>
      <w:r w:rsidRPr="001F4417">
        <w:t xml:space="preserve"> </w:t>
      </w:r>
      <w:r>
        <w:rPr>
          <w:i/>
          <w:iCs/>
        </w:rPr>
        <w:t xml:space="preserve">2021 Supply </w:t>
      </w:r>
      <w:r>
        <w:rPr>
          <w:i/>
          <w:iCs/>
        </w:rPr>
        <w:t>Chain</w:t>
      </w:r>
      <w:r w:rsidRPr="00E26B83">
        <w:rPr>
          <w:i/>
          <w:iCs/>
        </w:rPr>
        <w:t xml:space="preserve"> Order</w:t>
      </w:r>
      <w:r>
        <w:t xml:space="preserve"> at 39, para. 95. </w:t>
      </w:r>
    </w:p>
  </w:footnote>
  <w:footnote w:id="64">
    <w:p w:rsidR="008115D5" w:rsidP="00C736CB" w14:paraId="111891EA" w14:textId="77777777">
      <w:pPr>
        <w:pStyle w:val="FootnoteText"/>
      </w:pPr>
      <w:r>
        <w:rPr>
          <w:rStyle w:val="FootnoteReference"/>
        </w:rPr>
        <w:footnoteRef/>
      </w:r>
      <w:r>
        <w:t xml:space="preserve"> </w:t>
      </w:r>
      <w:r w:rsidRPr="00121B58">
        <w:rPr>
          <w:i/>
          <w:iCs/>
        </w:rPr>
        <w:t>See</w:t>
      </w:r>
      <w:r>
        <w:t xml:space="preserve"> RWA Reimbursement Process Public Notice Comments at 4-5. </w:t>
      </w:r>
    </w:p>
  </w:footnote>
  <w:footnote w:id="65">
    <w:p w:rsidR="008115D5" w:rsidP="00C736CB" w14:paraId="76A2887C" w14:textId="77777777">
      <w:pPr>
        <w:pStyle w:val="FootnoteText"/>
        <w:rPr>
          <w:highlight w:val="yellow"/>
        </w:rPr>
      </w:pPr>
      <w:r w:rsidRPr="00EE447B">
        <w:rPr>
          <w:rStyle w:val="FootnoteReference"/>
          <w:sz w:val="20"/>
        </w:rPr>
        <w:footnoteRef/>
      </w:r>
      <w:r>
        <w:t xml:space="preserve"> </w:t>
      </w:r>
      <w:r w:rsidRPr="00856A4F">
        <w:rPr>
          <w:i/>
        </w:rPr>
        <w:t>See</w:t>
      </w:r>
      <w:r w:rsidRPr="00856A4F">
        <w:t xml:space="preserve"> </w:t>
      </w:r>
      <w:r w:rsidRPr="00EE447B">
        <w:rPr>
          <w:i/>
        </w:rPr>
        <w:t>2021 Supply Chain Order</w:t>
      </w:r>
      <w:r w:rsidRPr="00EE447B">
        <w:t xml:space="preserve"> (accompanying s</w:t>
      </w:r>
      <w:r w:rsidRPr="004A4CD3">
        <w:t xml:space="preserve">tatement </w:t>
      </w:r>
      <w:r>
        <w:t>by</w:t>
      </w:r>
      <w:r w:rsidRPr="004A4CD3">
        <w:t xml:space="preserve"> Acting Chairwoman Rosenworcel (July 1</w:t>
      </w:r>
      <w:r w:rsidRPr="00EE447B">
        <w:t>4</w:t>
      </w:r>
      <w:r w:rsidRPr="00856A4F">
        <w:t>, 2021)</w:t>
      </w:r>
      <w:r>
        <w:t>)</w:t>
      </w:r>
      <w:r w:rsidRPr="00856A4F">
        <w:t>.</w:t>
      </w:r>
    </w:p>
  </w:footnote>
  <w:footnote w:id="66">
    <w:p w:rsidR="008115D5" w:rsidP="00C736CB" w14:paraId="545AEC04" w14:textId="77777777">
      <w:pPr>
        <w:pStyle w:val="FootnoteText"/>
      </w:pPr>
      <w:r w:rsidRPr="00EE447B">
        <w:rPr>
          <w:rStyle w:val="FootnoteReference"/>
          <w:sz w:val="20"/>
        </w:rPr>
        <w:footnoteRef/>
      </w:r>
      <w:r>
        <w:t xml:space="preserve"> </w:t>
      </w:r>
      <w:r w:rsidRPr="1A7EF590">
        <w:rPr>
          <w:i/>
          <w:iCs/>
        </w:rPr>
        <w:t>Id.</w:t>
      </w:r>
      <w:r>
        <w:t xml:space="preserve"> at 5.</w:t>
      </w:r>
    </w:p>
  </w:footnote>
  <w:footnote w:id="67">
    <w:p w:rsidR="008115D5" w:rsidP="00C736CB" w14:paraId="3F1D2FBE" w14:textId="77777777">
      <w:pPr>
        <w:pStyle w:val="FootnoteText"/>
      </w:pPr>
      <w:r w:rsidRPr="58AB80F3">
        <w:rPr>
          <w:rStyle w:val="FootnoteReference"/>
          <w:sz w:val="20"/>
        </w:rPr>
        <w:footnoteRef/>
      </w:r>
      <w:r>
        <w:t xml:space="preserve"> </w:t>
      </w:r>
      <w:r>
        <w:rPr>
          <w:i/>
          <w:iCs/>
        </w:rPr>
        <w:t>2021 Supply Chain Order</w:t>
      </w:r>
      <w:r>
        <w:t xml:space="preserve"> at 5,</w:t>
      </w:r>
      <w:r w:rsidRPr="7B27F492">
        <w:t xml:space="preserve"> </w:t>
      </w:r>
      <w:r>
        <w:t xml:space="preserve">para. 11. </w:t>
      </w:r>
    </w:p>
  </w:footnote>
  <w:footnote w:id="68">
    <w:p w:rsidR="008115D5" w:rsidP="00C736CB" w14:paraId="5DBD6124" w14:textId="77777777">
      <w:pPr>
        <w:pStyle w:val="FootnoteText"/>
      </w:pPr>
      <w:r w:rsidRPr="00EE447B">
        <w:rPr>
          <w:rStyle w:val="FootnoteReference"/>
          <w:sz w:val="20"/>
        </w:rPr>
        <w:footnoteRef/>
      </w:r>
      <w:r>
        <w:t xml:space="preserve"> </w:t>
      </w:r>
      <w:r w:rsidRPr="3C9441D6">
        <w:rPr>
          <w:i/>
          <w:iCs/>
        </w:rPr>
        <w:t>Id.</w:t>
      </w:r>
    </w:p>
  </w:footnote>
  <w:footnote w:id="69">
    <w:p w:rsidR="008115D5" w:rsidRPr="000C3057" w:rsidP="00C736CB" w14:paraId="4544891B" w14:textId="77777777">
      <w:pPr>
        <w:pStyle w:val="FootnoteText"/>
      </w:pPr>
      <w:r w:rsidRPr="00EE447B">
        <w:rPr>
          <w:rStyle w:val="FootnoteReference"/>
          <w:sz w:val="20"/>
        </w:rPr>
        <w:footnoteRef/>
      </w:r>
      <w:r w:rsidRPr="001F4417">
        <w:t xml:space="preserve"> </w:t>
      </w:r>
      <w:r w:rsidRPr="00EE447B">
        <w:rPr>
          <w:i/>
        </w:rPr>
        <w:t>2020 Supply Chain Order</w:t>
      </w:r>
      <w:r w:rsidRPr="00EE447B">
        <w:t>, 35 FCC Rcd at 14333, para. 114.</w:t>
      </w:r>
    </w:p>
  </w:footnote>
  <w:footnote w:id="70">
    <w:p w:rsidR="008115D5" w:rsidRPr="001F4417" w:rsidP="00C736CB" w14:paraId="714CA147" w14:textId="77777777">
      <w:pPr>
        <w:pStyle w:val="FootnoteText"/>
      </w:pPr>
      <w:r w:rsidRPr="00EE447B">
        <w:rPr>
          <w:rStyle w:val="FootnoteReference"/>
          <w:sz w:val="20"/>
        </w:rPr>
        <w:footnoteRef/>
      </w:r>
      <w:r w:rsidRPr="001F4417">
        <w:t xml:space="preserve"> </w:t>
      </w:r>
      <w:r w:rsidRPr="00192310">
        <w:t>47 CFR § 1.50001(a).</w:t>
      </w:r>
    </w:p>
  </w:footnote>
  <w:footnote w:id="71">
    <w:p w:rsidR="008115D5" w:rsidP="00C736CB" w14:paraId="23D42425" w14:textId="77777777">
      <w:pPr>
        <w:pStyle w:val="FootnoteText"/>
      </w:pPr>
      <w:r w:rsidRPr="00EE447B">
        <w:rPr>
          <w:rStyle w:val="FootnoteReference"/>
          <w:sz w:val="20"/>
        </w:rPr>
        <w:footnoteRef/>
      </w:r>
      <w:r>
        <w:t xml:space="preserve"> </w:t>
      </w:r>
      <w:r w:rsidRPr="00192310">
        <w:rPr>
          <w:i/>
          <w:iCs/>
        </w:rPr>
        <w:t>2020 Supply Chain Order</w:t>
      </w:r>
      <w:r w:rsidRPr="00192310">
        <w:t>, 35 FCC Rcd at 14332-33, para. 112.</w:t>
      </w:r>
    </w:p>
  </w:footnote>
  <w:footnote w:id="72">
    <w:p w:rsidR="008115D5" w:rsidP="00C736CB" w14:paraId="1C7B62F4" w14:textId="77777777">
      <w:pPr>
        <w:pStyle w:val="FootnoteText"/>
      </w:pPr>
      <w:r>
        <w:rPr>
          <w:rStyle w:val="FootnoteReference"/>
        </w:rPr>
        <w:footnoteRef/>
      </w:r>
      <w:r>
        <w:t xml:space="preserve"> </w:t>
      </w:r>
      <w:r w:rsidRPr="004915B7">
        <w:rPr>
          <w:i/>
        </w:rPr>
        <w:t>2021 Supply Chain Order</w:t>
      </w:r>
      <w:r>
        <w:t xml:space="preserve"> at 16-21, paras. 13-45.</w:t>
      </w:r>
    </w:p>
  </w:footnote>
  <w:footnote w:id="73">
    <w:p w:rsidR="008115D5" w:rsidP="00C736CB" w14:paraId="448FF75E" w14:textId="77777777">
      <w:pPr>
        <w:pStyle w:val="FootnoteText"/>
      </w:pPr>
      <w:r>
        <w:rPr>
          <w:rStyle w:val="FootnoteReference"/>
        </w:rPr>
        <w:footnoteRef/>
      </w:r>
      <w:r>
        <w:t xml:space="preserve"> </w:t>
      </w:r>
      <w:r w:rsidRPr="3222F91A">
        <w:rPr>
          <w:i/>
        </w:rPr>
        <w:t>Id.</w:t>
      </w:r>
      <w:r>
        <w:t xml:space="preserve"> at 21-22, paras. 46-48.  In the</w:t>
      </w:r>
      <w:r w:rsidRPr="3222F91A">
        <w:rPr>
          <w:i/>
        </w:rPr>
        <w:t xml:space="preserve"> 2021 Su</w:t>
      </w:r>
      <w:r w:rsidRPr="3222F91A">
        <w:rPr>
          <w:i/>
        </w:rPr>
        <w:t>pply Chain Order</w:t>
      </w:r>
      <w:r>
        <w:t xml:space="preserve">, the Commission clarified that Huawei and ZTE equipment obtained but not in use could potentially be eligible for reimbursement.  </w:t>
      </w:r>
      <w:r w:rsidRPr="3222F91A">
        <w:rPr>
          <w:i/>
        </w:rPr>
        <w:t>Id</w:t>
      </w:r>
      <w:r>
        <w:t>. at 23 &amp; n.157.</w:t>
      </w:r>
    </w:p>
  </w:footnote>
  <w:footnote w:id="74">
    <w:p w:rsidR="008115D5" w:rsidP="00C736CB" w14:paraId="6211AAFC" w14:textId="77777777">
      <w:pPr>
        <w:pStyle w:val="FootnoteText"/>
      </w:pPr>
      <w:r w:rsidRPr="00EE447B">
        <w:rPr>
          <w:rStyle w:val="FootnoteReference"/>
          <w:sz w:val="20"/>
        </w:rPr>
        <w:footnoteRef/>
      </w:r>
      <w:r>
        <w:t xml:space="preserve"> 47 CFR § 1.50004(d).</w:t>
      </w:r>
    </w:p>
  </w:footnote>
  <w:footnote w:id="75">
    <w:p w:rsidR="008115D5" w:rsidP="00C736CB" w14:paraId="5AD97D95" w14:textId="77777777">
      <w:pPr>
        <w:pStyle w:val="FootnoteText"/>
      </w:pPr>
      <w:r w:rsidRPr="00EE447B">
        <w:rPr>
          <w:rStyle w:val="FootnoteReference"/>
          <w:sz w:val="20"/>
        </w:rPr>
        <w:footnoteRef/>
      </w:r>
      <w:r>
        <w:t xml:space="preserve"> </w:t>
      </w:r>
      <w:r w:rsidRPr="0066601F">
        <w:rPr>
          <w:i/>
        </w:rPr>
        <w:t>See</w:t>
      </w:r>
      <w:r>
        <w:t xml:space="preserve"> </w:t>
      </w:r>
      <w:r w:rsidRPr="0066601F">
        <w:rPr>
          <w:i/>
        </w:rPr>
        <w:t>Reimbursement Process Public Notice</w:t>
      </w:r>
      <w:r>
        <w:t xml:space="preserve">, Appx. A, Item Number 23. </w:t>
      </w:r>
    </w:p>
  </w:footnote>
  <w:footnote w:id="76">
    <w:p w:rsidR="008115D5" w:rsidP="00C736CB" w14:paraId="64B39684" w14:textId="77777777">
      <w:pPr>
        <w:pStyle w:val="FootnoteText"/>
        <w:rPr>
          <w:i/>
        </w:rPr>
      </w:pPr>
      <w:r w:rsidRPr="00EE447B">
        <w:rPr>
          <w:rStyle w:val="FootnoteReference"/>
          <w:sz w:val="20"/>
        </w:rPr>
        <w:footnoteRef/>
      </w:r>
      <w:r>
        <w:t xml:space="preserve"> </w:t>
      </w:r>
      <w:r w:rsidRPr="7773B04D">
        <w:rPr>
          <w:i/>
          <w:iCs/>
        </w:rPr>
        <w:t>See id.</w:t>
      </w:r>
      <w:r w:rsidRPr="7773B04D">
        <w:t xml:space="preserve">, </w:t>
      </w:r>
      <w:r>
        <w:t xml:space="preserve">Appx. A, </w:t>
      </w:r>
      <w:r w:rsidRPr="621F7C02">
        <w:t>Item Number 25</w:t>
      </w:r>
    </w:p>
  </w:footnote>
  <w:footnote w:id="77">
    <w:p w:rsidR="008115D5" w:rsidP="00C736CB" w14:paraId="58A23A8A" w14:textId="77777777">
      <w:pPr>
        <w:pStyle w:val="FootnoteText"/>
      </w:pPr>
      <w:r w:rsidRPr="00EE447B">
        <w:rPr>
          <w:rStyle w:val="FootnoteReference"/>
          <w:sz w:val="20"/>
        </w:rPr>
        <w:footnoteRef/>
      </w:r>
      <w:r>
        <w:t xml:space="preserve"> </w:t>
      </w:r>
      <w:r w:rsidRPr="621F7C02">
        <w:rPr>
          <w:i/>
          <w:iCs/>
        </w:rPr>
        <w:t>Id.</w:t>
      </w:r>
      <w:r>
        <w:rPr>
          <w:i/>
        </w:rPr>
        <w:t xml:space="preserve"> </w:t>
      </w:r>
      <w:r w:rsidRPr="00E25C7E">
        <w:rPr>
          <w:iCs/>
        </w:rPr>
        <w:t xml:space="preserve">at </w:t>
      </w:r>
      <w:r w:rsidRPr="65A4FD58">
        <w:t>2-3</w:t>
      </w:r>
      <w:r w:rsidRPr="00E25C7E">
        <w:rPr>
          <w:iCs/>
        </w:rPr>
        <w:t>.</w:t>
      </w:r>
    </w:p>
  </w:footnote>
  <w:footnote w:id="78">
    <w:p w:rsidR="008115D5" w:rsidP="00C736CB" w14:paraId="62ACB23F" w14:textId="77777777">
      <w:pPr>
        <w:pStyle w:val="FootnoteText"/>
      </w:pPr>
      <w:r w:rsidRPr="00EE447B">
        <w:rPr>
          <w:rStyle w:val="FootnoteReference"/>
          <w:sz w:val="20"/>
        </w:rPr>
        <w:footnoteRef/>
      </w:r>
      <w:r>
        <w:t xml:space="preserve"> </w:t>
      </w:r>
      <w:r w:rsidRPr="0066601F">
        <w:rPr>
          <w:i/>
        </w:rPr>
        <w:t>See Reimbursement Process Public Notice</w:t>
      </w:r>
      <w:r>
        <w:t>, Appx. A, Item Number 23 (“</w:t>
      </w:r>
      <w:r w:rsidRPr="003B3B27">
        <w:rPr>
          <w:rFonts w:eastAsia="Arial"/>
        </w:rPr>
        <w:t>Note:  If Applicant answers “yes” and there is no record of the applic</w:t>
      </w:r>
      <w:r w:rsidRPr="000875D4">
        <w:rPr>
          <w:rFonts w:eastAsia="Arial"/>
        </w:rPr>
        <w:t>ant filing the Form 477 “Local Telephone</w:t>
      </w:r>
      <w:r w:rsidRPr="000875D4">
        <w:rPr>
          <w:rFonts w:eastAsia="Arial"/>
        </w:rPr>
        <w:t xml:space="preserve"> Competition and</w:t>
      </w:r>
      <w:r w:rsidRPr="00BD1D17">
        <w:rPr>
          <w:rFonts w:eastAsia="Arial"/>
        </w:rPr>
        <w:t xml:space="preserve"> Broadband Reporting” to report broadband deployment in the most recent reporting period, then Applicant will need to provide additional information supporting attestation.</w:t>
      </w:r>
      <w:r w:rsidRPr="00845536">
        <w:rPr>
          <w:rFonts w:eastAsia="Arial"/>
        </w:rPr>
        <w:t>”).  Applicants that should have filed an FCC Form 477 but did not w</w:t>
      </w:r>
      <w:r w:rsidRPr="00845536">
        <w:rPr>
          <w:rFonts w:eastAsia="Arial"/>
        </w:rPr>
        <w:t>ill need to prov</w:t>
      </w:r>
      <w:r w:rsidRPr="00DA392E">
        <w:rPr>
          <w:rFonts w:eastAsia="Arial"/>
        </w:rPr>
        <w:t xml:space="preserve">ide additional documentation demonstrating Reimbursement Program eligibility and may separately have to file a Form 477, if required. </w:t>
      </w:r>
    </w:p>
  </w:footnote>
  <w:footnote w:id="79">
    <w:p w:rsidR="008115D5" w:rsidP="00C736CB" w14:paraId="163F0D3B" w14:textId="77777777">
      <w:pPr>
        <w:pStyle w:val="FootnoteText"/>
      </w:pPr>
      <w:r w:rsidRPr="00EE447B">
        <w:rPr>
          <w:rStyle w:val="FootnoteReference"/>
          <w:sz w:val="20"/>
        </w:rPr>
        <w:footnoteRef/>
      </w:r>
      <w:r>
        <w:t xml:space="preserve"> 47 U.S.C. § 1603(e)(1) (“The Commission shall take all necessary steps to avoid waste, fraud, and abuse</w:t>
      </w:r>
      <w:r>
        <w:t xml:space="preserve"> with respect to the Program.”).</w:t>
      </w:r>
    </w:p>
  </w:footnote>
  <w:footnote w:id="80">
    <w:p w:rsidR="008115D5" w:rsidRPr="00CD4F11" w:rsidP="00C736CB" w14:paraId="0BEB4AF5" w14:textId="77777777">
      <w:pPr>
        <w:pStyle w:val="FootnoteText"/>
      </w:pPr>
      <w:r w:rsidRPr="004E1AB7">
        <w:rPr>
          <w:rStyle w:val="FootnoteReference"/>
          <w:sz w:val="20"/>
        </w:rPr>
        <w:footnoteRef/>
      </w:r>
      <w:r w:rsidRPr="004E1AB7">
        <w:t xml:space="preserve"> </w:t>
      </w:r>
      <w:r w:rsidRPr="004E1AB7">
        <w:rPr>
          <w:i/>
          <w:iCs/>
        </w:rPr>
        <w:t>See</w:t>
      </w:r>
      <w:r w:rsidRPr="00CD4F11">
        <w:t xml:space="preserve"> 47 U.S.C. § 1603(d)(2)(B); 47 CFR § 1.50004(c)(1)(i)</w:t>
      </w:r>
      <w:r>
        <w:t xml:space="preserve"> (not yet effective</w:t>
      </w:r>
      <w:r w:rsidRPr="00CD4F11">
        <w:t xml:space="preserve">).  </w:t>
      </w:r>
    </w:p>
  </w:footnote>
  <w:footnote w:id="81">
    <w:p w:rsidR="008115D5" w:rsidP="00C736CB" w14:paraId="5CA74729" w14:textId="77777777">
      <w:pPr>
        <w:pStyle w:val="FootnoteText"/>
      </w:pPr>
      <w:r w:rsidRPr="00EE447B">
        <w:rPr>
          <w:rStyle w:val="FootnoteReference"/>
          <w:sz w:val="20"/>
        </w:rPr>
        <w:footnoteRef/>
      </w:r>
      <w:r>
        <w:t xml:space="preserve"> </w:t>
      </w:r>
      <w:r w:rsidRPr="004E1AB7">
        <w:rPr>
          <w:i/>
          <w:iCs/>
        </w:rPr>
        <w:t>See</w:t>
      </w:r>
      <w:r w:rsidRPr="00CD4F11">
        <w:t xml:space="preserve"> </w:t>
      </w:r>
      <w:r w:rsidRPr="00121B58">
        <w:rPr>
          <w:i/>
          <w:iCs/>
        </w:rPr>
        <w:t>id</w:t>
      </w:r>
      <w:r w:rsidRPr="00CD4F11">
        <w:t xml:space="preserve">.  </w:t>
      </w:r>
    </w:p>
  </w:footnote>
  <w:footnote w:id="82">
    <w:p w:rsidR="008115D5" w:rsidP="00C736CB" w14:paraId="1861C58A" w14:textId="77777777">
      <w:pPr>
        <w:pStyle w:val="FootnoteText"/>
      </w:pPr>
      <w:r w:rsidRPr="00EE447B">
        <w:rPr>
          <w:rStyle w:val="FootnoteReference"/>
          <w:sz w:val="20"/>
        </w:rPr>
        <w:footnoteRef/>
      </w:r>
      <w:r>
        <w:t xml:space="preserve"> </w:t>
      </w:r>
      <w:r w:rsidRPr="00CD4F11">
        <w:t>47 U.S.C. § 1603(d)(2)(B)(ii)</w:t>
      </w:r>
      <w:r>
        <w:t>.</w:t>
      </w:r>
    </w:p>
  </w:footnote>
  <w:footnote w:id="83">
    <w:p w:rsidR="008115D5" w:rsidP="00C736CB" w14:paraId="79E40A35" w14:textId="77777777">
      <w:pPr>
        <w:pStyle w:val="FootnoteText"/>
      </w:pPr>
      <w:r w:rsidRPr="00EE447B">
        <w:rPr>
          <w:rStyle w:val="FootnoteReference"/>
          <w:sz w:val="20"/>
        </w:rPr>
        <w:footnoteRef/>
      </w:r>
      <w:r>
        <w:t xml:space="preserve"> 47 CFR § 1.50004(c)(1)(i) (not yet effective); </w:t>
      </w:r>
      <w:r w:rsidRPr="00CC61DE">
        <w:rPr>
          <w:i/>
          <w:iCs/>
        </w:rPr>
        <w:t>2020 Supply Chain Order</w:t>
      </w:r>
      <w:r>
        <w:t>, 35 FCC Rcd</w:t>
      </w:r>
      <w:r>
        <w:t xml:space="preserve"> at 14339-40, paras. 128-129.  </w:t>
      </w:r>
    </w:p>
  </w:footnote>
  <w:footnote w:id="84">
    <w:p w:rsidR="008115D5" w:rsidRPr="00264F76" w:rsidP="00C736CB" w14:paraId="3C68939B" w14:textId="77777777">
      <w:pPr>
        <w:pStyle w:val="FootnoteText"/>
      </w:pPr>
      <w:r w:rsidRPr="00264F76">
        <w:rPr>
          <w:rStyle w:val="FootnoteReference"/>
          <w:sz w:val="20"/>
        </w:rPr>
        <w:footnoteRef/>
      </w:r>
      <w:r w:rsidRPr="00264F76">
        <w:t xml:space="preserve"> </w:t>
      </w:r>
      <w:r>
        <w:rPr>
          <w:i/>
          <w:iCs/>
        </w:rPr>
        <w:t>2021 Supply Chain</w:t>
      </w:r>
      <w:r w:rsidRPr="00264F76">
        <w:rPr>
          <w:i/>
          <w:iCs/>
        </w:rPr>
        <w:t xml:space="preserve"> Order</w:t>
      </w:r>
      <w:r w:rsidRPr="00264F76">
        <w:t xml:space="preserve"> at 3</w:t>
      </w:r>
      <w:r w:rsidRPr="7B27F492">
        <w:t>6-37</w:t>
      </w:r>
      <w:r w:rsidRPr="00264F76">
        <w:t xml:space="preserve">, para. 88. </w:t>
      </w:r>
    </w:p>
  </w:footnote>
  <w:footnote w:id="85">
    <w:p w:rsidR="008115D5" w:rsidRPr="00264F76" w:rsidP="00C736CB" w14:paraId="12F380FF" w14:textId="77777777">
      <w:pPr>
        <w:pStyle w:val="FootnoteText"/>
      </w:pPr>
      <w:r w:rsidRPr="00264F76">
        <w:rPr>
          <w:rStyle w:val="FootnoteReference"/>
          <w:sz w:val="20"/>
        </w:rPr>
        <w:footnoteRef/>
      </w:r>
      <w:r w:rsidRPr="00264F76">
        <w:t xml:space="preserve"> </w:t>
      </w:r>
      <w:r w:rsidRPr="00264F76">
        <w:rPr>
          <w:i/>
          <w:iCs/>
        </w:rPr>
        <w:t>Id</w:t>
      </w:r>
      <w:r w:rsidRPr="00264F76">
        <w:t xml:space="preserve">. at </w:t>
      </w:r>
      <w:r w:rsidRPr="7B27F492">
        <w:t>37</w:t>
      </w:r>
      <w:r w:rsidRPr="00264F76">
        <w:t>, para. 89.</w:t>
      </w:r>
    </w:p>
  </w:footnote>
  <w:footnote w:id="86">
    <w:p w:rsidR="008115D5" w:rsidRPr="00264F76" w:rsidP="00C736CB" w14:paraId="22A86864" w14:textId="77777777">
      <w:pPr>
        <w:pStyle w:val="FootnoteText"/>
      </w:pPr>
      <w:r w:rsidRPr="00264F76">
        <w:rPr>
          <w:rStyle w:val="FootnoteReference"/>
          <w:sz w:val="20"/>
        </w:rPr>
        <w:footnoteRef/>
      </w:r>
      <w:r w:rsidRPr="00264F76">
        <w:t xml:space="preserve"> </w:t>
      </w:r>
      <w:r w:rsidRPr="00264F76">
        <w:rPr>
          <w:i/>
          <w:iCs/>
        </w:rPr>
        <w:t>Id</w:t>
      </w:r>
      <w:r w:rsidRPr="00264F76">
        <w:t>.</w:t>
      </w:r>
    </w:p>
  </w:footnote>
  <w:footnote w:id="87">
    <w:p w:rsidR="008115D5" w:rsidRPr="00264F76" w:rsidP="00C736CB" w14:paraId="31B98F2F" w14:textId="77777777">
      <w:pPr>
        <w:pStyle w:val="FootnoteText"/>
      </w:pPr>
      <w:r w:rsidRPr="00264F76">
        <w:rPr>
          <w:rStyle w:val="FootnoteReference"/>
          <w:sz w:val="20"/>
        </w:rPr>
        <w:footnoteRef/>
      </w:r>
      <w:r w:rsidRPr="00264F76">
        <w:t xml:space="preserve"> </w:t>
      </w:r>
      <w:r w:rsidRPr="00264F76">
        <w:rPr>
          <w:i/>
          <w:iCs/>
        </w:rPr>
        <w:t>Id</w:t>
      </w:r>
      <w:r w:rsidRPr="00264F76">
        <w:t xml:space="preserve">. </w:t>
      </w:r>
    </w:p>
  </w:footnote>
  <w:footnote w:id="88">
    <w:p w:rsidR="008115D5" w:rsidP="00C736CB" w14:paraId="36B6C329" w14:textId="77777777">
      <w:pPr>
        <w:pStyle w:val="FootnoteText"/>
      </w:pPr>
      <w:r w:rsidRPr="5E08AD23">
        <w:rPr>
          <w:rStyle w:val="FootnoteReference"/>
          <w:sz w:val="20"/>
        </w:rPr>
        <w:footnoteRef/>
      </w:r>
      <w:r>
        <w:t xml:space="preserve"> </w:t>
      </w:r>
      <w:r w:rsidRPr="00BF67FE">
        <w:rPr>
          <w:i/>
          <w:iCs/>
        </w:rPr>
        <w:t>Id</w:t>
      </w:r>
      <w:r w:rsidRPr="5E08AD23">
        <w:rPr>
          <w:i/>
          <w:iCs/>
        </w:rPr>
        <w:t xml:space="preserve">. </w:t>
      </w:r>
      <w:r w:rsidRPr="5E08AD23">
        <w:t>at 37-38</w:t>
      </w:r>
      <w:r>
        <w:t>, para. 91.</w:t>
      </w:r>
    </w:p>
  </w:footnote>
  <w:footnote w:id="89">
    <w:p w:rsidR="008115D5" w:rsidRPr="00BF67FE" w:rsidP="00C736CB" w14:paraId="1C69C181" w14:textId="77777777">
      <w:pPr>
        <w:pStyle w:val="FootnoteText"/>
        <w:rPr>
          <w:i/>
          <w:iCs/>
        </w:rPr>
      </w:pPr>
      <w:r w:rsidRPr="00EE447B">
        <w:rPr>
          <w:rStyle w:val="FootnoteReference"/>
          <w:sz w:val="20"/>
        </w:rPr>
        <w:footnoteRef/>
      </w:r>
      <w:r>
        <w:t xml:space="preserve"> </w:t>
      </w:r>
      <w:r w:rsidRPr="00BF67FE">
        <w:rPr>
          <w:i/>
          <w:iCs/>
        </w:rPr>
        <w:t>Id.</w:t>
      </w:r>
    </w:p>
  </w:footnote>
  <w:footnote w:id="90">
    <w:p w:rsidR="008115D5" w:rsidP="00C736CB" w14:paraId="203141E4" w14:textId="77777777">
      <w:pPr>
        <w:pStyle w:val="FootnoteText"/>
      </w:pPr>
      <w:r w:rsidRPr="5E08AD23">
        <w:rPr>
          <w:rStyle w:val="FootnoteReference"/>
          <w:sz w:val="20"/>
        </w:rPr>
        <w:footnoteRef/>
      </w:r>
      <w:r>
        <w:t xml:space="preserve"> 47 CFR § 1.50004(c)(1)(i) (not yest effective); </w:t>
      </w:r>
      <w:r w:rsidRPr="2DEBD9D3">
        <w:rPr>
          <w:i/>
          <w:iCs/>
        </w:rPr>
        <w:t>2021 Supply Chain Order</w:t>
      </w:r>
      <w:r w:rsidRPr="2DEBD9D3">
        <w:t xml:space="preserve"> at 37-38, para. 91.</w:t>
      </w:r>
    </w:p>
  </w:footnote>
  <w:footnote w:id="91">
    <w:p w:rsidR="008115D5" w:rsidP="00C736CB" w14:paraId="1CB97B02" w14:textId="77777777">
      <w:pPr>
        <w:pStyle w:val="FootnoteText"/>
      </w:pPr>
      <w:r>
        <w:rPr>
          <w:rStyle w:val="FootnoteReference"/>
        </w:rPr>
        <w:footnoteRef/>
      </w:r>
      <w:r>
        <w:t xml:space="preserve"> </w:t>
      </w:r>
      <w:r w:rsidRPr="2DEBD9D3">
        <w:rPr>
          <w:i/>
          <w:iCs/>
        </w:rPr>
        <w:t>2021 Supply C</w:t>
      </w:r>
      <w:r w:rsidRPr="2DEBD9D3">
        <w:rPr>
          <w:i/>
          <w:iCs/>
        </w:rPr>
        <w:t>hain Order</w:t>
      </w:r>
      <w:r>
        <w:t xml:space="preserve"> at 36, para. 88 (quoting H.R. Rep. No. 116-352, at 8 (2019)). </w:t>
      </w:r>
    </w:p>
  </w:footnote>
  <w:footnote w:id="92">
    <w:p w:rsidR="008115D5" w:rsidP="00C736CB" w14:paraId="12B0B187" w14:textId="77777777">
      <w:pPr>
        <w:pStyle w:val="FootnoteText"/>
      </w:pPr>
      <w:r>
        <w:rPr>
          <w:rStyle w:val="FootnoteReference"/>
        </w:rPr>
        <w:footnoteRef/>
      </w:r>
      <w:r>
        <w:t xml:space="preserve"> </w:t>
      </w:r>
      <w:r w:rsidRPr="00F4113E">
        <w:rPr>
          <w:i/>
          <w:iCs/>
        </w:rPr>
        <w:t>Id</w:t>
      </w:r>
      <w:r>
        <w:t xml:space="preserve">. </w:t>
      </w:r>
    </w:p>
  </w:footnote>
  <w:footnote w:id="93">
    <w:p w:rsidR="008115D5" w:rsidP="00C736CB" w14:paraId="1F974B8E" w14:textId="77777777">
      <w:pPr>
        <w:pStyle w:val="FootnoteText"/>
      </w:pPr>
      <w:r w:rsidRPr="147AC0E7">
        <w:rPr>
          <w:rStyle w:val="FootnoteReference"/>
          <w:sz w:val="20"/>
        </w:rPr>
        <w:footnoteRef/>
      </w:r>
      <w:r>
        <w:t xml:space="preserve"> </w:t>
      </w:r>
      <w:r>
        <w:rPr>
          <w:i/>
          <w:iCs/>
        </w:rPr>
        <w:t>Id.</w:t>
      </w:r>
      <w:r w:rsidRPr="2DEBD9D3">
        <w:t xml:space="preserve"> </w:t>
      </w:r>
      <w:r w:rsidRPr="75F2036D">
        <w:t>at 37</w:t>
      </w:r>
      <w:r w:rsidRPr="7B27F492">
        <w:t>,</w:t>
      </w:r>
      <w:r>
        <w:t xml:space="preserve"> para. 90.</w:t>
      </w:r>
    </w:p>
  </w:footnote>
  <w:footnote w:id="94">
    <w:p w:rsidR="008115D5" w:rsidP="00C736CB" w14:paraId="0A3A5351" w14:textId="77777777">
      <w:pPr>
        <w:pStyle w:val="FootnoteText"/>
      </w:pPr>
      <w:r>
        <w:rPr>
          <w:rStyle w:val="FootnoteReference"/>
        </w:rPr>
        <w:footnoteRef/>
      </w:r>
      <w:r>
        <w:t xml:space="preserve"> </w:t>
      </w:r>
      <w:r w:rsidRPr="008B38A3">
        <w:rPr>
          <w:i/>
          <w:iCs/>
        </w:rPr>
        <w:t xml:space="preserve">See 2021 Supply Chain Order </w:t>
      </w:r>
      <w:r>
        <w:t xml:space="preserve">at 37-38, paras. 90-91. </w:t>
      </w:r>
    </w:p>
  </w:footnote>
  <w:footnote w:id="95">
    <w:p w:rsidR="008115D5" w:rsidP="00C736CB" w14:paraId="7A9AFDE6" w14:textId="77777777">
      <w:pPr>
        <w:pStyle w:val="FootnoteText"/>
      </w:pPr>
      <w:r w:rsidRPr="02D7A9B3">
        <w:rPr>
          <w:rStyle w:val="FootnoteReference"/>
          <w:sz w:val="20"/>
        </w:rPr>
        <w:footnoteRef/>
      </w:r>
      <w:r>
        <w:t xml:space="preserve"> </w:t>
      </w:r>
      <w:r w:rsidRPr="00286495">
        <w:rPr>
          <w:i/>
          <w:iCs/>
        </w:rPr>
        <w:t>Id</w:t>
      </w:r>
      <w:r w:rsidRPr="7B27F492">
        <w:t xml:space="preserve">. </w:t>
      </w:r>
      <w:r w:rsidRPr="5900B69A">
        <w:t>at 38-39</w:t>
      </w:r>
      <w:r w:rsidRPr="7B27F492">
        <w:t>,</w:t>
      </w:r>
      <w:r>
        <w:t xml:space="preserve"> para. 93.</w:t>
      </w:r>
    </w:p>
  </w:footnote>
  <w:footnote w:id="96">
    <w:p w:rsidR="008115D5" w:rsidP="00C736CB" w14:paraId="270B5897" w14:textId="77777777">
      <w:pPr>
        <w:pStyle w:val="FootnoteText"/>
      </w:pPr>
      <w:r>
        <w:rPr>
          <w:rStyle w:val="FootnoteReference"/>
        </w:rPr>
        <w:footnoteRef/>
      </w:r>
      <w:r>
        <w:t xml:space="preserve"> </w:t>
      </w:r>
      <w:r w:rsidRPr="000A6649">
        <w:rPr>
          <w:i/>
          <w:iCs/>
        </w:rPr>
        <w:t xml:space="preserve">Reimbursement Process </w:t>
      </w:r>
      <w:r>
        <w:rPr>
          <w:i/>
          <w:iCs/>
        </w:rPr>
        <w:t>Public Notice</w:t>
      </w:r>
      <w:r>
        <w:t xml:space="preserve"> at 3-4.  </w:t>
      </w:r>
    </w:p>
  </w:footnote>
  <w:footnote w:id="97">
    <w:p w:rsidR="008115D5" w:rsidP="00C736CB" w14:paraId="79527264" w14:textId="77777777">
      <w:pPr>
        <w:pStyle w:val="FootnoteText"/>
      </w:pPr>
      <w:r w:rsidRPr="00EE447B">
        <w:rPr>
          <w:rStyle w:val="FootnoteReference"/>
          <w:sz w:val="20"/>
        </w:rPr>
        <w:footnoteRef/>
      </w:r>
      <w:r>
        <w:t xml:space="preserve"> </w:t>
      </w:r>
      <w:r>
        <w:rPr>
          <w:i/>
          <w:iCs/>
        </w:rPr>
        <w:t>Id.</w:t>
      </w:r>
      <w:r>
        <w:t xml:space="preserve"> at 3.  </w:t>
      </w:r>
    </w:p>
  </w:footnote>
  <w:footnote w:id="98">
    <w:p w:rsidR="008115D5" w:rsidP="00C736CB" w14:paraId="6AFB68DA" w14:textId="77777777">
      <w:pPr>
        <w:pStyle w:val="FootnoteText"/>
      </w:pPr>
      <w:r w:rsidRPr="3B6760A3">
        <w:rPr>
          <w:rStyle w:val="FootnoteReference"/>
          <w:sz w:val="20"/>
        </w:rPr>
        <w:footnoteRef/>
      </w:r>
      <w:r>
        <w:t xml:space="preserve"> Nokia Reimbursement Process Public Notice Comments at 6-7; RWA Reimbursement Process Public Notice Comments at 3 (requesting that additional documentation not be required if the estimate is above the average but within the range of the Catalog range); </w:t>
      </w:r>
      <w:r w:rsidRPr="00121B58">
        <w:rPr>
          <w:i/>
        </w:rPr>
        <w:t>see</w:t>
      </w:r>
      <w:r w:rsidRPr="00121B58">
        <w:rPr>
          <w:i/>
        </w:rPr>
        <w:t xml:space="preserve"> also</w:t>
      </w:r>
      <w:r>
        <w:t xml:space="preserve"> CCA July 15, 2021 </w:t>
      </w:r>
      <w:r w:rsidRPr="00BB01D7">
        <w:rPr>
          <w:i/>
          <w:iCs/>
        </w:rPr>
        <w:t>Ex Parte</w:t>
      </w:r>
      <w:r>
        <w:rPr>
          <w:i/>
          <w:iCs/>
        </w:rPr>
        <w:t xml:space="preserve"> </w:t>
      </w:r>
      <w:r>
        <w:t xml:space="preserve">at 2 (raising concerns about use of average cost). </w:t>
      </w:r>
    </w:p>
  </w:footnote>
  <w:footnote w:id="99">
    <w:p w:rsidR="008115D5" w:rsidRPr="001F4417" w:rsidP="00C736CB" w14:paraId="49F25D38" w14:textId="77777777">
      <w:pPr>
        <w:pStyle w:val="FootnoteText"/>
      </w:pPr>
      <w:r w:rsidRPr="51067AE5">
        <w:rPr>
          <w:rStyle w:val="FootnoteReference"/>
          <w:sz w:val="20"/>
        </w:rPr>
        <w:footnoteRef/>
      </w:r>
      <w:r w:rsidRPr="001F4417">
        <w:t xml:space="preserve"> </w:t>
      </w:r>
      <w:r w:rsidRPr="001F4417">
        <w:rPr>
          <w:i/>
          <w:iCs/>
        </w:rPr>
        <w:t>See</w:t>
      </w:r>
      <w:r w:rsidRPr="001F4417">
        <w:t xml:space="preserve"> 47 CFR § 1.50004(c)(1)(i), (v)</w:t>
      </w:r>
      <w:r>
        <w:t xml:space="preserve"> (not yet effective)</w:t>
      </w:r>
      <w:r w:rsidRPr="001F4417">
        <w:t xml:space="preserve">. </w:t>
      </w:r>
      <w:r>
        <w:t xml:space="preserve"> Individualized cost estimates are made in lieu of the Catalog estimates.</w:t>
      </w:r>
    </w:p>
  </w:footnote>
  <w:footnote w:id="100">
    <w:p w:rsidR="008115D5" w:rsidP="00C736CB" w14:paraId="71EF0814" w14:textId="77777777">
      <w:pPr>
        <w:pStyle w:val="FootnoteText"/>
      </w:pPr>
      <w:r w:rsidRPr="51067AE5">
        <w:rPr>
          <w:rStyle w:val="FootnoteReference"/>
          <w:sz w:val="20"/>
        </w:rPr>
        <w:footnoteRef/>
      </w:r>
      <w:r>
        <w:t xml:space="preserve"> </w:t>
      </w:r>
      <w:r w:rsidRPr="00796C07">
        <w:rPr>
          <w:i/>
          <w:iCs/>
        </w:rPr>
        <w:t xml:space="preserve">See Reimbursement Process </w:t>
      </w:r>
      <w:r w:rsidRPr="51067AE5">
        <w:rPr>
          <w:i/>
          <w:iCs/>
        </w:rPr>
        <w:t xml:space="preserve">Public </w:t>
      </w:r>
      <w:r w:rsidRPr="51067AE5">
        <w:rPr>
          <w:i/>
          <w:iCs/>
        </w:rPr>
        <w:t>Notice</w:t>
      </w:r>
      <w:r>
        <w:t xml:space="preserve"> at 4.</w:t>
      </w:r>
    </w:p>
  </w:footnote>
  <w:footnote w:id="101">
    <w:p w:rsidR="008115D5" w:rsidP="00C736CB" w14:paraId="7A15E631" w14:textId="77777777">
      <w:pPr>
        <w:pStyle w:val="FootnoteText"/>
      </w:pPr>
      <w:r w:rsidRPr="3B6760A3">
        <w:rPr>
          <w:rStyle w:val="FootnoteReference"/>
          <w:sz w:val="20"/>
        </w:rPr>
        <w:footnoteRef/>
      </w:r>
      <w:r>
        <w:t xml:space="preserve"> Nokia Reimbursement Process Public Notice Comments at 5 (“We ask that the Commission provide certainty that all carriers have 18 months to complete their network swaps (not 12 months) immediately, prior to commencement of the application pro</w:t>
      </w:r>
      <w:r>
        <w:t>cess, so that all cost estimates take into account (at least) an 18 month time horizon rather than 12 months.”).</w:t>
      </w:r>
    </w:p>
  </w:footnote>
  <w:footnote w:id="102">
    <w:p w:rsidR="008115D5" w:rsidP="00C736CB" w14:paraId="352CDA9D" w14:textId="77777777">
      <w:pPr>
        <w:pStyle w:val="FootnoteText"/>
      </w:pPr>
      <w:r w:rsidRPr="00EE447B">
        <w:rPr>
          <w:rStyle w:val="FootnoteReference"/>
          <w:sz w:val="20"/>
        </w:rPr>
        <w:footnoteRef/>
      </w:r>
      <w:r>
        <w:t xml:space="preserve"> 47 CFR § 1.50004(h); 47 U.S.C. § 1603(h); Secure Networks Act § 4(h). </w:t>
      </w:r>
    </w:p>
  </w:footnote>
  <w:footnote w:id="103">
    <w:p w:rsidR="008115D5" w:rsidP="00C736CB" w14:paraId="14CB99C5" w14:textId="77777777">
      <w:pPr>
        <w:pStyle w:val="FootnoteText"/>
      </w:pPr>
      <w:r w:rsidRPr="00EE447B">
        <w:rPr>
          <w:rStyle w:val="FootnoteReference"/>
          <w:sz w:val="20"/>
        </w:rPr>
        <w:footnoteRef/>
      </w:r>
      <w:r>
        <w:t xml:space="preserve"> 47 CFR § 1.50004(d).</w:t>
      </w:r>
    </w:p>
  </w:footnote>
  <w:footnote w:id="104">
    <w:p w:rsidR="008115D5" w:rsidRPr="0081203A" w:rsidP="00C736CB" w14:paraId="61D6E126" w14:textId="77777777">
      <w:pPr>
        <w:pStyle w:val="FootnoteText"/>
      </w:pPr>
      <w:r w:rsidRPr="51067AE5">
        <w:rPr>
          <w:rStyle w:val="FootnoteReference"/>
          <w:sz w:val="20"/>
        </w:rPr>
        <w:footnoteRef/>
      </w:r>
      <w:r w:rsidRPr="0081203A">
        <w:t xml:space="preserve"> </w:t>
      </w:r>
      <w:r>
        <w:t xml:space="preserve">47 U.S.C. § 1603 </w:t>
      </w:r>
      <w:r w:rsidRPr="0081203A">
        <w:t>(d)(3)(A)(i)</w:t>
      </w:r>
      <w:r>
        <w:t xml:space="preserve">; 47 CFR </w:t>
      </w:r>
      <w:r w:rsidRPr="00C017AD">
        <w:t>§</w:t>
      </w:r>
      <w:r>
        <w:t xml:space="preserve">1.50004(d). </w:t>
      </w:r>
    </w:p>
  </w:footnote>
  <w:footnote w:id="105">
    <w:p w:rsidR="008115D5" w:rsidRPr="00FF7959" w:rsidP="00C736CB" w14:paraId="0B884CB2" w14:textId="77777777">
      <w:pPr>
        <w:pStyle w:val="FootnoteText"/>
      </w:pPr>
      <w:r w:rsidRPr="00EE447B">
        <w:rPr>
          <w:rStyle w:val="FootnoteReference"/>
          <w:sz w:val="20"/>
        </w:rPr>
        <w:footnoteRef/>
      </w:r>
      <w:r w:rsidRPr="00FF7959">
        <w:t xml:space="preserve"> </w:t>
      </w:r>
      <w:r>
        <w:t>47 U.S.C. § 1603</w:t>
      </w:r>
      <w:r w:rsidRPr="00FF7959">
        <w:t>(d)(3)(A)(i</w:t>
      </w:r>
      <w:r>
        <w:t>i); 47 CFR § 1.50004(d). The Bureau may grant the 45-day extension if it determines that an excessive number of applications have been filed during the window and additional time is needed to review the a</w:t>
      </w:r>
      <w:r>
        <w:t>pplications.</w:t>
      </w:r>
    </w:p>
  </w:footnote>
  <w:footnote w:id="106">
    <w:p w:rsidR="008115D5" w:rsidP="00C736CB" w14:paraId="06F2ECA2" w14:textId="77777777">
      <w:pPr>
        <w:pStyle w:val="FootnoteText"/>
      </w:pPr>
      <w:r w:rsidRPr="00EE447B">
        <w:rPr>
          <w:rStyle w:val="FootnoteReference"/>
          <w:sz w:val="20"/>
        </w:rPr>
        <w:footnoteRef/>
      </w:r>
      <w:r>
        <w:t xml:space="preserve"> 47 CFR § 1.50004(d)(1).</w:t>
      </w:r>
    </w:p>
  </w:footnote>
  <w:footnote w:id="107">
    <w:p w:rsidR="008115D5" w:rsidP="00C736CB" w14:paraId="306CBD86" w14:textId="77777777">
      <w:pPr>
        <w:pStyle w:val="FootnoteText"/>
      </w:pPr>
      <w:r w:rsidRPr="51067AE5">
        <w:rPr>
          <w:rStyle w:val="FootnoteReference"/>
          <w:sz w:val="20"/>
        </w:rPr>
        <w:footnoteRef/>
      </w:r>
      <w:r>
        <w:t xml:space="preserve"> </w:t>
      </w:r>
      <w:r w:rsidRPr="00E0383D">
        <w:rPr>
          <w:i/>
          <w:iCs/>
        </w:rPr>
        <w:t>Reimbursement Process Public Notice</w:t>
      </w:r>
      <w:r w:rsidRPr="51067AE5">
        <w:rPr>
          <w:i/>
          <w:iCs/>
        </w:rPr>
        <w:t xml:space="preserve"> </w:t>
      </w:r>
      <w:r w:rsidRPr="51067AE5">
        <w:t>at 5</w:t>
      </w:r>
      <w:r>
        <w:t>.</w:t>
      </w:r>
    </w:p>
  </w:footnote>
  <w:footnote w:id="108">
    <w:p w:rsidR="008115D5" w:rsidP="00C736CB" w14:paraId="56AF79C5" w14:textId="77777777">
      <w:pPr>
        <w:pStyle w:val="FootnoteText"/>
      </w:pPr>
      <w:r w:rsidRPr="00EE447B">
        <w:rPr>
          <w:rStyle w:val="FootnoteReference"/>
          <w:sz w:val="20"/>
        </w:rPr>
        <w:footnoteRef/>
      </w:r>
      <w:r>
        <w:t xml:space="preserve"> 47 CFR § 1.50004(d).</w:t>
      </w:r>
    </w:p>
  </w:footnote>
  <w:footnote w:id="109">
    <w:p w:rsidR="008115D5" w:rsidP="00C736CB" w14:paraId="24DF6E55" w14:textId="77777777">
      <w:pPr>
        <w:pStyle w:val="FootnoteText"/>
      </w:pPr>
      <w:r w:rsidRPr="3F919023">
        <w:rPr>
          <w:rStyle w:val="FootnoteReference"/>
          <w:sz w:val="20"/>
        </w:rPr>
        <w:footnoteRef/>
      </w:r>
      <w:r>
        <w:t xml:space="preserve"> </w:t>
      </w:r>
      <w:r w:rsidRPr="00EE447B">
        <w:rPr>
          <w:i/>
          <w:iCs/>
        </w:rPr>
        <w:t>Reimbursement Program Process Public Notice</w:t>
      </w:r>
      <w:r>
        <w:t xml:space="preserve"> at 5-6.  The evaluation of gross demand estimate will assist the Bureau in determining whether demand fo</w:t>
      </w:r>
      <w:r>
        <w:t xml:space="preserve">r reimbursement funds exceeds the allocated funding, triggering the need for prioritization in accordance with the Commission’s rules.  47 CFR § 1.50004(f); </w:t>
      </w:r>
      <w:r w:rsidRPr="00E0383D">
        <w:rPr>
          <w:i/>
        </w:rPr>
        <w:t>2021 Supply Chain Order</w:t>
      </w:r>
      <w:r w:rsidRPr="3F919023">
        <w:rPr>
          <w:i/>
          <w:iCs/>
        </w:rPr>
        <w:t xml:space="preserve"> </w:t>
      </w:r>
      <w:r w:rsidRPr="3F919023">
        <w:t>at 24</w:t>
      </w:r>
      <w:r w:rsidRPr="0A24DFCC">
        <w:t>-26</w:t>
      </w:r>
      <w:r>
        <w:t>,</w:t>
      </w:r>
      <w:r w:rsidRPr="0A24DFCC">
        <w:t xml:space="preserve"> paras.</w:t>
      </w:r>
      <w:r>
        <w:t xml:space="preserve"> 5</w:t>
      </w:r>
      <w:r w:rsidRPr="3F919023">
        <w:t>3-59</w:t>
      </w:r>
      <w:r>
        <w:t xml:space="preserve">.  </w:t>
      </w:r>
      <w:r w:rsidRPr="00014139">
        <w:t>In evaluating gr</w:t>
      </w:r>
      <w:r w:rsidRPr="00C51CDD">
        <w:t xml:space="preserve">oss cost estimate demand versus available funding, </w:t>
      </w:r>
      <w:r>
        <w:t xml:space="preserve">as well as when calculating net estimate demand after applications are fully processed, we direct </w:t>
      </w:r>
      <w:r w:rsidRPr="00C51CDD">
        <w:t xml:space="preserve">the </w:t>
      </w:r>
      <w:r>
        <w:t xml:space="preserve">Reimbursement Program </w:t>
      </w:r>
      <w:r w:rsidRPr="00C51CDD">
        <w:t xml:space="preserve">Fund Administrator </w:t>
      </w:r>
      <w:r>
        <w:t xml:space="preserve">to </w:t>
      </w:r>
      <w:r w:rsidRPr="004E1AB7">
        <w:t>first account for expenses incurred by the Commission to im</w:t>
      </w:r>
      <w:r w:rsidRPr="004E1AB7">
        <w:t xml:space="preserve">plement and operate the Reimbursement Program which are provided for by the $1.9 billion congressional appropriation, e.g., expenses related to the hiring of a </w:t>
      </w:r>
      <w:r>
        <w:t xml:space="preserve">Reimbursement Program </w:t>
      </w:r>
      <w:r w:rsidRPr="004E1AB7">
        <w:t>Fund Administrator, to first determine how much funding is available for a</w:t>
      </w:r>
      <w:r w:rsidRPr="004E1AB7">
        <w:t>llocation.</w:t>
      </w:r>
      <w:r>
        <w:t xml:space="preserve">  </w:t>
      </w:r>
      <w:r w:rsidRPr="00E0383D">
        <w:rPr>
          <w:i/>
          <w:iCs/>
        </w:rPr>
        <w:t>See Reimbursement Process Public Notice</w:t>
      </w:r>
      <w:r>
        <w:t xml:space="preserve"> at 6 &amp; n.40.</w:t>
      </w:r>
    </w:p>
  </w:footnote>
  <w:footnote w:id="110">
    <w:p w:rsidR="008115D5" w:rsidRPr="001B41D2" w:rsidP="00C736CB" w14:paraId="2A987EB5" w14:textId="77777777">
      <w:pPr>
        <w:pStyle w:val="FootnoteText"/>
      </w:pPr>
      <w:r w:rsidRPr="7422124D">
        <w:rPr>
          <w:rStyle w:val="FootnoteReference"/>
          <w:sz w:val="20"/>
        </w:rPr>
        <w:footnoteRef/>
      </w:r>
      <w:r w:rsidRPr="008B045B">
        <w:t xml:space="preserve"> </w:t>
      </w:r>
      <w:r w:rsidRPr="00EE447B">
        <w:rPr>
          <w:i/>
        </w:rPr>
        <w:t>Reimbursement Process Public Notice</w:t>
      </w:r>
      <w:r w:rsidRPr="00EE447B">
        <w:t xml:space="preserve"> at 6</w:t>
      </w:r>
      <w:r w:rsidRPr="00EE447B">
        <w:rPr>
          <w:i/>
          <w:sz w:val="18"/>
          <w:szCs w:val="18"/>
        </w:rPr>
        <w:t xml:space="preserve"> </w:t>
      </w:r>
      <w:r w:rsidRPr="001B41D2">
        <w:t>(“Initial findings that an application is eligible and accepted for filing would provide no guarantee that the applicant will ultimately be determin</w:t>
      </w:r>
      <w:r w:rsidRPr="001B41D2">
        <w:t>ed eligible by the Bureau or will receive a funding allocation or disbursement.”)</w:t>
      </w:r>
      <w:r>
        <w:t>.</w:t>
      </w:r>
    </w:p>
  </w:footnote>
  <w:footnote w:id="111">
    <w:p w:rsidR="008115D5" w:rsidP="00C736CB" w14:paraId="3741B8B3" w14:textId="77777777">
      <w:pPr>
        <w:pStyle w:val="FootnoteText"/>
      </w:pPr>
      <w:r w:rsidRPr="00EE447B">
        <w:rPr>
          <w:rStyle w:val="FootnoteReference"/>
          <w:sz w:val="20"/>
        </w:rPr>
        <w:footnoteRef/>
      </w:r>
      <w:r>
        <w:t xml:space="preserve"> 47 U.S.C. § 1603(d)(3)(B); 47 CFR § 1.50004(d)(1).</w:t>
      </w:r>
    </w:p>
  </w:footnote>
  <w:footnote w:id="112">
    <w:p w:rsidR="008115D5" w:rsidP="00C736CB" w14:paraId="6F5787C9" w14:textId="77777777">
      <w:pPr>
        <w:pStyle w:val="FootnoteText"/>
        <w:rPr>
          <w:sz w:val="22"/>
          <w:szCs w:val="22"/>
        </w:rPr>
      </w:pPr>
      <w:r w:rsidRPr="1047A27D">
        <w:rPr>
          <w:rStyle w:val="FootnoteReference"/>
          <w:sz w:val="20"/>
        </w:rPr>
        <w:footnoteRef/>
      </w:r>
      <w:r>
        <w:t xml:space="preserve"> </w:t>
      </w:r>
      <w:r w:rsidRPr="00EE447B">
        <w:rPr>
          <w:i/>
        </w:rPr>
        <w:t>Reimbursement Process Public Notice</w:t>
      </w:r>
      <w:r w:rsidRPr="00EE447B">
        <w:t xml:space="preserve"> at 5 &amp; n.39.</w:t>
      </w:r>
    </w:p>
  </w:footnote>
  <w:footnote w:id="113">
    <w:p w:rsidR="008115D5" w:rsidP="00C736CB" w14:paraId="0C012548" w14:textId="77777777">
      <w:pPr>
        <w:pStyle w:val="FootnoteText"/>
      </w:pPr>
      <w:r w:rsidRPr="00EE447B">
        <w:rPr>
          <w:rStyle w:val="FootnoteReference"/>
          <w:sz w:val="20"/>
        </w:rPr>
        <w:footnoteRef/>
      </w:r>
      <w:r>
        <w:t xml:space="preserve"> RWA Reimbursement Process Public Notice Comments at 6.</w:t>
      </w:r>
    </w:p>
  </w:footnote>
  <w:footnote w:id="114">
    <w:p w:rsidR="008115D5" w:rsidP="00C736CB" w14:paraId="22FFE6FE" w14:textId="77777777">
      <w:pPr>
        <w:pStyle w:val="FootnoteText"/>
      </w:pPr>
      <w:r w:rsidRPr="4033776E">
        <w:rPr>
          <w:rStyle w:val="FootnoteReference"/>
          <w:sz w:val="20"/>
        </w:rPr>
        <w:footnoteRef/>
      </w:r>
      <w:r>
        <w:t xml:space="preserve"> </w:t>
      </w:r>
      <w:r w:rsidRPr="4033776E">
        <w:rPr>
          <w:i/>
          <w:iCs/>
        </w:rPr>
        <w:t>Id.</w:t>
      </w:r>
      <w:r>
        <w:t xml:space="preserve"> at 6 (</w:t>
      </w:r>
      <w:r>
        <w:t>arguing that a single 15-day cure period will be very difficult for small carriers to meet and should only be invoked as a last resort).</w:t>
      </w:r>
    </w:p>
  </w:footnote>
  <w:footnote w:id="115">
    <w:p w:rsidR="008115D5" w:rsidP="00C736CB" w14:paraId="4E4D5BB7" w14:textId="77777777">
      <w:pPr>
        <w:pStyle w:val="FootnoteText"/>
      </w:pPr>
      <w:r w:rsidRPr="4033776E">
        <w:rPr>
          <w:rStyle w:val="FootnoteReference"/>
          <w:sz w:val="20"/>
        </w:rPr>
        <w:footnoteRef/>
      </w:r>
      <w:r>
        <w:t xml:space="preserve"> </w:t>
      </w:r>
      <w:r w:rsidRPr="0066601F">
        <w:rPr>
          <w:i/>
        </w:rPr>
        <w:t>See supra</w:t>
      </w:r>
      <w:r>
        <w:t xml:space="preserve"> III.A.1 (providing additional details on the filing of amendments).</w:t>
      </w:r>
    </w:p>
  </w:footnote>
  <w:footnote w:id="116">
    <w:p w:rsidR="008115D5" w:rsidP="00C736CB" w14:paraId="08C4533A" w14:textId="77777777">
      <w:pPr>
        <w:pStyle w:val="FootnoteText"/>
      </w:pPr>
      <w:r w:rsidRPr="00EE447B">
        <w:rPr>
          <w:rStyle w:val="FootnoteReference"/>
          <w:sz w:val="20"/>
        </w:rPr>
        <w:footnoteRef/>
      </w:r>
      <w:r>
        <w:t xml:space="preserve"> </w:t>
      </w:r>
      <w:r w:rsidRPr="000A6649">
        <w:rPr>
          <w:i/>
          <w:iCs/>
        </w:rPr>
        <w:t xml:space="preserve">Reimbursement Process </w:t>
      </w:r>
      <w:r>
        <w:rPr>
          <w:i/>
          <w:iCs/>
        </w:rPr>
        <w:t>Public Notice</w:t>
      </w:r>
      <w:r>
        <w:t xml:space="preserve"> a</w:t>
      </w:r>
      <w:r>
        <w:t>t 7.</w:t>
      </w:r>
    </w:p>
  </w:footnote>
  <w:footnote w:id="117">
    <w:p w:rsidR="008115D5" w:rsidP="00C736CB" w14:paraId="6EB98014" w14:textId="77777777">
      <w:pPr>
        <w:pStyle w:val="FootnoteText"/>
      </w:pPr>
      <w:r w:rsidRPr="3B6760A3">
        <w:rPr>
          <w:rStyle w:val="FootnoteReference"/>
          <w:sz w:val="20"/>
        </w:rPr>
        <w:footnoteRef/>
      </w:r>
      <w:r>
        <w:t xml:space="preserve"> RWA</w:t>
      </w:r>
      <w:r>
        <w:t xml:space="preserve"> Reimbursement Process Public Notice Comments at 8 (asserting that recipients should be allowed to submit requests beyond the allocated funds in case Congress appropriates more funding for the Program). </w:t>
      </w:r>
    </w:p>
  </w:footnote>
  <w:footnote w:id="118">
    <w:p w:rsidR="008115D5" w:rsidP="00C736CB" w14:paraId="5D737F51" w14:textId="77777777">
      <w:pPr>
        <w:pStyle w:val="FootnoteText"/>
      </w:pPr>
      <w:r w:rsidRPr="3B6760A3">
        <w:rPr>
          <w:rStyle w:val="FootnoteReference"/>
          <w:sz w:val="20"/>
        </w:rPr>
        <w:footnoteRef/>
      </w:r>
      <w:r>
        <w:t xml:space="preserve"> Nokia Reimbursement Process Public Notice Comments</w:t>
      </w:r>
      <w:r>
        <w:t xml:space="preserve"> at 9.</w:t>
      </w:r>
    </w:p>
  </w:footnote>
  <w:footnote w:id="119">
    <w:p w:rsidR="008115D5" w:rsidP="00C736CB" w14:paraId="32E8309A" w14:textId="77777777">
      <w:pPr>
        <w:pStyle w:val="FootnoteText"/>
      </w:pPr>
      <w:r w:rsidRPr="00EE447B">
        <w:rPr>
          <w:rStyle w:val="FootnoteReference"/>
          <w:sz w:val="20"/>
        </w:rPr>
        <w:footnoteRef/>
      </w:r>
      <w:r>
        <w:t xml:space="preserve"> 47 CFR § 1.50004(c)(1)(i) (not yet effective).</w:t>
      </w:r>
    </w:p>
  </w:footnote>
  <w:footnote w:id="120">
    <w:p w:rsidR="008115D5" w:rsidP="00C736CB" w14:paraId="109D462F" w14:textId="77777777">
      <w:pPr>
        <w:pStyle w:val="FootnoteText"/>
      </w:pPr>
      <w:r w:rsidRPr="00EE447B">
        <w:rPr>
          <w:rStyle w:val="FootnoteReference"/>
          <w:sz w:val="20"/>
        </w:rPr>
        <w:footnoteRef/>
      </w:r>
      <w:r>
        <w:t xml:space="preserve"> Secure Networks Act § 4(d)(3)(A)(ii).</w:t>
      </w:r>
    </w:p>
  </w:footnote>
  <w:footnote w:id="121">
    <w:p w:rsidR="008115D5" w:rsidP="00C736CB" w14:paraId="7C9A426D" w14:textId="77777777">
      <w:pPr>
        <w:pStyle w:val="FootnoteText"/>
      </w:pPr>
      <w:r w:rsidRPr="00EE447B">
        <w:rPr>
          <w:rStyle w:val="FootnoteReference"/>
          <w:sz w:val="20"/>
        </w:rPr>
        <w:footnoteRef/>
      </w:r>
      <w:r>
        <w:t xml:space="preserve"> </w:t>
      </w:r>
      <w:r w:rsidRPr="000A6649">
        <w:rPr>
          <w:i/>
          <w:iCs/>
        </w:rPr>
        <w:t xml:space="preserve">Reimbursement Process </w:t>
      </w:r>
      <w:r>
        <w:rPr>
          <w:i/>
          <w:iCs/>
        </w:rPr>
        <w:t>Public Notice</w:t>
      </w:r>
      <w:r>
        <w:t xml:space="preserve"> at 5.</w:t>
      </w:r>
    </w:p>
  </w:footnote>
  <w:footnote w:id="122">
    <w:p w:rsidR="008115D5" w:rsidP="00C736CB" w14:paraId="44F34922" w14:textId="77777777">
      <w:pPr>
        <w:pStyle w:val="FootnoteText"/>
      </w:pPr>
      <w:r w:rsidRPr="2606A7FC">
        <w:rPr>
          <w:rStyle w:val="FootnoteReference"/>
          <w:sz w:val="20"/>
        </w:rPr>
        <w:footnoteRef/>
      </w:r>
      <w:r>
        <w:t xml:space="preserve"> 47 CFR § 1.50004(f); </w:t>
      </w:r>
      <w:r w:rsidRPr="00045BC6">
        <w:rPr>
          <w:i/>
          <w:iCs/>
        </w:rPr>
        <w:t>2021 Supply Chain Order</w:t>
      </w:r>
      <w:r>
        <w:t xml:space="preserve"> at 24-26, paras. 53-59.</w:t>
      </w:r>
    </w:p>
  </w:footnote>
  <w:footnote w:id="123">
    <w:p w:rsidR="008115D5" w:rsidRPr="00A33F59" w:rsidP="00C736CB" w14:paraId="444968CE" w14:textId="77777777">
      <w:pPr>
        <w:pStyle w:val="FootnoteText"/>
      </w:pPr>
      <w:r w:rsidRPr="004E1AB7">
        <w:rPr>
          <w:rStyle w:val="FootnoteReference"/>
          <w:sz w:val="20"/>
        </w:rPr>
        <w:footnoteRef/>
      </w:r>
      <w:r w:rsidRPr="004E1AB7">
        <w:t xml:space="preserve"> </w:t>
      </w:r>
      <w:r w:rsidRPr="004E1AB7">
        <w:rPr>
          <w:i/>
          <w:iCs/>
        </w:rPr>
        <w:t xml:space="preserve">See </w:t>
      </w:r>
      <w:r>
        <w:rPr>
          <w:i/>
          <w:iCs/>
        </w:rPr>
        <w:t>2020 Supply Chain Order</w:t>
      </w:r>
      <w:r w:rsidRPr="00A33F59">
        <w:t xml:space="preserve">, 35 FCC Rcd at </w:t>
      </w:r>
      <w:r w:rsidRPr="00A33F59">
        <w:t>14347, para. 152.</w:t>
      </w:r>
    </w:p>
  </w:footnote>
  <w:footnote w:id="124">
    <w:p w:rsidR="008115D5" w:rsidP="00C736CB" w14:paraId="4F467D4D" w14:textId="77777777">
      <w:pPr>
        <w:pStyle w:val="FootnoteText"/>
      </w:pPr>
      <w:r>
        <w:rPr>
          <w:rStyle w:val="FootnoteReference"/>
        </w:rPr>
        <w:footnoteRef/>
      </w:r>
      <w:r>
        <w:t xml:space="preserve"> </w:t>
      </w:r>
      <w:r w:rsidRPr="00EE447B">
        <w:rPr>
          <w:i/>
          <w:iCs/>
        </w:rPr>
        <w:t>See infra</w:t>
      </w:r>
      <w:r>
        <w:t xml:space="preserve"> III.A.8 (discussing Reimbursement Claim Requests Process).</w:t>
      </w:r>
    </w:p>
  </w:footnote>
  <w:footnote w:id="125">
    <w:p w:rsidR="008115D5" w:rsidP="00C736CB" w14:paraId="5E41E456" w14:textId="77777777">
      <w:pPr>
        <w:pStyle w:val="FootnoteText"/>
      </w:pPr>
      <w:r w:rsidRPr="00EE447B">
        <w:rPr>
          <w:rStyle w:val="FootnoteReference"/>
          <w:sz w:val="20"/>
        </w:rPr>
        <w:footnoteRef/>
      </w:r>
      <w:r>
        <w:t xml:space="preserve"> </w:t>
      </w:r>
      <w:r w:rsidRPr="000A6649">
        <w:rPr>
          <w:i/>
          <w:iCs/>
        </w:rPr>
        <w:t xml:space="preserve">Reimbursement Process </w:t>
      </w:r>
      <w:r>
        <w:rPr>
          <w:i/>
          <w:iCs/>
        </w:rPr>
        <w:t>Public Notice</w:t>
      </w:r>
      <w:r>
        <w:t xml:space="preserve"> at 6.</w:t>
      </w:r>
    </w:p>
  </w:footnote>
  <w:footnote w:id="126">
    <w:p w:rsidR="008115D5" w:rsidP="00C736CB" w14:paraId="20E1B0A1" w14:textId="77777777">
      <w:pPr>
        <w:pStyle w:val="FootnoteText"/>
      </w:pPr>
      <w:r w:rsidRPr="00EE447B">
        <w:rPr>
          <w:rStyle w:val="FootnoteReference"/>
          <w:sz w:val="20"/>
        </w:rPr>
        <w:footnoteRef/>
      </w:r>
      <w:r>
        <w:t xml:space="preserve"> </w:t>
      </w:r>
      <w:r w:rsidRPr="00C81F45">
        <w:rPr>
          <w:i/>
        </w:rPr>
        <w:t>See</w:t>
      </w:r>
      <w:r>
        <w:t xml:space="preserve"> </w:t>
      </w:r>
      <w:r w:rsidRPr="001F4417">
        <w:t>47 CFR § 1.50004(g)</w:t>
      </w:r>
      <w:r>
        <w:t xml:space="preserve"> (not yet effective</w:t>
      </w:r>
      <w:r w:rsidRPr="001F4417">
        <w:t>)</w:t>
      </w:r>
      <w:r>
        <w:t xml:space="preserve">; </w:t>
      </w:r>
      <w:r w:rsidRPr="00C81F45">
        <w:rPr>
          <w:i/>
        </w:rPr>
        <w:t>2020 Supply Chain Order</w:t>
      </w:r>
      <w:r>
        <w:t xml:space="preserve">, </w:t>
      </w:r>
      <w:r w:rsidRPr="00A33F59">
        <w:t>35 FCC Rcd</w:t>
      </w:r>
      <w:r>
        <w:t xml:space="preserve"> at 14353, para. 165. </w:t>
      </w:r>
    </w:p>
  </w:footnote>
  <w:footnote w:id="127">
    <w:p w:rsidR="008115D5" w:rsidP="00C736CB" w14:paraId="0D41CDDC" w14:textId="77777777">
      <w:pPr>
        <w:pStyle w:val="FootnoteText"/>
      </w:pPr>
      <w:r w:rsidRPr="00EE447B">
        <w:rPr>
          <w:rStyle w:val="FootnoteReference"/>
          <w:sz w:val="20"/>
        </w:rPr>
        <w:footnoteRef/>
      </w:r>
      <w:r>
        <w:t xml:space="preserve"> </w:t>
      </w:r>
      <w:r w:rsidRPr="001F4417">
        <w:t>47 CFR § 1.50004</w:t>
      </w:r>
      <w:r w:rsidRPr="001F4417">
        <w:t>(g)</w:t>
      </w:r>
      <w:r>
        <w:t xml:space="preserve">(1) (not yet effective). </w:t>
      </w:r>
    </w:p>
  </w:footnote>
  <w:footnote w:id="128">
    <w:p w:rsidR="008115D5" w:rsidP="00C736CB" w14:paraId="30831B55" w14:textId="77777777">
      <w:pPr>
        <w:pStyle w:val="FootnoteText"/>
        <w:rPr>
          <w:sz w:val="22"/>
          <w:szCs w:val="22"/>
        </w:rPr>
      </w:pPr>
      <w:r>
        <w:rPr>
          <w:rStyle w:val="FootnoteReference"/>
        </w:rPr>
        <w:footnoteRef/>
      </w:r>
      <w:r>
        <w:t xml:space="preserve"> </w:t>
      </w:r>
      <w:r w:rsidRPr="00EE447B">
        <w:rPr>
          <w:i/>
          <w:iCs/>
        </w:rPr>
        <w:t>2020 Supply Chain Order</w:t>
      </w:r>
      <w:r w:rsidRPr="00EE447B">
        <w:t>, 35 FCC Rcd at 14353, para. 165.</w:t>
      </w:r>
    </w:p>
  </w:footnote>
  <w:footnote w:id="129">
    <w:p w:rsidR="008115D5" w:rsidP="00C736CB" w14:paraId="30BC5E60" w14:textId="77777777">
      <w:pPr>
        <w:pStyle w:val="FootnoteText"/>
      </w:pPr>
      <w:r w:rsidRPr="00EE447B">
        <w:rPr>
          <w:rStyle w:val="FootnoteReference"/>
          <w:sz w:val="20"/>
        </w:rPr>
        <w:footnoteRef/>
      </w:r>
      <w:r>
        <w:t xml:space="preserve"> </w:t>
      </w:r>
      <w:r w:rsidRPr="00EE447B">
        <w:rPr>
          <w:i/>
          <w:iCs/>
        </w:rPr>
        <w:t>Id</w:t>
      </w:r>
      <w:r>
        <w:t>.</w:t>
      </w:r>
    </w:p>
  </w:footnote>
  <w:footnote w:id="130">
    <w:p w:rsidR="008115D5" w:rsidRPr="006C0EC9" w:rsidP="00C736CB" w14:paraId="457D6231" w14:textId="77777777">
      <w:pPr>
        <w:pStyle w:val="FootnoteText"/>
      </w:pPr>
      <w:r w:rsidRPr="00EE447B">
        <w:rPr>
          <w:rStyle w:val="FootnoteReference"/>
          <w:sz w:val="20"/>
        </w:rPr>
        <w:footnoteRef/>
      </w:r>
      <w:r>
        <w:t xml:space="preserve"> </w:t>
      </w:r>
      <w:r w:rsidRPr="000A6649">
        <w:rPr>
          <w:i/>
          <w:iCs/>
        </w:rPr>
        <w:t xml:space="preserve">Reimbursement Process </w:t>
      </w:r>
      <w:r>
        <w:rPr>
          <w:i/>
          <w:iCs/>
        </w:rPr>
        <w:t>Public Notice</w:t>
      </w:r>
      <w:r w:rsidRPr="00C81F45">
        <w:t>,</w:t>
      </w:r>
      <w:r>
        <w:t xml:space="preserve"> Appx. B. </w:t>
      </w:r>
    </w:p>
  </w:footnote>
  <w:footnote w:id="131">
    <w:p w:rsidR="008115D5" w:rsidRPr="00EB723B" w:rsidP="00C736CB" w14:paraId="762CB90E" w14:textId="77777777">
      <w:pPr>
        <w:pStyle w:val="FootnoteText"/>
      </w:pPr>
      <w:r w:rsidRPr="7C832422">
        <w:rPr>
          <w:rStyle w:val="FootnoteReference"/>
          <w:sz w:val="20"/>
        </w:rPr>
        <w:footnoteRef/>
      </w:r>
      <w:r>
        <w:t xml:space="preserve"> </w:t>
      </w:r>
      <w:r w:rsidRPr="7C832422">
        <w:rPr>
          <w:i/>
          <w:iCs/>
        </w:rPr>
        <w:t>Id.</w:t>
      </w:r>
      <w:r>
        <w:rPr>
          <w:i/>
          <w:iCs/>
        </w:rPr>
        <w:t xml:space="preserve"> </w:t>
      </w:r>
      <w:r>
        <w:t>at 6-7.</w:t>
      </w:r>
    </w:p>
  </w:footnote>
  <w:footnote w:id="132">
    <w:p w:rsidR="008115D5" w:rsidRPr="000B77D8" w:rsidP="00C736CB" w14:paraId="2CC44453" w14:textId="77777777">
      <w:pPr>
        <w:pStyle w:val="FootnoteText"/>
      </w:pPr>
      <w:r w:rsidRPr="34D20CC4">
        <w:rPr>
          <w:rStyle w:val="FootnoteReference"/>
          <w:sz w:val="20"/>
        </w:rPr>
        <w:footnoteRef/>
      </w:r>
      <w:r>
        <w:t xml:space="preserve"> </w:t>
      </w:r>
      <w:r w:rsidRPr="34D20CC4">
        <w:rPr>
          <w:i/>
          <w:iCs/>
        </w:rPr>
        <w:t>Id.</w:t>
      </w:r>
      <w:r>
        <w:t xml:space="preserve"> at 7.</w:t>
      </w:r>
    </w:p>
  </w:footnote>
  <w:footnote w:id="133">
    <w:p w:rsidR="008115D5" w:rsidP="00C736CB" w14:paraId="007DEFE9" w14:textId="77777777">
      <w:pPr>
        <w:pStyle w:val="FootnoteText"/>
      </w:pPr>
      <w:r w:rsidRPr="34D20CC4">
        <w:rPr>
          <w:rStyle w:val="FootnoteReference"/>
          <w:sz w:val="20"/>
        </w:rPr>
        <w:footnoteRef/>
      </w:r>
      <w:r>
        <w:t xml:space="preserve"> </w:t>
      </w:r>
      <w:r w:rsidRPr="34D20CC4">
        <w:rPr>
          <w:i/>
          <w:iCs/>
        </w:rPr>
        <w:t>Id.</w:t>
      </w:r>
      <w:r>
        <w:t xml:space="preserve"> at 6-7.</w:t>
      </w:r>
    </w:p>
  </w:footnote>
  <w:footnote w:id="134">
    <w:p w:rsidR="008115D5" w:rsidP="00C736CB" w14:paraId="7A696341" w14:textId="77777777">
      <w:pPr>
        <w:pStyle w:val="FootnoteText"/>
      </w:pPr>
      <w:r w:rsidRPr="34D20CC4">
        <w:rPr>
          <w:rStyle w:val="FootnoteReference"/>
          <w:sz w:val="20"/>
        </w:rPr>
        <w:footnoteRef/>
      </w:r>
      <w:r>
        <w:t xml:space="preserve"> </w:t>
      </w:r>
      <w:r w:rsidRPr="34D20CC4">
        <w:rPr>
          <w:i/>
          <w:iCs/>
        </w:rPr>
        <w:t>Id.</w:t>
      </w:r>
      <w:r>
        <w:t xml:space="preserve"> at 7.</w:t>
      </w:r>
    </w:p>
  </w:footnote>
  <w:footnote w:id="135">
    <w:p w:rsidR="008115D5" w:rsidP="00C736CB" w14:paraId="3811BBDC" w14:textId="77777777">
      <w:pPr>
        <w:pStyle w:val="FootnoteText"/>
      </w:pPr>
      <w:r w:rsidRPr="34D20CC4">
        <w:rPr>
          <w:rStyle w:val="FootnoteReference"/>
          <w:sz w:val="20"/>
        </w:rPr>
        <w:footnoteRef/>
      </w:r>
      <w:r>
        <w:t xml:space="preserve"> </w:t>
      </w:r>
      <w:r w:rsidRPr="00EE447B">
        <w:rPr>
          <w:i/>
        </w:rPr>
        <w:t>Id</w:t>
      </w:r>
      <w:r>
        <w:t>.</w:t>
      </w:r>
    </w:p>
  </w:footnote>
  <w:footnote w:id="136">
    <w:p w:rsidR="008115D5" w:rsidRPr="001F4417" w:rsidP="00C736CB" w14:paraId="1B60C70F" w14:textId="77777777">
      <w:pPr>
        <w:pStyle w:val="FootnoteText"/>
      </w:pPr>
      <w:r w:rsidRPr="645B2FDD">
        <w:rPr>
          <w:rStyle w:val="FootnoteReference"/>
          <w:sz w:val="20"/>
        </w:rPr>
        <w:footnoteRef/>
      </w:r>
      <w:r w:rsidRPr="001F4417">
        <w:t xml:space="preserve"> While vendor and provider quotes are not required at the funding allocation stage for those relying on the Catalog, we require quotes when requesting disbursement to verify actual costs.</w:t>
      </w:r>
      <w:r>
        <w:t xml:space="preserve"> </w:t>
      </w:r>
      <w:r w:rsidRPr="00EE447B">
        <w:rPr>
          <w:i/>
          <w:iCs/>
        </w:rPr>
        <w:t>Id</w:t>
      </w:r>
      <w:r>
        <w:t>.  These quotes if not included in the previously granted Applicat</w:t>
      </w:r>
      <w:r>
        <w:t>ion Request for Funding Allocation would need to be submitted by the participant pursuant to a modification filing.</w:t>
      </w:r>
    </w:p>
  </w:footnote>
  <w:footnote w:id="137">
    <w:p w:rsidR="008115D5" w:rsidP="00C736CB" w14:paraId="6AC13FA5" w14:textId="77777777">
      <w:pPr>
        <w:pStyle w:val="FootnoteText"/>
      </w:pPr>
      <w:r>
        <w:rPr>
          <w:rStyle w:val="FootnoteReference"/>
        </w:rPr>
        <w:footnoteRef/>
      </w:r>
      <w:r>
        <w:t xml:space="preserve"> </w:t>
      </w:r>
      <w:r w:rsidRPr="00EE447B">
        <w:rPr>
          <w:i/>
        </w:rPr>
        <w:t>See</w:t>
      </w:r>
      <w:r>
        <w:t xml:space="preserve"> Treasury Financial Manual, Vol. 1, Part 4a, Ch. 3000, § 3040 – Designation of Certifying Officers, </w:t>
      </w:r>
      <w:hyperlink r:id="rId7" w:history="1">
        <w:r w:rsidRPr="006725EF">
          <w:rPr>
            <w:rStyle w:val="Hyperlink"/>
          </w:rPr>
          <w:t>https://tfm.fiscal.treasury.gov/v1/p4/ac3000.html</w:t>
        </w:r>
      </w:hyperlink>
      <w:r>
        <w:t xml:space="preserve">. </w:t>
      </w:r>
    </w:p>
  </w:footnote>
  <w:footnote w:id="138">
    <w:p w:rsidR="008115D5" w:rsidRPr="001F4417" w:rsidP="00C736CB" w14:paraId="12B39BCC" w14:textId="77777777">
      <w:pPr>
        <w:pStyle w:val="FootnoteText"/>
      </w:pPr>
      <w:r w:rsidRPr="00EE447B">
        <w:rPr>
          <w:rStyle w:val="FootnoteReference"/>
          <w:sz w:val="20"/>
        </w:rPr>
        <w:footnoteRef/>
      </w:r>
      <w:r w:rsidRPr="001F4417">
        <w:t xml:space="preserve"> </w:t>
      </w:r>
      <w:r>
        <w:t>47 CFR § 1.50004(g) (not yet effective);</w:t>
      </w:r>
      <w:r w:rsidRPr="001F4417">
        <w:t xml:space="preserve"> </w:t>
      </w:r>
      <w:r w:rsidRPr="000A75CE">
        <w:rPr>
          <w:i/>
        </w:rPr>
        <w:t>2020 Supply Chain Order</w:t>
      </w:r>
      <w:r>
        <w:t xml:space="preserve">, </w:t>
      </w:r>
      <w:r w:rsidRPr="00A33F59">
        <w:t>35 FCC Rcd</w:t>
      </w:r>
      <w:r>
        <w:t xml:space="preserve"> 14340-42, paras. 130-35 (“[W]e will reimburse reasonable cost</w:t>
      </w:r>
      <w:r>
        <w:t xml:space="preserve">s associated with the removal, replacement and disposal of covered equipment that were incurred on or after April 17, 2018 . . . . Costs incurred before that date are ineligible.”); </w:t>
      </w:r>
      <w:r>
        <w:rPr>
          <w:i/>
        </w:rPr>
        <w:t>i</w:t>
      </w:r>
      <w:r w:rsidRPr="002227EE">
        <w:rPr>
          <w:i/>
        </w:rPr>
        <w:t>d.</w:t>
      </w:r>
      <w:r w:rsidRPr="000A75CE">
        <w:t xml:space="preserve"> at </w:t>
      </w:r>
      <w:r>
        <w:t xml:space="preserve">14341, </w:t>
      </w:r>
      <w:r w:rsidRPr="000A75CE">
        <w:t>para. 13</w:t>
      </w:r>
      <w:r>
        <w:t xml:space="preserve">3.  </w:t>
      </w:r>
      <w:r w:rsidRPr="00192310">
        <w:t>Any expenses incurred after the</w:t>
      </w:r>
      <w:r>
        <w:t xml:space="preserve"> one-year</w:t>
      </w:r>
      <w:r w:rsidRPr="00192310">
        <w:t xml:space="preserve"> term en</w:t>
      </w:r>
      <w:r w:rsidRPr="00192310">
        <w:t xml:space="preserve">ds </w:t>
      </w:r>
      <w:r>
        <w:t>are</w:t>
      </w:r>
      <w:r w:rsidRPr="00192310">
        <w:t xml:space="preserve"> ineligible for reimbursement.</w:t>
      </w:r>
      <w:r>
        <w:t xml:space="preserve">  </w:t>
      </w:r>
      <w:r>
        <w:rPr>
          <w:i/>
          <w:iCs/>
        </w:rPr>
        <w:t>2021 Supply Chain</w:t>
      </w:r>
      <w:r w:rsidRPr="005F30AB">
        <w:rPr>
          <w:i/>
          <w:iCs/>
        </w:rPr>
        <w:t xml:space="preserve"> </w:t>
      </w:r>
      <w:r w:rsidRPr="003A0EC2">
        <w:rPr>
          <w:i/>
          <w:iCs/>
        </w:rPr>
        <w:t>Order</w:t>
      </w:r>
      <w:r>
        <w:rPr>
          <w:i/>
          <w:iCs/>
        </w:rPr>
        <w:t xml:space="preserve"> </w:t>
      </w:r>
      <w:r w:rsidRPr="00EE447B">
        <w:t>at 41-42</w:t>
      </w:r>
      <w:r>
        <w:t>, para. 100.</w:t>
      </w:r>
    </w:p>
  </w:footnote>
  <w:footnote w:id="139">
    <w:p w:rsidR="008115D5" w:rsidP="00C736CB" w14:paraId="0F6CA872" w14:textId="77777777">
      <w:pPr>
        <w:pStyle w:val="FootnoteText"/>
      </w:pPr>
      <w:r w:rsidRPr="38114642">
        <w:rPr>
          <w:rStyle w:val="FootnoteReference"/>
          <w:sz w:val="20"/>
        </w:rPr>
        <w:footnoteRef/>
      </w:r>
      <w:r>
        <w:t xml:space="preserve"> </w:t>
      </w:r>
      <w:r w:rsidRPr="000A75CE">
        <w:rPr>
          <w:i/>
          <w:iCs/>
        </w:rPr>
        <w:t>2020 Supply Chain Order</w:t>
      </w:r>
      <w:r>
        <w:t xml:space="preserve">, </w:t>
      </w:r>
      <w:r w:rsidRPr="00A33F59">
        <w:t>35 FCC Rcd</w:t>
      </w:r>
      <w:r>
        <w:t xml:space="preserve"> </w:t>
      </w:r>
      <w:r w:rsidRPr="00A33F59">
        <w:t>at</w:t>
      </w:r>
      <w:r>
        <w:t xml:space="preserve"> 14340-42, paras. 130-33.</w:t>
      </w:r>
    </w:p>
  </w:footnote>
  <w:footnote w:id="140">
    <w:p w:rsidR="008115D5" w:rsidP="00C736CB" w14:paraId="5686CDE4" w14:textId="77777777">
      <w:pPr>
        <w:pStyle w:val="FootnoteText"/>
      </w:pPr>
      <w:r>
        <w:rPr>
          <w:rStyle w:val="FootnoteReference"/>
        </w:rPr>
        <w:footnoteRef/>
      </w:r>
      <w:r>
        <w:t xml:space="preserve"> RWA Reimbursement Process Public Notice Comments at 8.</w:t>
      </w:r>
    </w:p>
  </w:footnote>
  <w:footnote w:id="141">
    <w:p w:rsidR="008115D5" w:rsidP="00C736CB" w14:paraId="0C9591AD" w14:textId="77777777">
      <w:pPr>
        <w:pStyle w:val="FootnoteText"/>
      </w:pPr>
      <w:r>
        <w:rPr>
          <w:rStyle w:val="FootnoteReference"/>
        </w:rPr>
        <w:footnoteRef/>
      </w:r>
      <w:r>
        <w:t xml:space="preserve"> This leaves open the possibility for further Con</w:t>
      </w:r>
      <w:r>
        <w:t>gressional appropriations or other funding that would allow for the granting of such requests.  However, if such funding did not become available, then the Bureau would ultimately deny these requests.</w:t>
      </w:r>
    </w:p>
  </w:footnote>
  <w:footnote w:id="142">
    <w:p w:rsidR="008115D5" w:rsidP="00C736CB" w14:paraId="61025843" w14:textId="77777777">
      <w:pPr>
        <w:pStyle w:val="FootnoteText"/>
      </w:pPr>
      <w:r>
        <w:rPr>
          <w:rStyle w:val="FootnoteReference"/>
        </w:rPr>
        <w:footnoteRef/>
      </w:r>
      <w:r w:rsidRPr="00754443">
        <w:rPr>
          <w:i/>
          <w:iCs/>
        </w:rPr>
        <w:t xml:space="preserve"> </w:t>
      </w:r>
      <w:r w:rsidRPr="001977D4">
        <w:t xml:space="preserve">Nokia Reimbursement Process </w:t>
      </w:r>
      <w:r>
        <w:t>Public Notice</w:t>
      </w:r>
      <w:r w:rsidRPr="00754443">
        <w:rPr>
          <w:i/>
          <w:iCs/>
        </w:rPr>
        <w:t xml:space="preserve"> </w:t>
      </w:r>
      <w:r>
        <w:t>Comments at</w:t>
      </w:r>
      <w:r>
        <w:t xml:space="preserve"> 2-4. This request is substantively an untimely filed petition for reconsideration of the </w:t>
      </w:r>
      <w:r w:rsidRPr="00754443">
        <w:rPr>
          <w:i/>
        </w:rPr>
        <w:t>2020 Supply Chain Order</w:t>
      </w:r>
      <w:r>
        <w:t xml:space="preserve">, which established the funding disbursement process.  Regardless of the procedural failures, we also reject the request on </w:t>
      </w:r>
      <w:r>
        <w:t>substantive grounds.</w:t>
      </w:r>
    </w:p>
  </w:footnote>
  <w:footnote w:id="143">
    <w:p w:rsidR="008115D5" w:rsidP="00C736CB" w14:paraId="3200E7F2" w14:textId="77777777">
      <w:pPr>
        <w:pStyle w:val="FootnoteText"/>
        <w:rPr>
          <w:i/>
        </w:rPr>
      </w:pPr>
      <w:r>
        <w:rPr>
          <w:rStyle w:val="FootnoteReference"/>
        </w:rPr>
        <w:footnoteRef/>
      </w:r>
      <w:r>
        <w:t xml:space="preserve"> </w:t>
      </w:r>
      <w:r w:rsidRPr="00754443">
        <w:rPr>
          <w:i/>
          <w:iCs/>
        </w:rPr>
        <w:t>See id.</w:t>
      </w:r>
    </w:p>
  </w:footnote>
  <w:footnote w:id="144">
    <w:p w:rsidR="008115D5" w:rsidP="00C736CB" w14:paraId="67CEEE14" w14:textId="77777777">
      <w:pPr>
        <w:pStyle w:val="FootnoteText"/>
      </w:pPr>
      <w:r>
        <w:rPr>
          <w:rStyle w:val="FootnoteReference"/>
        </w:rPr>
        <w:footnoteRef/>
      </w:r>
      <w:r>
        <w:t xml:space="preserve"> </w:t>
      </w:r>
      <w:r w:rsidRPr="001F4417">
        <w:t>47 CFR § 1.50004(g)</w:t>
      </w:r>
      <w:r>
        <w:t xml:space="preserve"> (not yet effective) (stating an allocation must be made before a disbursement can occur). </w:t>
      </w:r>
    </w:p>
  </w:footnote>
  <w:footnote w:id="145">
    <w:p w:rsidR="008115D5" w:rsidP="00C736CB" w14:paraId="089053D4" w14:textId="77777777">
      <w:pPr>
        <w:pStyle w:val="FootnoteText"/>
      </w:pPr>
      <w:r w:rsidRPr="00EE447B">
        <w:rPr>
          <w:rStyle w:val="FootnoteReference"/>
          <w:sz w:val="20"/>
        </w:rPr>
        <w:footnoteRef/>
      </w:r>
      <w:r>
        <w:t xml:space="preserve"> </w:t>
      </w:r>
      <w:r w:rsidRPr="000A6649">
        <w:rPr>
          <w:i/>
          <w:iCs/>
        </w:rPr>
        <w:t xml:space="preserve">Reimbursement Process </w:t>
      </w:r>
      <w:r>
        <w:rPr>
          <w:i/>
          <w:iCs/>
        </w:rPr>
        <w:t>Public Notice</w:t>
      </w:r>
      <w:r>
        <w:t xml:space="preserve"> at 7.</w:t>
      </w:r>
    </w:p>
  </w:footnote>
  <w:footnote w:id="146">
    <w:p w:rsidR="008115D5" w:rsidP="00C736CB" w14:paraId="23ECA856" w14:textId="77777777">
      <w:pPr>
        <w:pStyle w:val="FootnoteText"/>
      </w:pPr>
      <w:r w:rsidRPr="38114642">
        <w:rPr>
          <w:rStyle w:val="FootnoteReference"/>
          <w:sz w:val="20"/>
        </w:rPr>
        <w:footnoteRef/>
      </w:r>
      <w:r>
        <w:t xml:space="preserve"> </w:t>
      </w:r>
      <w:r w:rsidRPr="00EE447B">
        <w:rPr>
          <w:i/>
          <w:iCs/>
        </w:rPr>
        <w:t>Id</w:t>
      </w:r>
      <w:r>
        <w:t>.</w:t>
      </w:r>
    </w:p>
  </w:footnote>
  <w:footnote w:id="147">
    <w:p w:rsidR="008115D5" w:rsidP="00C736CB" w14:paraId="4902A72F" w14:textId="77777777">
      <w:pPr>
        <w:pStyle w:val="FootnoteText"/>
      </w:pPr>
      <w:r w:rsidRPr="38114642">
        <w:rPr>
          <w:rStyle w:val="FootnoteReference"/>
          <w:sz w:val="20"/>
        </w:rPr>
        <w:footnoteRef/>
      </w:r>
      <w:r>
        <w:t xml:space="preserve"> </w:t>
      </w:r>
      <w:r w:rsidRPr="38114642">
        <w:t>RWA Reimbursement Process Public Notice Comments at 8.</w:t>
      </w:r>
    </w:p>
  </w:footnote>
  <w:footnote w:id="148">
    <w:p w:rsidR="008115D5" w:rsidRPr="001F4417" w:rsidP="00C736CB" w14:paraId="05D49BE8" w14:textId="77777777">
      <w:pPr>
        <w:pStyle w:val="FootnoteText"/>
      </w:pPr>
      <w:r w:rsidRPr="00EE447B">
        <w:rPr>
          <w:rStyle w:val="FootnoteReference"/>
          <w:sz w:val="20"/>
        </w:rPr>
        <w:footnoteRef/>
      </w:r>
      <w:r w:rsidRPr="001F4417">
        <w:t xml:space="preserve"> 47 </w:t>
      </w:r>
      <w:r w:rsidRPr="001F4417">
        <w:t>CFR § 1.50004(g)(1)-(2)</w:t>
      </w:r>
      <w:r>
        <w:t xml:space="preserve"> (not yet effective</w:t>
      </w:r>
      <w:r w:rsidRPr="001F4417">
        <w:t>).</w:t>
      </w:r>
    </w:p>
  </w:footnote>
  <w:footnote w:id="149">
    <w:p w:rsidR="008115D5" w:rsidP="00C736CB" w14:paraId="486DC0FD" w14:textId="77777777">
      <w:pPr>
        <w:pStyle w:val="FootnoteText"/>
      </w:pPr>
      <w:r w:rsidRPr="00EE447B">
        <w:rPr>
          <w:rStyle w:val="FootnoteReference"/>
          <w:sz w:val="20"/>
        </w:rPr>
        <w:footnoteRef/>
      </w:r>
      <w:r>
        <w:t xml:space="preserve"> </w:t>
      </w:r>
      <w:r w:rsidRPr="00EE447B">
        <w:rPr>
          <w:i/>
          <w:iCs/>
        </w:rPr>
        <w:t xml:space="preserve">See </w:t>
      </w:r>
      <w:r>
        <w:rPr>
          <w:i/>
          <w:iCs/>
        </w:rPr>
        <w:t>supra</w:t>
      </w:r>
      <w:r w:rsidRPr="00EE447B">
        <w:rPr>
          <w:i/>
          <w:iCs/>
        </w:rPr>
        <w:t xml:space="preserve"> </w:t>
      </w:r>
      <w:r>
        <w:t xml:space="preserve">III.A.6 (discussing amendments during the application review period).  </w:t>
      </w:r>
    </w:p>
  </w:footnote>
  <w:footnote w:id="150">
    <w:p w:rsidR="008115D5" w:rsidP="00C736CB" w14:paraId="35917C1C" w14:textId="77777777">
      <w:pPr>
        <w:pStyle w:val="FootnoteText"/>
      </w:pPr>
      <w:r w:rsidRPr="00EE447B">
        <w:rPr>
          <w:rStyle w:val="FootnoteReference"/>
          <w:sz w:val="20"/>
        </w:rPr>
        <w:footnoteRef/>
      </w:r>
      <w:r>
        <w:t xml:space="preserve"> We will subsequently provide the public with additional information on how to contact the Reimbursement Program Fund Administ</w:t>
      </w:r>
      <w:r>
        <w:t>rator Help Desk once that capability is made operational.</w:t>
      </w:r>
    </w:p>
  </w:footnote>
  <w:footnote w:id="151">
    <w:p w:rsidR="008115D5" w:rsidRPr="001F4417" w:rsidP="00C736CB" w14:paraId="2952FB9D" w14:textId="77777777">
      <w:pPr>
        <w:pStyle w:val="FootnoteText"/>
      </w:pPr>
      <w:r w:rsidRPr="00EE447B">
        <w:rPr>
          <w:rStyle w:val="FootnoteReference"/>
          <w:sz w:val="20"/>
        </w:rPr>
        <w:footnoteRef/>
      </w:r>
      <w:r w:rsidRPr="001F4417">
        <w:t xml:space="preserve"> While such modifications may change the cost of the project, as directed by the Commission in the </w:t>
      </w:r>
      <w:r>
        <w:rPr>
          <w:i/>
          <w:iCs/>
        </w:rPr>
        <w:t xml:space="preserve">2020 Supply Chain </w:t>
      </w:r>
      <w:r w:rsidRPr="001F4417">
        <w:rPr>
          <w:i/>
          <w:iCs/>
        </w:rPr>
        <w:t>Order</w:t>
      </w:r>
      <w:r w:rsidRPr="001F4417">
        <w:t xml:space="preserve">, we will not alter the funding allocation issued.  </w:t>
      </w:r>
      <w:r w:rsidRPr="001F4417">
        <w:rPr>
          <w:i/>
          <w:iCs/>
        </w:rPr>
        <w:t xml:space="preserve">See </w:t>
      </w:r>
      <w:r>
        <w:rPr>
          <w:i/>
          <w:iCs/>
        </w:rPr>
        <w:t xml:space="preserve">2020 Supply Chain </w:t>
      </w:r>
      <w:r w:rsidRPr="001F4417">
        <w:rPr>
          <w:i/>
          <w:iCs/>
        </w:rPr>
        <w:t>O</w:t>
      </w:r>
      <w:r w:rsidRPr="001F4417">
        <w:rPr>
          <w:i/>
          <w:iCs/>
        </w:rPr>
        <w:t>rder</w:t>
      </w:r>
      <w:r w:rsidRPr="001F4417">
        <w:t>, 35 FCC Rcd at 14347, para. 152</w:t>
      </w:r>
      <w:r>
        <w:t xml:space="preserve">.  Any funding remaining at the end of the one-year removal, replacement, and disposal term will revert to the Reimbursement Program for potential allocation to other Reimbursement Program participants.  </w:t>
      </w:r>
      <w:r w:rsidRPr="001F4417">
        <w:t>47 CFR § 1.50004</w:t>
      </w:r>
      <w:r w:rsidRPr="001F4417">
        <w:t>(g)(1)-(2)</w:t>
      </w:r>
      <w:r>
        <w:t xml:space="preserve"> (not yet effective)</w:t>
      </w:r>
      <w:r w:rsidRPr="001F4417">
        <w:t>.</w:t>
      </w:r>
    </w:p>
  </w:footnote>
  <w:footnote w:id="152">
    <w:p w:rsidR="008115D5" w:rsidRPr="00BF67FE" w:rsidP="00C736CB" w14:paraId="6F8B8DC6" w14:textId="77777777">
      <w:pPr>
        <w:pStyle w:val="FootnoteText"/>
        <w:rPr>
          <w:sz w:val="22"/>
          <w:szCs w:val="22"/>
        </w:rPr>
      </w:pPr>
      <w:r w:rsidRPr="38114642">
        <w:rPr>
          <w:rStyle w:val="FootnoteReference"/>
          <w:sz w:val="20"/>
        </w:rPr>
        <w:footnoteRef/>
      </w:r>
      <w:r>
        <w:t xml:space="preserve"> </w:t>
      </w:r>
      <w:r w:rsidRPr="00EE447B">
        <w:rPr>
          <w:i/>
          <w:iCs/>
        </w:rPr>
        <w:t>See 2020 Supply Chain Order</w:t>
      </w:r>
      <w:r w:rsidRPr="00EE447B">
        <w:t>, 35 FCC Rcd at 14347, para. 152.</w:t>
      </w:r>
    </w:p>
  </w:footnote>
  <w:footnote w:id="153">
    <w:p w:rsidR="008115D5" w:rsidP="00C736CB" w14:paraId="57CAD9AB" w14:textId="77777777">
      <w:pPr>
        <w:pStyle w:val="FootnoteText"/>
      </w:pPr>
      <w:r w:rsidRPr="00EE447B">
        <w:rPr>
          <w:rStyle w:val="FootnoteReference"/>
          <w:sz w:val="20"/>
        </w:rPr>
        <w:footnoteRef/>
      </w:r>
      <w:r>
        <w:t xml:space="preserve"> </w:t>
      </w:r>
      <w:r w:rsidRPr="000A6649">
        <w:rPr>
          <w:i/>
          <w:iCs/>
        </w:rPr>
        <w:t xml:space="preserve">Reimbursement Process </w:t>
      </w:r>
      <w:r>
        <w:rPr>
          <w:i/>
          <w:iCs/>
        </w:rPr>
        <w:t>Public Notice</w:t>
      </w:r>
      <w:r>
        <w:t xml:space="preserve"> at 8.</w:t>
      </w:r>
    </w:p>
  </w:footnote>
  <w:footnote w:id="154">
    <w:p w:rsidR="008115D5" w:rsidP="00C736CB" w14:paraId="1C0D4EF6" w14:textId="77777777">
      <w:pPr>
        <w:pStyle w:val="FootnoteText"/>
      </w:pPr>
      <w:r w:rsidRPr="38114642">
        <w:rPr>
          <w:rStyle w:val="FootnoteReference"/>
          <w:sz w:val="20"/>
        </w:rPr>
        <w:footnoteRef/>
      </w:r>
      <w:r>
        <w:t xml:space="preserve"> </w:t>
      </w:r>
      <w:r w:rsidRPr="00EE447B">
        <w:rPr>
          <w:i/>
          <w:iCs/>
        </w:rPr>
        <w:t>Id</w:t>
      </w:r>
      <w:r>
        <w:t>.</w:t>
      </w:r>
    </w:p>
  </w:footnote>
  <w:footnote w:id="155">
    <w:p w:rsidR="008115D5" w:rsidP="00C736CB" w14:paraId="459B050A" w14:textId="77777777">
      <w:pPr>
        <w:pStyle w:val="FootnoteText"/>
      </w:pPr>
      <w:r>
        <w:rPr>
          <w:rStyle w:val="FootnoteReference"/>
        </w:rPr>
        <w:footnoteRef/>
      </w:r>
      <w:r>
        <w:t xml:space="preserve"> Commission requirements related to transfers of control not expressly mentioned herein remain effective.  </w:t>
      </w:r>
    </w:p>
  </w:footnote>
  <w:footnote w:id="156">
    <w:p w:rsidR="008115D5" w:rsidP="00C736CB" w14:paraId="671D2A05" w14:textId="77777777">
      <w:pPr>
        <w:pStyle w:val="FootnoteText"/>
      </w:pPr>
      <w:r w:rsidRPr="3B6760A3">
        <w:rPr>
          <w:rStyle w:val="FootnoteReference"/>
          <w:sz w:val="20"/>
        </w:rPr>
        <w:footnoteRef/>
      </w:r>
      <w:r>
        <w:t xml:space="preserve"> RWA Reimbursement Process Public Notice Comments at 9 (supporting not requiring a prior approval process for such ownership changes for purposes o</w:t>
      </w:r>
      <w:r>
        <w:t>f the Reimbursement Program).</w:t>
      </w:r>
    </w:p>
  </w:footnote>
  <w:footnote w:id="157">
    <w:p w:rsidR="008115D5" w:rsidP="00C736CB" w14:paraId="64E1F667" w14:textId="77777777">
      <w:pPr>
        <w:pStyle w:val="FootnoteText"/>
      </w:pPr>
      <w:r>
        <w:rPr>
          <w:rStyle w:val="FootnoteReference"/>
        </w:rPr>
        <w:footnoteRef/>
      </w:r>
      <w:r>
        <w:t xml:space="preserve"> </w:t>
      </w:r>
      <w:r w:rsidRPr="00EE447B">
        <w:rPr>
          <w:i/>
          <w:iCs/>
        </w:rPr>
        <w:t>See</w:t>
      </w:r>
      <w:r>
        <w:t xml:space="preserve"> 47 CFR § 1.50004(a).</w:t>
      </w:r>
    </w:p>
  </w:footnote>
  <w:footnote w:id="158">
    <w:p w:rsidR="008115D5" w:rsidP="00C736CB" w14:paraId="4BB6BF89" w14:textId="77777777">
      <w:pPr>
        <w:pStyle w:val="FootnoteText"/>
      </w:pPr>
      <w:r>
        <w:rPr>
          <w:rStyle w:val="FootnoteReference"/>
        </w:rPr>
        <w:footnoteRef/>
      </w:r>
      <w:r>
        <w:t xml:space="preserve"> </w:t>
      </w:r>
      <w:r w:rsidRPr="00EE447B">
        <w:rPr>
          <w:i/>
          <w:iCs/>
        </w:rPr>
        <w:t>Id</w:t>
      </w:r>
      <w:r>
        <w:t>.</w:t>
      </w:r>
    </w:p>
  </w:footnote>
  <w:footnote w:id="159">
    <w:p w:rsidR="008115D5" w:rsidRPr="00192310" w:rsidP="00C736CB" w14:paraId="3CDEB6BF" w14:textId="77777777">
      <w:pPr>
        <w:pStyle w:val="FootnoteText"/>
      </w:pPr>
      <w:r w:rsidRPr="38114642">
        <w:rPr>
          <w:rStyle w:val="FootnoteReference"/>
          <w:sz w:val="20"/>
        </w:rPr>
        <w:footnoteRef/>
      </w:r>
      <w:r w:rsidRPr="00192310">
        <w:t xml:space="preserve"> </w:t>
      </w:r>
      <w:r w:rsidRPr="00EE447B">
        <w:rPr>
          <w:i/>
          <w:iCs/>
        </w:rPr>
        <w:t>2020 Supply Chain Order</w:t>
      </w:r>
      <w:r>
        <w:t>, 35 FCC Rcd</w:t>
      </w:r>
      <w:r w:rsidRPr="00192310">
        <w:t xml:space="preserve"> at 14331, para. 169 (establishing a one-year timeline for removal, replacement, and disposal).</w:t>
      </w:r>
    </w:p>
  </w:footnote>
  <w:footnote w:id="160">
    <w:p w:rsidR="008115D5" w:rsidP="00C736CB" w14:paraId="47159E45" w14:textId="77777777">
      <w:pPr>
        <w:pStyle w:val="FootnoteText"/>
      </w:pPr>
      <w:r w:rsidRPr="38114642">
        <w:rPr>
          <w:rStyle w:val="FootnoteReference"/>
          <w:sz w:val="20"/>
        </w:rPr>
        <w:footnoteRef/>
      </w:r>
      <w:r>
        <w:t xml:space="preserve"> </w:t>
      </w:r>
      <w:r w:rsidRPr="00EE447B">
        <w:rPr>
          <w:i/>
          <w:iCs/>
        </w:rPr>
        <w:t>Id</w:t>
      </w:r>
      <w:r w:rsidRPr="00192310">
        <w:t>.</w:t>
      </w:r>
    </w:p>
  </w:footnote>
  <w:footnote w:id="161">
    <w:p w:rsidR="008115D5" w:rsidP="00C736CB" w14:paraId="23659196" w14:textId="77777777">
      <w:pPr>
        <w:pStyle w:val="FootnoteText"/>
      </w:pPr>
      <w:r w:rsidRPr="38114642">
        <w:rPr>
          <w:rStyle w:val="FootnoteReference"/>
          <w:sz w:val="20"/>
        </w:rPr>
        <w:footnoteRef/>
      </w:r>
      <w:r>
        <w:t xml:space="preserve"> </w:t>
      </w:r>
      <w:r w:rsidRPr="00EE447B">
        <w:rPr>
          <w:i/>
          <w:iCs/>
        </w:rPr>
        <w:t>Id</w:t>
      </w:r>
      <w:r w:rsidRPr="00192310">
        <w:t>.</w:t>
      </w:r>
      <w:r>
        <w:t xml:space="preserve"> </w:t>
      </w:r>
      <w:r w:rsidRPr="00192310">
        <w:t>at 14354-55, para. 17</w:t>
      </w:r>
      <w:r>
        <w:t>0</w:t>
      </w:r>
      <w:r w:rsidRPr="00192310">
        <w:t xml:space="preserve">.  </w:t>
      </w:r>
      <w:r>
        <w:t>Failure to file for ini</w:t>
      </w:r>
      <w:r>
        <w:t xml:space="preserve">tial disbursement by that date will result in the automatic reversion of the funding allocation to the program fund for reallocation to other or future program participants.  </w:t>
      </w:r>
      <w:r w:rsidRPr="008B38A3">
        <w:rPr>
          <w:i/>
          <w:iCs/>
        </w:rPr>
        <w:t>Id.</w:t>
      </w:r>
    </w:p>
  </w:footnote>
  <w:footnote w:id="162">
    <w:p w:rsidR="008115D5" w:rsidP="00C736CB" w14:paraId="0A8EFD24" w14:textId="77777777">
      <w:pPr>
        <w:pStyle w:val="FootnoteText"/>
      </w:pPr>
      <w:r w:rsidRPr="38114642">
        <w:rPr>
          <w:rStyle w:val="FootnoteReference"/>
          <w:sz w:val="20"/>
        </w:rPr>
        <w:footnoteRef/>
      </w:r>
      <w:r>
        <w:t xml:space="preserve"> Secure Networks Act § 4(d)(6)(B)-(C); </w:t>
      </w:r>
      <w:r w:rsidRPr="001F4417">
        <w:t xml:space="preserve">47 CFR § </w:t>
      </w:r>
      <w:r>
        <w:t>1.50004(h).</w:t>
      </w:r>
    </w:p>
  </w:footnote>
  <w:footnote w:id="163">
    <w:p w:rsidR="008115D5" w:rsidP="00C736CB" w14:paraId="2A91F2CB" w14:textId="77777777">
      <w:pPr>
        <w:pStyle w:val="FootnoteText"/>
      </w:pPr>
      <w:r w:rsidRPr="38114642">
        <w:rPr>
          <w:rStyle w:val="FootnoteReference"/>
          <w:sz w:val="20"/>
        </w:rPr>
        <w:footnoteRef/>
      </w:r>
      <w:r>
        <w:t xml:space="preserve"> </w:t>
      </w:r>
      <w:r w:rsidRPr="001F4417">
        <w:t xml:space="preserve">47 CFR § </w:t>
      </w:r>
      <w:r>
        <w:t>1.50004(h).</w:t>
      </w:r>
    </w:p>
  </w:footnote>
  <w:footnote w:id="164">
    <w:p w:rsidR="008115D5" w:rsidRPr="00192310" w:rsidP="00C736CB" w14:paraId="3C1C2FBC" w14:textId="77777777">
      <w:pPr>
        <w:pStyle w:val="FootnoteText"/>
      </w:pPr>
      <w:r w:rsidRPr="38114642">
        <w:rPr>
          <w:rStyle w:val="FootnoteReference"/>
          <w:sz w:val="20"/>
        </w:rPr>
        <w:footnoteRef/>
      </w:r>
      <w:r w:rsidRPr="00192310">
        <w:t xml:space="preserve"> </w:t>
      </w:r>
      <w:r w:rsidRPr="00192310">
        <w:rPr>
          <w:i/>
          <w:iCs/>
        </w:rPr>
        <w:t>2020 Supply Chain Order</w:t>
      </w:r>
      <w:r w:rsidRPr="00192310">
        <w:t xml:space="preserve">, 35 FCC Rcd at 14354-55, para. 171.  The general extension provision authorizes the Commission to issue </w:t>
      </w:r>
      <w:r w:rsidRPr="00192310">
        <w:rPr>
          <w:i/>
          <w:iCs/>
        </w:rPr>
        <w:t>sua sponte</w:t>
      </w:r>
      <w:r w:rsidRPr="00192310">
        <w:t xml:space="preserve"> a one-time six-month extension to all program recipients.  </w:t>
      </w:r>
      <w:r w:rsidRPr="00192310">
        <w:rPr>
          <w:i/>
          <w:iCs/>
        </w:rPr>
        <w:t>Id</w:t>
      </w:r>
      <w:r w:rsidRPr="00192310">
        <w:t>. at 14355, para. 172.</w:t>
      </w:r>
      <w:r>
        <w:t xml:space="preserve">  Some comm</w:t>
      </w:r>
      <w:r>
        <w:t xml:space="preserve">enters indicated carriers may need multiple extensions.  </w:t>
      </w:r>
      <w:r w:rsidRPr="0026260D">
        <w:rPr>
          <w:i/>
          <w:iCs/>
        </w:rPr>
        <w:t>See</w:t>
      </w:r>
      <w:r>
        <w:t xml:space="preserve"> </w:t>
      </w:r>
      <w:r w:rsidRPr="0026260D">
        <w:t xml:space="preserve">Copper Valley Wireless </w:t>
      </w:r>
      <w:r>
        <w:t xml:space="preserve">Reimbursement Process Public Notice Comments at 3-4.  The Bureau may grant more than one individual extension, and we expect applicants to request extensions as circumstances warrant.  </w:t>
      </w:r>
      <w:r w:rsidRPr="0026260D">
        <w:rPr>
          <w:i/>
          <w:iCs/>
        </w:rPr>
        <w:t>See</w:t>
      </w:r>
      <w:r>
        <w:t xml:space="preserve"> </w:t>
      </w:r>
      <w:r>
        <w:rPr>
          <w:i/>
          <w:iCs/>
        </w:rPr>
        <w:t>2021 Supply Chain</w:t>
      </w:r>
      <w:r w:rsidRPr="005F30AB">
        <w:rPr>
          <w:i/>
        </w:rPr>
        <w:t xml:space="preserve"> </w:t>
      </w:r>
      <w:r w:rsidRPr="00B90FB5">
        <w:rPr>
          <w:i/>
          <w:iCs/>
        </w:rPr>
        <w:t>Order</w:t>
      </w:r>
      <w:r w:rsidRPr="38114642">
        <w:rPr>
          <w:i/>
          <w:iCs/>
        </w:rPr>
        <w:t xml:space="preserve"> </w:t>
      </w:r>
      <w:r w:rsidRPr="38114642">
        <w:t>at 40,</w:t>
      </w:r>
      <w:r>
        <w:t xml:space="preserve"> para. 96.</w:t>
      </w:r>
    </w:p>
  </w:footnote>
  <w:footnote w:id="165">
    <w:p w:rsidR="008115D5" w:rsidP="00C736CB" w14:paraId="20601EE8" w14:textId="77777777">
      <w:pPr>
        <w:pStyle w:val="FootnoteText"/>
      </w:pPr>
      <w:r w:rsidRPr="00EE447B">
        <w:rPr>
          <w:rStyle w:val="FootnoteReference"/>
          <w:sz w:val="20"/>
        </w:rPr>
        <w:footnoteRef/>
      </w:r>
      <w:r>
        <w:t xml:space="preserve"> </w:t>
      </w:r>
      <w:r w:rsidRPr="00192310">
        <w:rPr>
          <w:i/>
          <w:iCs/>
        </w:rPr>
        <w:t>2020 Supply Chain Order</w:t>
      </w:r>
      <w:r w:rsidRPr="00192310">
        <w:t>,</w:t>
      </w:r>
      <w:r w:rsidRPr="00192310">
        <w:t xml:space="preserve"> 35 FCC Rcd at 14355, para. 17</w:t>
      </w:r>
      <w:r>
        <w:t>3</w:t>
      </w:r>
      <w:r w:rsidRPr="00192310">
        <w:t xml:space="preserve">.  </w:t>
      </w:r>
    </w:p>
  </w:footnote>
  <w:footnote w:id="166">
    <w:p w:rsidR="008115D5" w:rsidP="00C736CB" w14:paraId="228E7B6E" w14:textId="77777777">
      <w:pPr>
        <w:pStyle w:val="FootnoteText"/>
      </w:pPr>
      <w:r w:rsidRPr="00EE447B">
        <w:rPr>
          <w:rStyle w:val="FootnoteReference"/>
          <w:sz w:val="20"/>
        </w:rPr>
        <w:footnoteRef/>
      </w:r>
      <w:r>
        <w:t xml:space="preserve"> </w:t>
      </w:r>
      <w:r w:rsidRPr="001F4417">
        <w:t xml:space="preserve">47 CFR § </w:t>
      </w:r>
      <w:r>
        <w:t>1.50004(h)(1).</w:t>
      </w:r>
    </w:p>
  </w:footnote>
  <w:footnote w:id="167">
    <w:p w:rsidR="008115D5" w:rsidP="00C736CB" w14:paraId="4F21F9EF" w14:textId="77777777">
      <w:pPr>
        <w:pStyle w:val="FootnoteText"/>
      </w:pPr>
      <w:r w:rsidRPr="3B6760A3">
        <w:rPr>
          <w:rStyle w:val="FootnoteReference"/>
          <w:sz w:val="20"/>
        </w:rPr>
        <w:footnoteRef/>
      </w:r>
      <w:r>
        <w:t xml:space="preserve"> </w:t>
      </w:r>
      <w:r w:rsidRPr="00206D63">
        <w:t xml:space="preserve">Nokia </w:t>
      </w:r>
      <w:r>
        <w:t xml:space="preserve">Reimbursement Process Public Notice </w:t>
      </w:r>
      <w:r w:rsidRPr="00206D63">
        <w:t xml:space="preserve">Comments at </w:t>
      </w:r>
      <w:r>
        <w:t>4-6.</w:t>
      </w:r>
    </w:p>
  </w:footnote>
  <w:footnote w:id="168">
    <w:p w:rsidR="008115D5" w:rsidP="00C736CB" w14:paraId="657E30E5" w14:textId="77777777">
      <w:pPr>
        <w:pStyle w:val="FootnoteText"/>
        <w:spacing w:line="259" w:lineRule="auto"/>
        <w:rPr>
          <w:i/>
        </w:rPr>
      </w:pPr>
      <w:r w:rsidRPr="38114642">
        <w:rPr>
          <w:rStyle w:val="FootnoteReference"/>
          <w:sz w:val="20"/>
        </w:rPr>
        <w:footnoteRef/>
      </w:r>
      <w:r>
        <w:t xml:space="preserve"> </w:t>
      </w:r>
      <w:r w:rsidRPr="38114642">
        <w:rPr>
          <w:i/>
          <w:iCs/>
        </w:rPr>
        <w:t>Id.</w:t>
      </w:r>
    </w:p>
  </w:footnote>
  <w:footnote w:id="169">
    <w:p w:rsidR="008115D5" w:rsidP="00C736CB" w14:paraId="3526B0B0" w14:textId="77777777">
      <w:pPr>
        <w:pStyle w:val="FootnoteText"/>
      </w:pPr>
      <w:r w:rsidRPr="38114642">
        <w:rPr>
          <w:rStyle w:val="FootnoteReference"/>
          <w:sz w:val="20"/>
        </w:rPr>
        <w:footnoteRef/>
      </w:r>
      <w:r>
        <w:t xml:space="preserve"> CCA Reimbursement Process Public Notice Comments at 11-12; Letter from Alexi Maltas, Senior V.P. &amp; General Counsel, CCA, to Ma</w:t>
      </w:r>
      <w:r>
        <w:t>rlene H. Dortch, Secretary, FCC, WC Docket No. 18-89, at 1 (filed July 20, 2021).</w:t>
      </w:r>
    </w:p>
  </w:footnote>
  <w:footnote w:id="170">
    <w:p w:rsidR="008115D5" w:rsidP="00C736CB" w14:paraId="28550E34" w14:textId="77777777">
      <w:pPr>
        <w:pStyle w:val="FootnoteText"/>
      </w:pPr>
      <w:r w:rsidRPr="3B6760A3">
        <w:rPr>
          <w:rStyle w:val="FootnoteReference"/>
          <w:sz w:val="20"/>
        </w:rPr>
        <w:footnoteRef/>
      </w:r>
      <w:r>
        <w:t xml:space="preserve"> Copper Valley Wireless Reimbursement Process Public Notice Comments at 3-4.</w:t>
      </w:r>
    </w:p>
  </w:footnote>
  <w:footnote w:id="171">
    <w:p w:rsidR="008115D5" w:rsidP="00C736CB" w14:paraId="620EB88E" w14:textId="77777777">
      <w:pPr>
        <w:pStyle w:val="FootnoteText"/>
      </w:pPr>
      <w:r w:rsidRPr="00EE447B">
        <w:rPr>
          <w:rStyle w:val="FootnoteReference"/>
          <w:sz w:val="20"/>
        </w:rPr>
        <w:footnoteRef/>
      </w:r>
      <w:r>
        <w:t xml:space="preserve"> </w:t>
      </w:r>
      <w:r w:rsidRPr="001D5ED9">
        <w:rPr>
          <w:i/>
          <w:iCs/>
        </w:rPr>
        <w:t>Id.</w:t>
      </w:r>
    </w:p>
  </w:footnote>
  <w:footnote w:id="172">
    <w:p w:rsidR="008115D5" w:rsidP="00C736CB" w14:paraId="69CB0D5B" w14:textId="77777777">
      <w:pPr>
        <w:pStyle w:val="FootnoteText"/>
      </w:pPr>
      <w:r>
        <w:rPr>
          <w:rStyle w:val="FootnoteReference"/>
        </w:rPr>
        <w:footnoteRef/>
      </w:r>
      <w:r>
        <w:t xml:space="preserve"> 2021 </w:t>
      </w:r>
      <w:r w:rsidRPr="00BF67FE">
        <w:rPr>
          <w:i/>
          <w:iCs/>
        </w:rPr>
        <w:t>Supply Chain Order</w:t>
      </w:r>
      <w:r w:rsidRPr="38114642">
        <w:t xml:space="preserve"> at 4</w:t>
      </w:r>
      <w:r>
        <w:t>1-42, para. 100.</w:t>
      </w:r>
    </w:p>
  </w:footnote>
  <w:footnote w:id="173">
    <w:p w:rsidR="008115D5" w:rsidP="00C736CB" w14:paraId="2DCC39DF" w14:textId="77777777">
      <w:pPr>
        <w:pStyle w:val="FootnoteText"/>
      </w:pPr>
      <w:r>
        <w:rPr>
          <w:rStyle w:val="FootnoteReference"/>
        </w:rPr>
        <w:footnoteRef/>
      </w:r>
      <w:r>
        <w:t xml:space="preserve"> </w:t>
      </w:r>
      <w:r w:rsidRPr="008B38A3">
        <w:rPr>
          <w:i/>
          <w:iCs/>
        </w:rPr>
        <w:t>Id.</w:t>
      </w:r>
    </w:p>
  </w:footnote>
  <w:footnote w:id="174">
    <w:p w:rsidR="008115D5" w:rsidP="00C736CB" w14:paraId="0ED4E360" w14:textId="77777777">
      <w:pPr>
        <w:pStyle w:val="FootnoteText"/>
      </w:pPr>
      <w:r w:rsidRPr="38114642">
        <w:rPr>
          <w:rStyle w:val="FootnoteReference"/>
          <w:sz w:val="20"/>
        </w:rPr>
        <w:footnoteRef/>
      </w:r>
      <w:r>
        <w:t xml:space="preserve"> </w:t>
      </w:r>
      <w:r w:rsidRPr="00206D63">
        <w:t xml:space="preserve">Nokia </w:t>
      </w:r>
      <w:r>
        <w:t xml:space="preserve">Reimbursement Process Public Notice </w:t>
      </w:r>
      <w:r w:rsidRPr="00206D63">
        <w:t xml:space="preserve">Comments at </w:t>
      </w:r>
      <w:r>
        <w:t>4-6 (requesting the Commission grant the general six-month extension to all applicants and permit participants to request individual extensions after receiving funding allocations)</w:t>
      </w:r>
      <w:r w:rsidRPr="00206D63">
        <w:t xml:space="preserve">; </w:t>
      </w:r>
      <w:r w:rsidRPr="008E0446">
        <w:rPr>
          <w:i/>
          <w:iCs/>
        </w:rPr>
        <w:t>see</w:t>
      </w:r>
      <w:r>
        <w:t xml:space="preserve"> CCA Reimbursement Proc</w:t>
      </w:r>
      <w:r>
        <w:t xml:space="preserve">ess Public Notice Comments at 11-12 (requesting the Commission grant a six-month extension of the one-year term to all applicants due to the limited availability of equipment, services, chip shortages, and post-coronavirus recovery efforts); </w:t>
      </w:r>
      <w:r w:rsidRPr="00506D41">
        <w:t xml:space="preserve">Copper Valley </w:t>
      </w:r>
      <w:r>
        <w:t xml:space="preserve">Wireless Reimbursement Process Public Notice Comments at 3-4 (requesting that Commission grant blanket waivers for Alaskan carriers due to the unique circumstances). </w:t>
      </w:r>
    </w:p>
  </w:footnote>
  <w:footnote w:id="175">
    <w:p w:rsidR="008115D5" w:rsidP="00C736CB" w14:paraId="182398AB" w14:textId="77777777">
      <w:pPr>
        <w:pStyle w:val="FootnoteText"/>
      </w:pPr>
      <w:r w:rsidRPr="3B6760A3">
        <w:rPr>
          <w:rStyle w:val="FootnoteReference"/>
          <w:sz w:val="20"/>
        </w:rPr>
        <w:footnoteRef/>
      </w:r>
      <w:r>
        <w:t xml:space="preserve"> Nokia Reimbursement Process Public Notice Comments at 12-13. </w:t>
      </w:r>
    </w:p>
  </w:footnote>
  <w:footnote w:id="176">
    <w:p w:rsidR="008115D5" w:rsidP="00C736CB" w14:paraId="28A493D7" w14:textId="77777777">
      <w:pPr>
        <w:pStyle w:val="FootnoteText"/>
      </w:pPr>
      <w:r w:rsidRPr="38114642">
        <w:rPr>
          <w:rStyle w:val="FootnoteReference"/>
          <w:sz w:val="20"/>
        </w:rPr>
        <w:footnoteRef/>
      </w:r>
      <w:r>
        <w:t xml:space="preserve"> </w:t>
      </w:r>
      <w:r w:rsidRPr="007135EB">
        <w:rPr>
          <w:i/>
          <w:iCs/>
        </w:rPr>
        <w:t>2021</w:t>
      </w:r>
      <w:r>
        <w:t xml:space="preserve"> </w:t>
      </w:r>
      <w:r w:rsidRPr="00BF67FE">
        <w:rPr>
          <w:i/>
          <w:iCs/>
        </w:rPr>
        <w:t>Supply Chain Order</w:t>
      </w:r>
      <w:r w:rsidRPr="38114642">
        <w:t xml:space="preserve"> at 40-41</w:t>
      </w:r>
      <w:r>
        <w:t>, para. 97.</w:t>
      </w:r>
    </w:p>
  </w:footnote>
  <w:footnote w:id="177">
    <w:p w:rsidR="008115D5" w:rsidRPr="00192310" w:rsidP="00C736CB" w14:paraId="4CC87007" w14:textId="77777777">
      <w:pPr>
        <w:pStyle w:val="FootnoteText"/>
      </w:pPr>
      <w:r w:rsidRPr="38114642">
        <w:rPr>
          <w:rStyle w:val="FootnoteReference"/>
          <w:sz w:val="20"/>
        </w:rPr>
        <w:footnoteRef/>
      </w:r>
      <w:r w:rsidRPr="00192310">
        <w:t xml:space="preserve"> </w:t>
      </w:r>
      <w:r w:rsidRPr="38114642">
        <w:rPr>
          <w:i/>
          <w:iCs/>
        </w:rPr>
        <w:t>Id.</w:t>
      </w:r>
    </w:p>
  </w:footnote>
  <w:footnote w:id="178">
    <w:p w:rsidR="008115D5" w:rsidP="00C736CB" w14:paraId="407E9CFA" w14:textId="77777777">
      <w:pPr>
        <w:pStyle w:val="FootnoteText"/>
      </w:pPr>
      <w:r>
        <w:rPr>
          <w:rStyle w:val="FootnoteReference"/>
        </w:rPr>
        <w:footnoteRef/>
      </w:r>
      <w:r>
        <w:t xml:space="preserve"> 47 CFR § 1.50004(k), (l), (m) (not yet effective); </w:t>
      </w:r>
      <w:r w:rsidRPr="00BF67FE">
        <w:rPr>
          <w:i/>
          <w:iCs/>
        </w:rPr>
        <w:t>2020 Supply Chain Order</w:t>
      </w:r>
      <w:r>
        <w:t>, 35 FCC Rcd at 14358-61, paras. 183-93.</w:t>
      </w:r>
    </w:p>
  </w:footnote>
  <w:footnote w:id="179">
    <w:p w:rsidR="008115D5" w:rsidP="00C736CB" w14:paraId="5458F3E4" w14:textId="77777777">
      <w:pPr>
        <w:pStyle w:val="FootnoteText"/>
      </w:pPr>
      <w:r w:rsidRPr="00EE447B">
        <w:rPr>
          <w:rStyle w:val="FootnoteReference"/>
          <w:sz w:val="20"/>
        </w:rPr>
        <w:footnoteRef/>
      </w:r>
      <w:r>
        <w:t xml:space="preserve"> 47 U.S.C. § 1603(d)(8)(A).</w:t>
      </w:r>
    </w:p>
  </w:footnote>
  <w:footnote w:id="180">
    <w:p w:rsidR="008115D5" w:rsidP="00C736CB" w14:paraId="73916032" w14:textId="77777777">
      <w:pPr>
        <w:pStyle w:val="FootnoteText"/>
      </w:pPr>
      <w:r w:rsidRPr="00EE447B">
        <w:rPr>
          <w:rStyle w:val="FootnoteReference"/>
          <w:sz w:val="20"/>
        </w:rPr>
        <w:footnoteRef/>
      </w:r>
      <w:r>
        <w:t xml:space="preserve"> </w:t>
      </w:r>
      <w:r w:rsidRPr="00BF67FE">
        <w:rPr>
          <w:i/>
          <w:iCs/>
        </w:rPr>
        <w:t>Id</w:t>
      </w:r>
      <w:r>
        <w:t>.</w:t>
      </w:r>
    </w:p>
  </w:footnote>
  <w:footnote w:id="181">
    <w:p w:rsidR="008115D5" w:rsidP="00C736CB" w14:paraId="2B244D5C" w14:textId="77777777">
      <w:pPr>
        <w:pStyle w:val="FootnoteText"/>
      </w:pPr>
      <w:r w:rsidRPr="00EE447B">
        <w:rPr>
          <w:rStyle w:val="FootnoteReference"/>
          <w:sz w:val="20"/>
        </w:rPr>
        <w:footnoteRef/>
      </w:r>
      <w:r>
        <w:t xml:space="preserve"> </w:t>
      </w:r>
      <w:r w:rsidRPr="00BF67FE">
        <w:rPr>
          <w:i/>
          <w:iCs/>
        </w:rPr>
        <w:t>2020 Supply Chain Order</w:t>
      </w:r>
      <w:r>
        <w:t>, 35 FCC Rcd at 14359, para. 183.</w:t>
      </w:r>
    </w:p>
  </w:footnote>
  <w:footnote w:id="182">
    <w:p w:rsidR="008115D5" w:rsidP="00C736CB" w14:paraId="2AB88B2E" w14:textId="77777777">
      <w:pPr>
        <w:pStyle w:val="FootnoteText"/>
      </w:pPr>
      <w:r w:rsidRPr="00EE447B">
        <w:rPr>
          <w:rStyle w:val="FootnoteReference"/>
          <w:sz w:val="20"/>
        </w:rPr>
        <w:footnoteRef/>
      </w:r>
      <w:r>
        <w:t xml:space="preserve"> </w:t>
      </w:r>
      <w:r w:rsidRPr="00BF67FE">
        <w:rPr>
          <w:i/>
          <w:iCs/>
        </w:rPr>
        <w:t>Id</w:t>
      </w:r>
      <w:r>
        <w:t>. at 14359, pa</w:t>
      </w:r>
      <w:r>
        <w:t>ra. 184.</w:t>
      </w:r>
    </w:p>
  </w:footnote>
  <w:footnote w:id="183">
    <w:p w:rsidR="008115D5" w:rsidP="00C736CB" w14:paraId="04C02580" w14:textId="77777777">
      <w:pPr>
        <w:pStyle w:val="FootnoteText"/>
      </w:pPr>
      <w:r w:rsidRPr="00EE447B">
        <w:rPr>
          <w:rStyle w:val="FootnoteReference"/>
          <w:sz w:val="20"/>
        </w:rPr>
        <w:footnoteRef/>
      </w:r>
      <w:r>
        <w:t xml:space="preserve"> 47 CFR § 1.50004(k)(2) (not yet effective).</w:t>
      </w:r>
    </w:p>
  </w:footnote>
  <w:footnote w:id="184">
    <w:p w:rsidR="008115D5" w:rsidP="00C736CB" w14:paraId="5A6B6568" w14:textId="77777777">
      <w:pPr>
        <w:pStyle w:val="FootnoteText"/>
      </w:pPr>
      <w:r w:rsidRPr="00EE447B">
        <w:rPr>
          <w:rStyle w:val="FootnoteReference"/>
          <w:sz w:val="20"/>
        </w:rPr>
        <w:footnoteRef/>
      </w:r>
      <w:r>
        <w:t xml:space="preserve"> </w:t>
      </w:r>
      <w:r w:rsidRPr="00192310">
        <w:t xml:space="preserve">47 </w:t>
      </w:r>
      <w:r>
        <w:t>U.S.C. § 1603</w:t>
      </w:r>
      <w:r w:rsidRPr="00EE447B">
        <w:t xml:space="preserve">(e)(2); </w:t>
      </w:r>
      <w:r w:rsidRPr="00BF67FE">
        <w:rPr>
          <w:i/>
          <w:iCs/>
        </w:rPr>
        <w:t>2020 Supply Chain Order</w:t>
      </w:r>
      <w:r>
        <w:t>, 35 FCC Rcd at 14359-60, para. 186.</w:t>
      </w:r>
    </w:p>
  </w:footnote>
  <w:footnote w:id="185">
    <w:p w:rsidR="008115D5" w:rsidP="00C736CB" w14:paraId="651E32AD" w14:textId="77777777">
      <w:pPr>
        <w:pStyle w:val="FootnoteText"/>
      </w:pPr>
      <w:r w:rsidRPr="38114642">
        <w:rPr>
          <w:rStyle w:val="FootnoteReference"/>
          <w:sz w:val="20"/>
        </w:rPr>
        <w:footnoteRef/>
      </w:r>
      <w:r>
        <w:t xml:space="preserve"> 47 CFR § 1.50004(l) (not yet effective);</w:t>
      </w:r>
      <w:r w:rsidRPr="38114642">
        <w:rPr>
          <w:i/>
          <w:iCs/>
        </w:rPr>
        <w:t xml:space="preserve"> 2020 Supply Chain Order</w:t>
      </w:r>
      <w:r>
        <w:t>, 35 FCC Rcd at 14359-60, paras. 186-189.</w:t>
      </w:r>
    </w:p>
  </w:footnote>
  <w:footnote w:id="186">
    <w:p w:rsidR="008115D5" w:rsidP="00C736CB" w14:paraId="528B0644" w14:textId="77777777">
      <w:pPr>
        <w:pStyle w:val="FootnoteText"/>
      </w:pPr>
      <w:r w:rsidRPr="38114642">
        <w:rPr>
          <w:rStyle w:val="FootnoteReference"/>
          <w:sz w:val="20"/>
        </w:rPr>
        <w:footnoteRef/>
      </w:r>
      <w:r>
        <w:t xml:space="preserve"> </w:t>
      </w:r>
      <w:r w:rsidRPr="00BF67FE">
        <w:rPr>
          <w:i/>
          <w:iCs/>
        </w:rPr>
        <w:t>2021 Supply Chain Order</w:t>
      </w:r>
      <w:r>
        <w:t xml:space="preserve"> at 43, para. 104.</w:t>
      </w:r>
    </w:p>
  </w:footnote>
  <w:footnote w:id="187">
    <w:p w:rsidR="008115D5" w:rsidP="00C736CB" w14:paraId="3A7C3C5D" w14:textId="77777777">
      <w:pPr>
        <w:pStyle w:val="FootnoteText"/>
      </w:pPr>
      <w:r w:rsidRPr="00EE447B">
        <w:rPr>
          <w:rStyle w:val="FootnoteReference"/>
          <w:sz w:val="20"/>
        </w:rPr>
        <w:footnoteRef/>
      </w:r>
      <w:r>
        <w:t xml:space="preserve"> 47 CFR § 1.50004(l)(3) (not yet effective). </w:t>
      </w:r>
    </w:p>
  </w:footnote>
  <w:footnote w:id="188">
    <w:p w:rsidR="008115D5" w:rsidRPr="00192310" w:rsidP="00C736CB" w14:paraId="4B249792" w14:textId="77777777">
      <w:pPr>
        <w:pStyle w:val="FootnoteText"/>
      </w:pPr>
      <w:r w:rsidRPr="00EE447B">
        <w:rPr>
          <w:rStyle w:val="FootnoteReference"/>
          <w:sz w:val="20"/>
        </w:rPr>
        <w:footnoteRef/>
      </w:r>
      <w:r w:rsidRPr="00192310">
        <w:t xml:space="preserve"> 47 </w:t>
      </w:r>
      <w:r>
        <w:t>U.S.C. § 1603(e)(4)(A);</w:t>
      </w:r>
      <w:r w:rsidRPr="00192310">
        <w:t xml:space="preserve"> 47 CFR § 1.50004(m)(1)</w:t>
      </w:r>
      <w:r>
        <w:t xml:space="preserve"> (not yet effective</w:t>
      </w:r>
      <w:r w:rsidRPr="00192310">
        <w:t>).</w:t>
      </w:r>
    </w:p>
  </w:footnote>
  <w:footnote w:id="189">
    <w:p w:rsidR="008115D5" w:rsidP="00C736CB" w14:paraId="55D7A96F" w14:textId="77777777">
      <w:pPr>
        <w:pStyle w:val="FootnoteText"/>
      </w:pPr>
      <w:r w:rsidRPr="00EE447B">
        <w:rPr>
          <w:rStyle w:val="FootnoteReference"/>
          <w:sz w:val="20"/>
        </w:rPr>
        <w:footnoteRef/>
      </w:r>
      <w:r>
        <w:t xml:space="preserve"> </w:t>
      </w:r>
      <w:r w:rsidRPr="00121B58">
        <w:rPr>
          <w:i/>
          <w:iCs/>
        </w:rPr>
        <w:t>Id</w:t>
      </w:r>
      <w:r>
        <w:t>.</w:t>
      </w:r>
    </w:p>
  </w:footnote>
  <w:footnote w:id="190">
    <w:p w:rsidR="008115D5" w:rsidRPr="00192310" w:rsidP="00C736CB" w14:paraId="4D8BE8A8" w14:textId="77777777">
      <w:pPr>
        <w:pStyle w:val="FootnoteText"/>
      </w:pPr>
      <w:r w:rsidRPr="38114642">
        <w:rPr>
          <w:rStyle w:val="FootnoteReference"/>
          <w:sz w:val="20"/>
        </w:rPr>
        <w:footnoteRef/>
      </w:r>
      <w:r w:rsidRPr="00192310">
        <w:t xml:space="preserve"> </w:t>
      </w:r>
      <w:r w:rsidRPr="00192310">
        <w:rPr>
          <w:i/>
          <w:iCs/>
        </w:rPr>
        <w:t xml:space="preserve">See </w:t>
      </w:r>
      <w:r>
        <w:t>47 U.S.C. § 1603(e)(4)(B)</w:t>
      </w:r>
      <w:r w:rsidRPr="00192310">
        <w:t>; 47 CFR § 1.50004(m)(2)</w:t>
      </w:r>
      <w:r>
        <w:t xml:space="preserve"> (not yet effective</w:t>
      </w:r>
      <w:r w:rsidRPr="00192310">
        <w:t>)</w:t>
      </w:r>
      <w:r w:rsidRPr="00EE447B">
        <w:t>;</w:t>
      </w:r>
      <w:r w:rsidRPr="00EE447B">
        <w:rPr>
          <w:i/>
          <w:iCs/>
        </w:rPr>
        <w:t xml:space="preserve"> 2020 Supply Chain Order</w:t>
      </w:r>
      <w:r w:rsidRPr="00EE447B">
        <w:t>, 35 FCC Rcd at 14360, para. 190.</w:t>
      </w:r>
    </w:p>
  </w:footnote>
  <w:footnote w:id="191">
    <w:p w:rsidR="008115D5" w:rsidP="00C736CB" w14:paraId="0B694D00" w14:textId="77777777">
      <w:pPr>
        <w:pStyle w:val="FootnoteText"/>
      </w:pPr>
      <w:r w:rsidRPr="38114642">
        <w:rPr>
          <w:rStyle w:val="FootnoteReference"/>
          <w:sz w:val="20"/>
        </w:rPr>
        <w:footnoteRef/>
      </w:r>
      <w:r>
        <w:t xml:space="preserve"> </w:t>
      </w:r>
      <w:r w:rsidRPr="00BF67FE">
        <w:rPr>
          <w:i/>
          <w:iCs/>
        </w:rPr>
        <w:t xml:space="preserve">2021 </w:t>
      </w:r>
      <w:r>
        <w:rPr>
          <w:i/>
          <w:iCs/>
        </w:rPr>
        <w:t xml:space="preserve">Supply Chain </w:t>
      </w:r>
      <w:r w:rsidRPr="00BF67FE">
        <w:rPr>
          <w:i/>
          <w:iCs/>
        </w:rPr>
        <w:t>Order</w:t>
      </w:r>
      <w:r w:rsidRPr="00BF67FE">
        <w:t xml:space="preserve"> at 43</w:t>
      </w:r>
      <w:r>
        <w:t>, para. 104.</w:t>
      </w:r>
    </w:p>
  </w:footnote>
  <w:footnote w:id="192">
    <w:p w:rsidR="008115D5" w:rsidP="00C736CB" w14:paraId="61BBB5EA" w14:textId="77777777">
      <w:pPr>
        <w:pStyle w:val="FootnoteText"/>
      </w:pPr>
      <w:r w:rsidRPr="00EE447B">
        <w:rPr>
          <w:rStyle w:val="FootnoteReference"/>
          <w:sz w:val="20"/>
        </w:rPr>
        <w:footnoteRef/>
      </w:r>
      <w:r>
        <w:t xml:space="preserve"> 47 U.S.C. § 1603(d)(8).   </w:t>
      </w:r>
    </w:p>
  </w:footnote>
  <w:footnote w:id="193">
    <w:p w:rsidR="008115D5" w:rsidP="00C736CB" w14:paraId="793EC5B2" w14:textId="77777777">
      <w:pPr>
        <w:pStyle w:val="FootnoteText"/>
      </w:pPr>
      <w:r w:rsidRPr="38114642">
        <w:rPr>
          <w:rStyle w:val="FootnoteReference"/>
          <w:sz w:val="20"/>
        </w:rPr>
        <w:footnoteRef/>
      </w:r>
      <w:r>
        <w:t xml:space="preserve"> </w:t>
      </w:r>
      <w:r>
        <w:rPr>
          <w:i/>
          <w:iCs/>
        </w:rPr>
        <w:t>2020 Supply Chain Order</w:t>
      </w:r>
      <w:r w:rsidRPr="00A33F59">
        <w:t>, 35 FCC Rcd at 14370, para. 215</w:t>
      </w:r>
      <w:r>
        <w:t>.</w:t>
      </w:r>
    </w:p>
  </w:footnote>
  <w:footnote w:id="194">
    <w:p w:rsidR="008115D5" w:rsidP="00C736CB" w14:paraId="783328E2" w14:textId="77777777">
      <w:pPr>
        <w:pStyle w:val="FootnoteText"/>
      </w:pPr>
      <w:r w:rsidRPr="38114642">
        <w:rPr>
          <w:rStyle w:val="FootnoteReference"/>
          <w:sz w:val="20"/>
        </w:rPr>
        <w:footnoteRef/>
      </w:r>
      <w:r>
        <w:t xml:space="preserve"> </w:t>
      </w:r>
      <w:r w:rsidRPr="00EE447B">
        <w:rPr>
          <w:i/>
          <w:iCs/>
        </w:rPr>
        <w:t>Id</w:t>
      </w:r>
      <w:r w:rsidRPr="00A33F59">
        <w:t>. at 14360, para. 189</w:t>
      </w:r>
      <w:r>
        <w:t>.</w:t>
      </w:r>
    </w:p>
  </w:footnote>
  <w:footnote w:id="195">
    <w:p w:rsidR="008115D5" w:rsidP="00C736CB" w14:paraId="5DB4639B" w14:textId="77777777">
      <w:pPr>
        <w:pStyle w:val="FootnoteText"/>
      </w:pPr>
      <w:r w:rsidRPr="00EE447B">
        <w:rPr>
          <w:rStyle w:val="FootnoteReference"/>
          <w:sz w:val="20"/>
        </w:rPr>
        <w:footnoteRef/>
      </w:r>
      <w:r>
        <w:t xml:space="preserve"> </w:t>
      </w:r>
      <w:r>
        <w:rPr>
          <w:i/>
          <w:iCs/>
        </w:rPr>
        <w:t>2020 Supply Chai</w:t>
      </w:r>
      <w:r>
        <w:rPr>
          <w:i/>
          <w:iCs/>
        </w:rPr>
        <w:t>n Order</w:t>
      </w:r>
      <w:r w:rsidRPr="00A33F59">
        <w:t>, 35 FCC Rcd at 14369-70, para. 214 &amp; n.610</w:t>
      </w:r>
      <w:r>
        <w:t xml:space="preserve">; </w:t>
      </w:r>
      <w:r w:rsidRPr="00192310">
        <w:rPr>
          <w:i/>
          <w:iCs/>
        </w:rPr>
        <w:t xml:space="preserve">Protecting Against National Security Threats to the Communications Supply Chain Through FCC Programs, </w:t>
      </w:r>
      <w:r w:rsidRPr="00192310">
        <w:t>WC Docket No. 18-89, Declaratory Ruling and Second Further Notice of Proposed Rulemaking, 35 FCC Rcd 7</w:t>
      </w:r>
      <w:r w:rsidRPr="00192310">
        <w:t>821</w:t>
      </w:r>
      <w:r>
        <w:t>,</w:t>
      </w:r>
      <w:r w:rsidRPr="00192310">
        <w:t xml:space="preserve"> </w:t>
      </w:r>
      <w:r>
        <w:t xml:space="preserve">7838, para. 56 </w:t>
      </w:r>
      <w:r w:rsidRPr="00192310">
        <w:t>(2020)</w:t>
      </w:r>
      <w:r w:rsidRPr="00CD4F11">
        <w:t>.</w:t>
      </w:r>
    </w:p>
  </w:footnote>
  <w:footnote w:id="196">
    <w:p w:rsidR="008115D5" w:rsidP="00C736CB" w14:paraId="6C5E14BC" w14:textId="77777777">
      <w:pPr>
        <w:pStyle w:val="FootnoteText"/>
      </w:pPr>
      <w:r w:rsidRPr="00EE447B">
        <w:rPr>
          <w:rStyle w:val="FootnoteReference"/>
          <w:sz w:val="20"/>
        </w:rPr>
        <w:footnoteRef/>
      </w:r>
      <w:r>
        <w:t xml:space="preserve"> </w:t>
      </w:r>
      <w:r>
        <w:rPr>
          <w:i/>
          <w:iCs/>
        </w:rPr>
        <w:t>2020 Supply Chain Order</w:t>
      </w:r>
      <w:r w:rsidRPr="00A33F59">
        <w:t>, 35 FCC Rcd at 1436</w:t>
      </w:r>
      <w:r>
        <w:t xml:space="preserve">1, para. 193. </w:t>
      </w:r>
    </w:p>
  </w:footnote>
  <w:footnote w:id="197">
    <w:p w:rsidR="008115D5" w:rsidRPr="00264F76" w:rsidP="00C736CB" w14:paraId="704E71EC" w14:textId="77777777">
      <w:pPr>
        <w:pStyle w:val="FootnoteText"/>
      </w:pPr>
      <w:r w:rsidRPr="00264F76">
        <w:rPr>
          <w:rStyle w:val="FootnoteReference"/>
          <w:sz w:val="20"/>
        </w:rPr>
        <w:footnoteRef/>
      </w:r>
      <w:r w:rsidRPr="00264F76">
        <w:t xml:space="preserve"> As a condition of receiving funding, recipients “must provide consent to allow vendors or contractors used by the recipient in connection with the Reimbursement Program to release confidential information to the auditor, reviewer, or other representative.</w:t>
      </w:r>
      <w:r w:rsidRPr="00264F76">
        <w:t>” 47 CFR § 1.50004(o).</w:t>
      </w:r>
    </w:p>
  </w:footnote>
  <w:footnote w:id="198">
    <w:p w:rsidR="008115D5" w:rsidP="00C736CB" w14:paraId="0C754DDE" w14:textId="77777777">
      <w:pPr>
        <w:pStyle w:val="FootnoteText"/>
      </w:pPr>
      <w:r w:rsidRPr="5D68CEEE">
        <w:rPr>
          <w:rStyle w:val="FootnoteReference"/>
          <w:sz w:val="20"/>
        </w:rPr>
        <w:footnoteRef/>
      </w:r>
      <w:r>
        <w:t xml:space="preserve"> 47 CFR § 1.50004(l)(3) (not yet effective); </w:t>
      </w:r>
      <w:r w:rsidRPr="0D0FACF1">
        <w:rPr>
          <w:i/>
          <w:iCs/>
        </w:rPr>
        <w:t>2020 Supply Chain Order</w:t>
      </w:r>
      <w:r>
        <w:t xml:space="preserve">, 35 FCC Rcd at 14360, para. 189.  </w:t>
      </w:r>
    </w:p>
  </w:footnote>
  <w:footnote w:id="199">
    <w:p w:rsidR="008115D5" w:rsidP="00C736CB" w14:paraId="0B38FD1E" w14:textId="77777777">
      <w:pPr>
        <w:pStyle w:val="FootnoteText"/>
      </w:pPr>
      <w:r w:rsidRPr="41E5260A">
        <w:rPr>
          <w:rStyle w:val="FootnoteReference"/>
          <w:sz w:val="20"/>
        </w:rPr>
        <w:footnoteRef/>
      </w:r>
      <w:r>
        <w:t xml:space="preserve"> ADTRAN Reimbursement Process Public Notice Comments at 6-7.</w:t>
      </w:r>
    </w:p>
  </w:footnote>
  <w:footnote w:id="200">
    <w:p w:rsidR="008115D5" w:rsidP="00C736CB" w14:paraId="2453159B" w14:textId="77777777">
      <w:pPr>
        <w:pStyle w:val="FootnoteText"/>
      </w:pPr>
      <w:r w:rsidRPr="00EE447B">
        <w:rPr>
          <w:rStyle w:val="FootnoteReference"/>
          <w:sz w:val="20"/>
        </w:rPr>
        <w:footnoteRef/>
      </w:r>
      <w:r>
        <w:t xml:space="preserve"> </w:t>
      </w:r>
      <w:r w:rsidRPr="00BF67FE">
        <w:rPr>
          <w:i/>
          <w:iCs/>
        </w:rPr>
        <w:t>Id</w:t>
      </w:r>
      <w:r>
        <w:t xml:space="preserve">. at 6-7. </w:t>
      </w:r>
    </w:p>
  </w:footnote>
  <w:footnote w:id="201">
    <w:p w:rsidR="008115D5" w:rsidP="00C736CB" w14:paraId="2270AD82" w14:textId="77777777">
      <w:pPr>
        <w:pStyle w:val="FootnoteText"/>
      </w:pPr>
      <w:r w:rsidRPr="4C9E1DA4">
        <w:rPr>
          <w:rStyle w:val="FootnoteReference"/>
          <w:sz w:val="20"/>
        </w:rPr>
        <w:footnoteRef/>
      </w:r>
      <w:r>
        <w:t xml:space="preserve"> </w:t>
      </w:r>
      <w:r w:rsidRPr="4C9E1DA4">
        <w:t>ADTRAN</w:t>
      </w:r>
      <w:r>
        <w:t xml:space="preserve"> </w:t>
      </w:r>
      <w:r w:rsidRPr="582AF13E">
        <w:t xml:space="preserve">Reimbursement Process </w:t>
      </w:r>
      <w:r>
        <w:t xml:space="preserve">Public Notice </w:t>
      </w:r>
      <w:r w:rsidRPr="582AF13E">
        <w:t>Commen</w:t>
      </w:r>
      <w:r w:rsidRPr="582AF13E">
        <w:t>ts at 7.</w:t>
      </w:r>
      <w:r>
        <w:t xml:space="preserve"> </w:t>
      </w:r>
      <w:r w:rsidRPr="77659CA4">
        <w:t>We note that under FOIA and the Communications Act of 1934, as amended, the Commission is authorized to withhold publication of records containing secret information affecting the national defense.</w:t>
      </w:r>
      <w:r>
        <w:t xml:space="preserve"> </w:t>
      </w:r>
      <w:r w:rsidRPr="00E138A7">
        <w:rPr>
          <w:i/>
          <w:iCs/>
        </w:rPr>
        <w:t xml:space="preserve"> </w:t>
      </w:r>
      <w:r w:rsidRPr="00A075E3">
        <w:rPr>
          <w:i/>
          <w:iCs/>
        </w:rPr>
        <w:t xml:space="preserve">See </w:t>
      </w:r>
      <w:r>
        <w:t>5 U.S.C. § 552(b)(3) (exempting from require</w:t>
      </w:r>
      <w:r>
        <w:t>d public disclosure under the FOIA records that are specifically exempted from disclosure by another statute); 47 U.S.C. § 154(j) (authorizing the Commission to “withhold publication of records or proceedings containing secret information affecting the nat</w:t>
      </w:r>
      <w:r>
        <w:t>ional defense”).</w:t>
      </w:r>
    </w:p>
  </w:footnote>
  <w:footnote w:id="202">
    <w:p w:rsidR="008115D5" w:rsidP="00C736CB" w14:paraId="57BD11AB" w14:textId="77777777">
      <w:pPr>
        <w:pStyle w:val="FootnoteText"/>
      </w:pPr>
      <w:r w:rsidRPr="628F17D8">
        <w:rPr>
          <w:rStyle w:val="FootnoteReference"/>
          <w:sz w:val="20"/>
        </w:rPr>
        <w:footnoteRef/>
      </w:r>
      <w:r>
        <w:t xml:space="preserve"> RWA Reimbursement Process Public Notice Comments at 9. </w:t>
      </w:r>
    </w:p>
  </w:footnote>
  <w:footnote w:id="203">
    <w:p w:rsidR="008115D5" w:rsidP="00C736CB" w14:paraId="0B5BA4DE" w14:textId="77777777">
      <w:pPr>
        <w:pStyle w:val="FootnoteText"/>
      </w:pPr>
      <w:r w:rsidRPr="00EE447B">
        <w:rPr>
          <w:rStyle w:val="FootnoteReference"/>
          <w:sz w:val="20"/>
        </w:rPr>
        <w:footnoteRef/>
      </w:r>
      <w:r>
        <w:t xml:space="preserve"> 47 CFR § 0.457(d).</w:t>
      </w:r>
    </w:p>
  </w:footnote>
  <w:footnote w:id="204">
    <w:p w:rsidR="008115D5" w:rsidRPr="00264F76" w:rsidP="00C736CB" w14:paraId="55D080A9" w14:textId="77777777">
      <w:pPr>
        <w:pStyle w:val="FootnoteText"/>
      </w:pPr>
      <w:r w:rsidRPr="00264F76">
        <w:rPr>
          <w:rStyle w:val="FootnoteReference"/>
          <w:sz w:val="20"/>
        </w:rPr>
        <w:footnoteRef/>
      </w:r>
      <w:r w:rsidRPr="00264F76">
        <w:t xml:space="preserve"> S</w:t>
      </w:r>
      <w:r w:rsidRPr="00264F76">
        <w:rPr>
          <w:i/>
          <w:iCs/>
        </w:rPr>
        <w:t>ee</w:t>
      </w:r>
      <w:r w:rsidRPr="00264F76">
        <w:t xml:space="preserve"> 5 U.S.C. § 552(b); 47 CFR § 0.457(d)(2);</w:t>
      </w:r>
      <w:r w:rsidRPr="1C9CAD26">
        <w:rPr>
          <w:i/>
          <w:iCs/>
        </w:rPr>
        <w:t xml:space="preserve"> 2020 Supply Chain Order</w:t>
      </w:r>
      <w:r>
        <w:t>, 35 FCC Rcd at 14360, para. 189.</w:t>
      </w:r>
    </w:p>
  </w:footnote>
  <w:footnote w:id="205">
    <w:p w:rsidR="008115D5" w:rsidRPr="00264F76" w:rsidP="00C736CB" w14:paraId="3AE4AD16" w14:textId="77777777">
      <w:pPr>
        <w:pStyle w:val="FootnoteText"/>
      </w:pPr>
      <w:r w:rsidRPr="00264F76">
        <w:rPr>
          <w:rStyle w:val="FootnoteReference"/>
          <w:sz w:val="20"/>
        </w:rPr>
        <w:footnoteRef/>
      </w:r>
      <w:r w:rsidRPr="00264F76">
        <w:t xml:space="preserve"> </w:t>
      </w:r>
      <w:r w:rsidRPr="00264F76">
        <w:rPr>
          <w:i/>
          <w:iCs/>
        </w:rPr>
        <w:t xml:space="preserve">See </w:t>
      </w:r>
      <w:r w:rsidRPr="00264F76">
        <w:t>47 CFR § 1.50004(a)(3)(i</w:t>
      </w:r>
      <w:r w:rsidRPr="00264F76">
        <w:t xml:space="preserve">)(A) (requiring applicants to certify as of the date of application submission that the provider has developed a plan for the permanent removal, replacement, and disposal of covered communications equipment or services); </w:t>
      </w:r>
      <w:r w:rsidRPr="1C9CAD26">
        <w:rPr>
          <w:i/>
          <w:iCs/>
        </w:rPr>
        <w:t>2020 Supply Chain Order</w:t>
      </w:r>
      <w:r>
        <w:t>, 35 FCC Rcd</w:t>
      </w:r>
      <w:r>
        <w:t xml:space="preserve"> at 14369-70, para. 214 &amp; n.610 (citing 5 U.S.C. § 552(b)(4))</w:t>
      </w:r>
      <w:r w:rsidRPr="00264F76">
        <w:t>.</w:t>
      </w:r>
    </w:p>
  </w:footnote>
  <w:footnote w:id="206">
    <w:p w:rsidR="008115D5" w:rsidRPr="00264F76" w:rsidP="00C736CB" w14:paraId="71D0E8BA" w14:textId="77777777">
      <w:pPr>
        <w:pStyle w:val="FootnoteText"/>
      </w:pPr>
      <w:r w:rsidRPr="00264F76">
        <w:rPr>
          <w:rStyle w:val="FootnoteReference"/>
          <w:sz w:val="20"/>
        </w:rPr>
        <w:footnoteRef/>
      </w:r>
      <w:r w:rsidRPr="00264F76">
        <w:t xml:space="preserve"> </w:t>
      </w:r>
      <w:r w:rsidRPr="00264F76">
        <w:rPr>
          <w:i/>
          <w:iCs/>
        </w:rPr>
        <w:t xml:space="preserve">See </w:t>
      </w:r>
      <w:r w:rsidRPr="00264F76">
        <w:t>47 CFR § 1.50004(a)(3)(i)(A) (requiring applicants to certify as of the date of application submission that the provider has developed a specific timeline for the permanent removal, repla</w:t>
      </w:r>
      <w:r w:rsidRPr="00264F76">
        <w:t xml:space="preserve">cement, and disposal of covered communications equipment or services); </w:t>
      </w:r>
      <w:r w:rsidRPr="00264F76">
        <w:rPr>
          <w:i/>
          <w:iCs/>
        </w:rPr>
        <w:t>id</w:t>
      </w:r>
      <w:r w:rsidRPr="00264F76">
        <w:t>. § 1.50005(c)(1)(iv) (requests for funding allocation must include a specific timeline for the permanent removal, replacement, and disposal of covered communications equipment and se</w:t>
      </w:r>
      <w:r w:rsidRPr="00264F76">
        <w:t>rvices).</w:t>
      </w:r>
    </w:p>
  </w:footnote>
  <w:footnote w:id="207">
    <w:p w:rsidR="008115D5" w:rsidRPr="00264F76" w:rsidP="00C736CB" w14:paraId="767D0933" w14:textId="77777777">
      <w:pPr>
        <w:widowControl/>
        <w:autoSpaceDE w:val="0"/>
        <w:autoSpaceDN w:val="0"/>
        <w:adjustRightInd w:val="0"/>
        <w:spacing w:after="120"/>
        <w:rPr>
          <w:snapToGrid/>
          <w:kern w:val="0"/>
          <w:sz w:val="20"/>
        </w:rPr>
      </w:pPr>
      <w:r w:rsidRPr="00264F76">
        <w:rPr>
          <w:rStyle w:val="FootnoteReference"/>
          <w:sz w:val="20"/>
        </w:rPr>
        <w:footnoteRef/>
      </w:r>
      <w:r w:rsidRPr="00264F76">
        <w:rPr>
          <w:sz w:val="20"/>
        </w:rPr>
        <w:t xml:space="preserve"> </w:t>
      </w:r>
      <w:r w:rsidRPr="7D655679">
        <w:rPr>
          <w:sz w:val="20"/>
        </w:rPr>
        <w:t>S</w:t>
      </w:r>
      <w:r w:rsidRPr="003B3B27">
        <w:rPr>
          <w:i/>
          <w:snapToGrid/>
          <w:kern w:val="0"/>
          <w:sz w:val="20"/>
        </w:rPr>
        <w:t xml:space="preserve">ee </w:t>
      </w:r>
      <w:r w:rsidRPr="00657D16">
        <w:rPr>
          <w:snapToGrid/>
          <w:kern w:val="0"/>
          <w:sz w:val="20"/>
        </w:rPr>
        <w:t xml:space="preserve">5 U.S.C. § 552(b)(4) (exempting </w:t>
      </w:r>
      <w:r w:rsidRPr="000875D4">
        <w:rPr>
          <w:snapToGrid/>
          <w:kern w:val="0"/>
          <w:sz w:val="20"/>
        </w:rPr>
        <w:t xml:space="preserve">from disclosure “trade secrets and commercial or financial information obtained from a person and privileged or confidential”); 47 CFR § 0.457(d)(2) (“In </w:t>
      </w:r>
      <w:r w:rsidRPr="00BD1D17">
        <w:rPr>
          <w:snapToGrid/>
          <w:kern w:val="0"/>
          <w:sz w:val="20"/>
        </w:rPr>
        <w:t>the absence of a request for nondisclosure, the Commiss</w:t>
      </w:r>
      <w:r w:rsidRPr="00BD1D17">
        <w:rPr>
          <w:snapToGrid/>
          <w:kern w:val="0"/>
          <w:sz w:val="20"/>
        </w:rPr>
        <w:t>ion may . . . determine on its own motion that the materials should not be routinely available for public inspection</w:t>
      </w:r>
      <w:r w:rsidRPr="73B750F6">
        <w:rPr>
          <w:snapToGrid/>
          <w:kern w:val="0"/>
          <w:sz w:val="20"/>
        </w:rPr>
        <w:t>.”);</w:t>
      </w:r>
      <w:r w:rsidRPr="73B750F6">
        <w:rPr>
          <w:i/>
          <w:iCs/>
          <w:sz w:val="20"/>
        </w:rPr>
        <w:t xml:space="preserve"> 2020 Supply Chain Order</w:t>
      </w:r>
      <w:r w:rsidRPr="73B750F6">
        <w:rPr>
          <w:sz w:val="20"/>
        </w:rPr>
        <w:t>, 35 FCC Rcd at 14360, para. 189.</w:t>
      </w:r>
    </w:p>
  </w:footnote>
  <w:footnote w:id="208">
    <w:p w:rsidR="008115D5" w:rsidP="00C736CB" w14:paraId="35D6DD71" w14:textId="77777777">
      <w:pPr>
        <w:pStyle w:val="FootnoteText"/>
      </w:pPr>
      <w:r w:rsidRPr="73B750F6">
        <w:rPr>
          <w:rStyle w:val="FootnoteReference"/>
          <w:sz w:val="20"/>
        </w:rPr>
        <w:footnoteRef/>
      </w:r>
      <w:r>
        <w:t xml:space="preserve"> RWA Reimbursement Process Public Notice Comments at 9. </w:t>
      </w:r>
    </w:p>
  </w:footnote>
  <w:footnote w:id="209">
    <w:p w:rsidR="008115D5" w:rsidRPr="00264F76" w:rsidP="00C736CB" w14:paraId="0EFA11E5" w14:textId="77777777">
      <w:pPr>
        <w:pStyle w:val="FootnoteText"/>
      </w:pPr>
      <w:r w:rsidRPr="00264F76">
        <w:rPr>
          <w:rStyle w:val="FootnoteReference"/>
          <w:sz w:val="20"/>
        </w:rPr>
        <w:footnoteRef/>
      </w:r>
      <w:r w:rsidRPr="00264F76">
        <w:t xml:space="preserve"> </w:t>
      </w:r>
      <w:r w:rsidRPr="00264F76">
        <w:rPr>
          <w:i/>
          <w:iCs/>
        </w:rPr>
        <w:t>See</w:t>
      </w:r>
      <w:r w:rsidRPr="00264F76">
        <w:t xml:space="preserve"> 47 CFR § 0.45</w:t>
      </w:r>
      <w:r>
        <w:t>9</w:t>
      </w:r>
      <w:r w:rsidRPr="00264F76">
        <w:t>(</w:t>
      </w:r>
      <w:r>
        <w:t>a</w:t>
      </w:r>
      <w:r w:rsidRPr="00264F76">
        <w:t>)(</w:t>
      </w:r>
      <w:r>
        <w:t xml:space="preserve">4) (Commission may use abbreviated means for submitters to request confidential treatment of information); </w:t>
      </w:r>
      <w:r>
        <w:rPr>
          <w:i/>
          <w:iCs/>
        </w:rPr>
        <w:t>id</w:t>
      </w:r>
      <w:r>
        <w:t>.</w:t>
      </w:r>
      <w:r>
        <w:rPr>
          <w:i/>
        </w:rPr>
        <w:t xml:space="preserve"> </w:t>
      </w:r>
      <w:r w:rsidRPr="00264F76">
        <w:t>§ 0.459 (procedures for requesting that materials or information submitted to the Commission be withheld from public inspection);</w:t>
      </w:r>
      <w:r w:rsidRPr="00264F76">
        <w:rPr>
          <w:i/>
          <w:iCs/>
        </w:rPr>
        <w:t xml:space="preserve"> id</w:t>
      </w:r>
      <w:r w:rsidRPr="00264F76">
        <w:t>. § 0.457</w:t>
      </w:r>
      <w:r w:rsidRPr="00264F76">
        <w:t xml:space="preserve"> (listing records that are not routinely available for public inspection pursuant to 5 U.S.C. § 552(b)).</w:t>
      </w:r>
    </w:p>
  </w:footnote>
  <w:footnote w:id="210">
    <w:p w:rsidR="008115D5" w:rsidP="00C736CB" w14:paraId="2A8D2980" w14:textId="77777777">
      <w:pPr>
        <w:pStyle w:val="FootnoteText"/>
      </w:pPr>
      <w:r w:rsidRPr="00EE447B">
        <w:rPr>
          <w:rStyle w:val="FootnoteReference"/>
          <w:sz w:val="20"/>
        </w:rPr>
        <w:footnoteRef/>
      </w:r>
      <w:r>
        <w:t xml:space="preserve"> 47 U.S.C. § 1603(e)(1). </w:t>
      </w:r>
    </w:p>
  </w:footnote>
  <w:footnote w:id="211">
    <w:p w:rsidR="008115D5" w:rsidRPr="00B84BEB" w:rsidP="00C736CB" w14:paraId="047DECE5" w14:textId="77777777">
      <w:pPr>
        <w:pStyle w:val="FootnoteText"/>
      </w:pPr>
      <w:r w:rsidRPr="00BF67FE">
        <w:rPr>
          <w:rStyle w:val="FootnoteReference"/>
          <w:sz w:val="20"/>
        </w:rPr>
        <w:footnoteRef/>
      </w:r>
      <w:r w:rsidRPr="005E6584">
        <w:t xml:space="preserve"> </w:t>
      </w:r>
      <w:r w:rsidRPr="00BF67FE">
        <w:rPr>
          <w:i/>
          <w:iCs/>
        </w:rPr>
        <w:t>Id</w:t>
      </w:r>
      <w:r w:rsidRPr="005E6584">
        <w:t xml:space="preserve">. </w:t>
      </w:r>
      <w:r w:rsidRPr="00A87728">
        <w:t>§</w:t>
      </w:r>
      <w:r w:rsidRPr="00EF5BC1">
        <w:t xml:space="preserve"> 1603(e)(3)(A)-(B).</w:t>
      </w:r>
      <w:r w:rsidRPr="00B84BEB">
        <w:t xml:space="preserve"> </w:t>
      </w:r>
    </w:p>
  </w:footnote>
  <w:footnote w:id="212">
    <w:p w:rsidR="008115D5" w:rsidP="00C736CB" w14:paraId="6DF5B50D" w14:textId="77777777">
      <w:pPr>
        <w:pStyle w:val="FootnoteText"/>
      </w:pPr>
      <w:r w:rsidRPr="00EE447B">
        <w:rPr>
          <w:rStyle w:val="FootnoteReference"/>
          <w:sz w:val="20"/>
        </w:rPr>
        <w:footnoteRef/>
      </w:r>
      <w:r>
        <w:t xml:space="preserve"> </w:t>
      </w:r>
      <w:r w:rsidRPr="00BF67FE">
        <w:rPr>
          <w:i/>
          <w:iCs/>
        </w:rPr>
        <w:t>2020 Supply Chain Order</w:t>
      </w:r>
      <w:r>
        <w:t xml:space="preserve">, 35 FCC Rcd at 14331, para. 109. </w:t>
      </w:r>
    </w:p>
  </w:footnote>
  <w:footnote w:id="213">
    <w:p w:rsidR="008115D5" w:rsidP="00C736CB" w14:paraId="062FA5D8" w14:textId="77777777">
      <w:pPr>
        <w:pStyle w:val="FootnoteText"/>
      </w:pPr>
      <w:r w:rsidRPr="00EE447B">
        <w:rPr>
          <w:rStyle w:val="FootnoteReference"/>
          <w:sz w:val="20"/>
        </w:rPr>
        <w:footnoteRef/>
      </w:r>
      <w:r>
        <w:t xml:space="preserve"> </w:t>
      </w:r>
      <w:r w:rsidRPr="00BF67FE">
        <w:rPr>
          <w:i/>
          <w:iCs/>
        </w:rPr>
        <w:t>Id</w:t>
      </w:r>
      <w:r>
        <w:t xml:space="preserve">. at 14362, para. 193. </w:t>
      </w:r>
    </w:p>
  </w:footnote>
  <w:footnote w:id="214">
    <w:p w:rsidR="008115D5" w:rsidP="00C736CB" w14:paraId="6CF9F528" w14:textId="77777777">
      <w:pPr>
        <w:pStyle w:val="FootnoteText"/>
      </w:pPr>
      <w:r w:rsidRPr="00EE447B">
        <w:rPr>
          <w:rStyle w:val="FootnoteReference"/>
          <w:sz w:val="20"/>
        </w:rPr>
        <w:footnoteRef/>
      </w:r>
      <w:r>
        <w:t xml:space="preserve"> 47 CFR § 1.50004(o).</w:t>
      </w:r>
    </w:p>
  </w:footnote>
  <w:footnote w:id="215">
    <w:p w:rsidR="008115D5" w:rsidP="00C736CB" w14:paraId="4C3EE762" w14:textId="77777777">
      <w:pPr>
        <w:pStyle w:val="FootnoteText"/>
      </w:pPr>
      <w:r w:rsidRPr="00EE447B">
        <w:rPr>
          <w:rStyle w:val="FootnoteReference"/>
          <w:sz w:val="20"/>
        </w:rPr>
        <w:footnoteRef/>
      </w:r>
      <w:r>
        <w:t xml:space="preserve"> </w:t>
      </w:r>
      <w:r w:rsidRPr="00BF67FE">
        <w:rPr>
          <w:i/>
          <w:iCs/>
        </w:rPr>
        <w:t>Id</w:t>
      </w:r>
      <w:r>
        <w:t>.</w:t>
      </w:r>
    </w:p>
  </w:footnote>
  <w:footnote w:id="216">
    <w:p w:rsidR="008115D5" w:rsidP="00C736CB" w14:paraId="243F6B27" w14:textId="77777777">
      <w:pPr>
        <w:pStyle w:val="FootnoteText"/>
      </w:pPr>
      <w:r w:rsidRPr="00EE447B">
        <w:rPr>
          <w:rStyle w:val="FootnoteReference"/>
          <w:sz w:val="20"/>
        </w:rPr>
        <w:footnoteRef/>
      </w:r>
      <w:r>
        <w:t xml:space="preserve"> </w:t>
      </w:r>
      <w:r w:rsidRPr="00BF67FE">
        <w:rPr>
          <w:i/>
          <w:iCs/>
        </w:rPr>
        <w:t>Id</w:t>
      </w:r>
      <w:r>
        <w:t>.</w:t>
      </w:r>
    </w:p>
  </w:footnote>
  <w:footnote w:id="217">
    <w:p w:rsidR="008115D5" w:rsidP="00C736CB" w14:paraId="2FFE74C3" w14:textId="77777777">
      <w:pPr>
        <w:pStyle w:val="FootnoteText"/>
      </w:pPr>
      <w:r w:rsidRPr="54451BF0">
        <w:rPr>
          <w:rStyle w:val="FootnoteReference"/>
          <w:sz w:val="20"/>
        </w:rPr>
        <w:footnoteRef/>
      </w:r>
      <w:r>
        <w:t xml:space="preserve"> </w:t>
      </w:r>
      <w:r w:rsidRPr="00BF67FE">
        <w:rPr>
          <w:i/>
          <w:iCs/>
        </w:rPr>
        <w:t>2021 Supply Chain Order</w:t>
      </w:r>
      <w:r w:rsidRPr="54451BF0">
        <w:rPr>
          <w:i/>
          <w:iCs/>
        </w:rPr>
        <w:t xml:space="preserve"> </w:t>
      </w:r>
      <w:r w:rsidRPr="54451BF0">
        <w:t>at 45-46</w:t>
      </w:r>
      <w:r>
        <w:t xml:space="preserve">, para. 113. </w:t>
      </w:r>
    </w:p>
  </w:footnote>
  <w:footnote w:id="218">
    <w:p w:rsidR="008115D5" w:rsidP="00C736CB" w14:paraId="4FD21C27" w14:textId="77777777">
      <w:pPr>
        <w:pStyle w:val="FootnoteText"/>
      </w:pPr>
      <w:r w:rsidRPr="00EE447B">
        <w:rPr>
          <w:rStyle w:val="FootnoteReference"/>
          <w:sz w:val="20"/>
        </w:rPr>
        <w:footnoteRef/>
      </w:r>
      <w:r>
        <w:t xml:space="preserve"> </w:t>
      </w:r>
      <w:r w:rsidRPr="00BF67FE">
        <w:rPr>
          <w:i/>
          <w:iCs/>
        </w:rPr>
        <w:t>Id</w:t>
      </w:r>
      <w:r>
        <w:t>.</w:t>
      </w:r>
    </w:p>
  </w:footnote>
  <w:footnote w:id="219">
    <w:p w:rsidR="008115D5" w:rsidP="00C736CB" w14:paraId="4A8EF0AA" w14:textId="77777777">
      <w:pPr>
        <w:pStyle w:val="FootnoteText"/>
      </w:pPr>
      <w:r w:rsidRPr="7F1036A2">
        <w:rPr>
          <w:rStyle w:val="FootnoteReference"/>
          <w:sz w:val="20"/>
        </w:rPr>
        <w:footnoteRef/>
      </w:r>
      <w:r>
        <w:t xml:space="preserve"> </w:t>
      </w:r>
      <w:r w:rsidRPr="00BF67FE">
        <w:rPr>
          <w:i/>
          <w:iCs/>
        </w:rPr>
        <w:t>See 2020 Supply Chain Order</w:t>
      </w:r>
      <w:r>
        <w:t>, 35 FCC Rcd</w:t>
      </w:r>
      <w:r>
        <w:t xml:space="preserve"> at 14361-62, para. 193.  As provided for in the statute, a violation of the Secure Networks Act or a regulation adopted pursuant to this statute shall constitute a violation of the Communications Act and, as such, the Commission has authority to impose fi</w:t>
      </w:r>
      <w:r>
        <w:t xml:space="preserve">nes and forfeitures under the Communications Act and Commission’s rules.  </w:t>
      </w:r>
      <w:r w:rsidRPr="00EE447B">
        <w:rPr>
          <w:i/>
          <w:iCs/>
        </w:rPr>
        <w:t>See</w:t>
      </w:r>
      <w:r>
        <w:t xml:space="preserve"> 47 U.S.C. § 1606; Secure Networks Act § 7;</w:t>
      </w:r>
      <w:r w:rsidRPr="00BC7CB3">
        <w:rPr>
          <w:i/>
          <w:iCs/>
        </w:rPr>
        <w:t xml:space="preserve"> </w:t>
      </w:r>
      <w:r w:rsidRPr="00BF67FE">
        <w:rPr>
          <w:i/>
          <w:iCs/>
        </w:rPr>
        <w:t>2020 Supply Chain Order</w:t>
      </w:r>
      <w:r>
        <w:t>, 35 FCC Rcd at 14362, para. 194 &amp; n.547 (discussing the Commission’s authority to impose fines and forfeitures)</w:t>
      </w:r>
      <w:r>
        <w:t xml:space="preserve">.  </w:t>
      </w:r>
    </w:p>
  </w:footnote>
  <w:footnote w:id="220">
    <w:p w:rsidR="008115D5" w:rsidP="00C736CB" w14:paraId="68B38432" w14:textId="77777777">
      <w:pPr>
        <w:pStyle w:val="FootnoteText"/>
      </w:pPr>
      <w:r>
        <w:rPr>
          <w:rStyle w:val="FootnoteReference"/>
        </w:rPr>
        <w:footnoteRef/>
      </w:r>
      <w:r>
        <w:t xml:space="preserve"> Secure Networks Act § 4(d)(1), (2)(B); 47 U.S.C. § 1603(d)(1), (2)(B).</w:t>
      </w:r>
    </w:p>
  </w:footnote>
  <w:footnote w:id="221">
    <w:p w:rsidR="008115D5" w:rsidRPr="00264F76" w:rsidP="00C736CB" w14:paraId="49E35538" w14:textId="77777777">
      <w:pPr>
        <w:pStyle w:val="FootnoteText"/>
      </w:pPr>
      <w:r w:rsidRPr="00264F76">
        <w:rPr>
          <w:rStyle w:val="FootnoteReference"/>
          <w:sz w:val="20"/>
        </w:rPr>
        <w:footnoteRef/>
      </w:r>
      <w:r w:rsidRPr="00264F76">
        <w:t xml:space="preserve"> </w:t>
      </w:r>
      <w:r w:rsidRPr="7CE41F6F">
        <w:rPr>
          <w:i/>
          <w:iCs/>
        </w:rPr>
        <w:t>See 2020 Supply Chain Order</w:t>
      </w:r>
      <w:r>
        <w:t>, 35 FCC Rcd</w:t>
      </w:r>
      <w:r w:rsidRPr="7CE41F6F">
        <w:rPr>
          <w:i/>
          <w:iCs/>
        </w:rPr>
        <w:t xml:space="preserve"> </w:t>
      </w:r>
      <w:r w:rsidRPr="00BF67FE">
        <w:t>at</w:t>
      </w:r>
      <w:r w:rsidRPr="00264F76">
        <w:t xml:space="preserve"> 14339, para. 128</w:t>
      </w:r>
      <w:r>
        <w:t xml:space="preserve">; </w:t>
      </w:r>
      <w:r w:rsidRPr="00EE447B">
        <w:rPr>
          <w:i/>
          <w:iCs/>
        </w:rPr>
        <w:t>see also</w:t>
      </w:r>
      <w:r>
        <w:t xml:space="preserve"> 47 CFR § 1.50004(p).</w:t>
      </w:r>
      <w:r w:rsidRPr="00264F76">
        <w:t xml:space="preserve"> </w:t>
      </w:r>
    </w:p>
  </w:footnote>
  <w:footnote w:id="222">
    <w:p w:rsidR="008115D5" w:rsidP="00C736CB" w14:paraId="31492421" w14:textId="77777777">
      <w:pPr>
        <w:pStyle w:val="FootnoteText"/>
      </w:pPr>
      <w:r>
        <w:rPr>
          <w:rStyle w:val="FootnoteReference"/>
        </w:rPr>
        <w:footnoteRef/>
      </w:r>
      <w:r>
        <w:t xml:space="preserve"> </w:t>
      </w:r>
      <w:r w:rsidRPr="00EE447B">
        <w:rPr>
          <w:i/>
          <w:iCs/>
        </w:rPr>
        <w:t xml:space="preserve">See </w:t>
      </w:r>
      <w:r>
        <w:t xml:space="preserve">47 CFR § 1.50004(c)(1)(i) (not yet effective). </w:t>
      </w:r>
    </w:p>
  </w:footnote>
  <w:footnote w:id="223">
    <w:p w:rsidR="008115D5" w:rsidRPr="00264F76" w:rsidP="00C736CB" w14:paraId="5DFBD736" w14:textId="77777777">
      <w:pPr>
        <w:pStyle w:val="FootnoteText"/>
      </w:pPr>
      <w:r w:rsidRPr="00264F76">
        <w:rPr>
          <w:rStyle w:val="FootnoteReference"/>
          <w:sz w:val="20"/>
        </w:rPr>
        <w:footnoteRef/>
      </w:r>
      <w:r w:rsidRPr="00264F76">
        <w:t xml:space="preserve"> </w:t>
      </w:r>
      <w:r w:rsidRPr="00264F76">
        <w:rPr>
          <w:i/>
          <w:iCs/>
        </w:rPr>
        <w:t>Catalog Public Notice</w:t>
      </w:r>
      <w:r w:rsidRPr="00264F76">
        <w:t xml:space="preserve"> at 3.</w:t>
      </w:r>
    </w:p>
  </w:footnote>
  <w:footnote w:id="224">
    <w:p w:rsidR="008115D5" w:rsidP="00C736CB" w14:paraId="217C0890" w14:textId="77777777">
      <w:pPr>
        <w:pStyle w:val="FootnoteText"/>
      </w:pPr>
      <w:r w:rsidRPr="00EE447B">
        <w:rPr>
          <w:rStyle w:val="FootnoteReference"/>
          <w:sz w:val="20"/>
        </w:rPr>
        <w:footnoteRef/>
      </w:r>
      <w:r>
        <w:t xml:space="preserve"> </w:t>
      </w:r>
      <w:r w:rsidRPr="00651DC0">
        <w:rPr>
          <w:i/>
          <w:iCs/>
        </w:rPr>
        <w:t>Id</w:t>
      </w:r>
      <w:r>
        <w:t>.</w:t>
      </w:r>
    </w:p>
  </w:footnote>
  <w:footnote w:id="225">
    <w:p w:rsidR="008115D5" w:rsidRPr="00264F76" w:rsidP="00C736CB" w14:paraId="2E613CE7" w14:textId="77777777">
      <w:pPr>
        <w:pStyle w:val="FootnoteText"/>
      </w:pPr>
      <w:r w:rsidRPr="00264F76">
        <w:rPr>
          <w:rStyle w:val="FootnoteReference"/>
          <w:sz w:val="20"/>
        </w:rPr>
        <w:footnoteRef/>
      </w:r>
      <w:r w:rsidRPr="00264F76">
        <w:t xml:space="preserve"> </w:t>
      </w:r>
      <w:r>
        <w:rPr>
          <w:i/>
          <w:iCs/>
        </w:rPr>
        <w:t>Id.</w:t>
      </w:r>
      <w:r w:rsidRPr="00264F76">
        <w:t xml:space="preserve"> at 3 &amp; Attach. 2. </w:t>
      </w:r>
    </w:p>
  </w:footnote>
  <w:footnote w:id="226">
    <w:p w:rsidR="008115D5" w:rsidRPr="00264F76" w:rsidP="00C736CB" w14:paraId="636A336C" w14:textId="77777777">
      <w:pPr>
        <w:pStyle w:val="FootnoteText"/>
      </w:pPr>
      <w:r w:rsidRPr="00264F76">
        <w:rPr>
          <w:rStyle w:val="FootnoteReference"/>
          <w:sz w:val="20"/>
        </w:rPr>
        <w:footnoteRef/>
      </w:r>
      <w:r w:rsidRPr="00264F76">
        <w:t xml:space="preserve"> </w:t>
      </w:r>
      <w:r>
        <w:rPr>
          <w:i/>
          <w:iCs/>
        </w:rPr>
        <w:t>2020 Supply Chain Order</w:t>
      </w:r>
      <w:r w:rsidRPr="00264F76">
        <w:t>, 35 FCC Rcd at 14340, para. 129.</w:t>
      </w:r>
    </w:p>
  </w:footnote>
  <w:footnote w:id="227">
    <w:p w:rsidR="008115D5" w:rsidRPr="00264F76" w:rsidP="00C736CB" w14:paraId="7C439757" w14:textId="77777777">
      <w:pPr>
        <w:pStyle w:val="FootnoteText"/>
      </w:pPr>
      <w:r w:rsidRPr="00264F76">
        <w:rPr>
          <w:rStyle w:val="FootnoteReference"/>
          <w:sz w:val="20"/>
        </w:rPr>
        <w:footnoteRef/>
      </w:r>
      <w:r w:rsidRPr="00264F76">
        <w:t xml:space="preserve"> </w:t>
      </w:r>
      <w:r w:rsidRPr="00264F76">
        <w:rPr>
          <w:i/>
          <w:iCs/>
        </w:rPr>
        <w:t>See</w:t>
      </w:r>
      <w:r w:rsidRPr="00264F76">
        <w:t xml:space="preserve"> </w:t>
      </w:r>
      <w:r w:rsidRPr="00264F76">
        <w:rPr>
          <w:i/>
          <w:iCs/>
        </w:rPr>
        <w:t>Catalog Public Notice</w:t>
      </w:r>
      <w:r w:rsidRPr="00264F76">
        <w:t xml:space="preserve"> at 3. </w:t>
      </w:r>
    </w:p>
  </w:footnote>
  <w:footnote w:id="228">
    <w:p w:rsidR="008115D5" w:rsidRPr="00264F76" w:rsidP="00C736CB" w14:paraId="4811CE08" w14:textId="77777777">
      <w:pPr>
        <w:pStyle w:val="FootnoteText"/>
      </w:pPr>
      <w:r w:rsidRPr="00264F76">
        <w:rPr>
          <w:rStyle w:val="FootnoteReference"/>
          <w:sz w:val="20"/>
        </w:rPr>
        <w:footnoteRef/>
      </w:r>
      <w:r w:rsidRPr="00264F76">
        <w:t xml:space="preserve"> To be considered for funding, applicants are required to submit an initial estimate of costs reasonably incurred removing,</w:t>
      </w:r>
      <w:r w:rsidRPr="00264F76">
        <w:t xml:space="preserve"> replacing, and disposing of covered communications equipment and services. 47 CFR § 1.50004(c)(i)</w:t>
      </w:r>
      <w:r>
        <w:t xml:space="preserve"> (not yet effective</w:t>
      </w:r>
      <w:r w:rsidRPr="00264F76">
        <w:t xml:space="preserve">); </w:t>
      </w:r>
      <w:r>
        <w:rPr>
          <w:i/>
          <w:iCs/>
        </w:rPr>
        <w:t>2020 Supply Chain</w:t>
      </w:r>
      <w:r w:rsidRPr="00264F76">
        <w:rPr>
          <w:i/>
          <w:iCs/>
        </w:rPr>
        <w:t xml:space="preserve"> Order</w:t>
      </w:r>
      <w:r w:rsidRPr="00264F76">
        <w:t>, 35 FCC Rcd at 14346, para. 148 (citing Secure Networks Act § 4(d)(2)(B)).</w:t>
      </w:r>
    </w:p>
  </w:footnote>
  <w:footnote w:id="229">
    <w:p w:rsidR="008115D5" w:rsidP="00C736CB" w14:paraId="6E19D242" w14:textId="77777777">
      <w:pPr>
        <w:pStyle w:val="FootnoteText"/>
      </w:pPr>
      <w:r>
        <w:rPr>
          <w:rStyle w:val="FootnoteReference"/>
        </w:rPr>
        <w:footnoteRef/>
      </w:r>
      <w:r>
        <w:t xml:space="preserve"> </w:t>
      </w:r>
      <w:r w:rsidRPr="00EE447B">
        <w:rPr>
          <w:i/>
          <w:iCs/>
        </w:rPr>
        <w:t xml:space="preserve">See </w:t>
      </w:r>
      <w:r w:rsidRPr="005B73F6">
        <w:t xml:space="preserve">Secure Networks Act </w:t>
      </w:r>
      <w:r>
        <w:t>§ 4</w:t>
      </w:r>
      <w:r w:rsidRPr="005B73F6">
        <w:t>(d)(2)(</w:t>
      </w:r>
      <w:r w:rsidRPr="00EE447B">
        <w:rPr>
          <w:rFonts w:eastAsia="Segoe UI Emoji"/>
        </w:rPr>
        <w:t>B</w:t>
      </w:r>
      <w:r w:rsidRPr="00EE447B">
        <w:rPr>
          <w:rFonts w:eastAsia="Segoe UI Emoji"/>
        </w:rPr>
        <w:t>)(i)</w:t>
      </w:r>
      <w:r w:rsidRPr="005B73F6">
        <w:t>;</w:t>
      </w:r>
      <w:r>
        <w:t xml:space="preserve"> 47 USC § 1603(d)(2)(B)(i).</w:t>
      </w:r>
    </w:p>
  </w:footnote>
  <w:footnote w:id="230">
    <w:p w:rsidR="008115D5" w:rsidRPr="001F4417" w:rsidP="00C736CB" w14:paraId="6FA42782" w14:textId="77777777">
      <w:pPr>
        <w:pStyle w:val="FootnoteText"/>
      </w:pPr>
      <w:r w:rsidRPr="60CF9841">
        <w:rPr>
          <w:rStyle w:val="FootnoteReference"/>
          <w:sz w:val="20"/>
        </w:rPr>
        <w:footnoteRef/>
      </w:r>
      <w:r w:rsidRPr="001F4417">
        <w:t xml:space="preserve"> </w:t>
      </w:r>
      <w:r w:rsidRPr="001F4417">
        <w:rPr>
          <w:i/>
          <w:iCs/>
        </w:rPr>
        <w:t>See</w:t>
      </w:r>
      <w:r w:rsidRPr="001F4417">
        <w:t xml:space="preserve"> 47 CFR § 1.50004(c)(1)(i), (v)</w:t>
      </w:r>
      <w:r>
        <w:t xml:space="preserve"> (not yet effective)</w:t>
      </w:r>
      <w:r w:rsidRPr="001F4417">
        <w:t>.</w:t>
      </w:r>
      <w:r>
        <w:t xml:space="preserve">  Individualized cost estimates are made in lieu of the Catalog estimates.</w:t>
      </w:r>
    </w:p>
  </w:footnote>
  <w:footnote w:id="231">
    <w:p w:rsidR="008115D5" w:rsidRPr="00264F76" w:rsidP="00C736CB" w14:paraId="078C980C" w14:textId="77777777">
      <w:pPr>
        <w:pStyle w:val="FootnoteText"/>
      </w:pPr>
      <w:r w:rsidRPr="00264F76">
        <w:rPr>
          <w:rStyle w:val="FootnoteReference"/>
          <w:sz w:val="20"/>
        </w:rPr>
        <w:footnoteRef/>
      </w:r>
      <w:r w:rsidRPr="00264F76">
        <w:t xml:space="preserve"> </w:t>
      </w:r>
      <w:r w:rsidRPr="42E13A2F">
        <w:rPr>
          <w:i/>
          <w:iCs/>
        </w:rPr>
        <w:t xml:space="preserve">2020 Supply Chain </w:t>
      </w:r>
      <w:r w:rsidRPr="00EE447B">
        <w:t>Order</w:t>
      </w:r>
      <w:r w:rsidRPr="42E13A2F">
        <w:t xml:space="preserve">, 35 FCC Rcd </w:t>
      </w:r>
      <w:r w:rsidRPr="00264F76">
        <w:t xml:space="preserve">at 14339, para. 128. </w:t>
      </w:r>
    </w:p>
  </w:footnote>
  <w:footnote w:id="232">
    <w:p w:rsidR="008115D5" w:rsidRPr="00264F76" w:rsidP="00C736CB" w14:paraId="37B1B48A" w14:textId="77777777">
      <w:pPr>
        <w:pStyle w:val="FootnoteText"/>
      </w:pPr>
      <w:r w:rsidRPr="00264F76">
        <w:rPr>
          <w:rStyle w:val="FootnoteReference"/>
          <w:sz w:val="20"/>
        </w:rPr>
        <w:footnoteRef/>
      </w:r>
      <w:r w:rsidRPr="00264F76">
        <w:t xml:space="preserve"> </w:t>
      </w:r>
      <w:r w:rsidRPr="00EE447B">
        <w:rPr>
          <w:i/>
          <w:iCs/>
        </w:rPr>
        <w:t>Id</w:t>
      </w:r>
      <w:r w:rsidRPr="00264F76">
        <w:t>.</w:t>
      </w:r>
      <w:r>
        <w:t xml:space="preserve"> </w:t>
      </w:r>
      <w:r w:rsidRPr="00264F76">
        <w:t>at 14346, para. 149.</w:t>
      </w:r>
    </w:p>
  </w:footnote>
  <w:footnote w:id="233">
    <w:p w:rsidR="008115D5" w:rsidRPr="00264F76" w:rsidP="00C736CB" w14:paraId="3767E41B" w14:textId="77777777">
      <w:pPr>
        <w:pStyle w:val="FootnoteText"/>
      </w:pPr>
      <w:r w:rsidRPr="00264F76">
        <w:rPr>
          <w:rStyle w:val="FootnoteReference"/>
          <w:sz w:val="20"/>
        </w:rPr>
        <w:footnoteRef/>
      </w:r>
      <w:r w:rsidRPr="00264F76">
        <w:t xml:space="preserve"> </w:t>
      </w:r>
      <w:r w:rsidRPr="00264F76">
        <w:rPr>
          <w:i/>
          <w:iCs/>
        </w:rPr>
        <w:t>Id</w:t>
      </w:r>
      <w:r w:rsidRPr="00264F76">
        <w:t>. at 14339, para. 128.</w:t>
      </w:r>
    </w:p>
  </w:footnote>
  <w:footnote w:id="234">
    <w:p w:rsidR="008115D5" w:rsidRPr="00264F76" w:rsidP="00C736CB" w14:paraId="27A6AEB6" w14:textId="77777777">
      <w:pPr>
        <w:pStyle w:val="FootnoteText"/>
      </w:pPr>
      <w:r w:rsidRPr="00264F76">
        <w:rPr>
          <w:rStyle w:val="FootnoteReference"/>
          <w:sz w:val="20"/>
        </w:rPr>
        <w:footnoteRef/>
      </w:r>
      <w:r w:rsidRPr="00264F76">
        <w:t xml:space="preserve"> </w:t>
      </w:r>
      <w:r w:rsidRPr="00264F76">
        <w:rPr>
          <w:i/>
          <w:iCs/>
        </w:rPr>
        <w:t>See</w:t>
      </w:r>
      <w:r w:rsidRPr="00264F76">
        <w:t xml:space="preserve"> Airspan Catalog Public Notice Comments at 1 (“Airspan believes the Report and Cost Catalog generally take a fair and reasonable approach to identifying the various concerns carriers will face as part of the…Reimbursement Prog</w:t>
      </w:r>
      <w:r w:rsidRPr="00264F76">
        <w:t xml:space="preserve">ram.”); RWA Catalog Public Notice Comments at 1-2 (“Overall, the Cost Catalog presents a fair representation of the costs associated removing replacing and disposing of Huawei and ZTE equipment and services.”); USTelecom </w:t>
      </w:r>
      <w:r>
        <w:t xml:space="preserve">Catalog </w:t>
      </w:r>
      <w:r w:rsidRPr="00264F76">
        <w:t>Public Notice Comments at 1</w:t>
      </w:r>
      <w:r w:rsidRPr="00264F76">
        <w:t xml:space="preserve"> (“The catalog thoroughly identifies significant eligible engineering and project management expenses; we are in general agreement with the identified project components and the expenses deemed eligible.”).</w:t>
      </w:r>
    </w:p>
  </w:footnote>
  <w:footnote w:id="235">
    <w:p w:rsidR="008115D5" w:rsidRPr="00264F76" w:rsidP="00C736CB" w14:paraId="408939DC" w14:textId="77777777">
      <w:pPr>
        <w:pStyle w:val="FootnoteText"/>
      </w:pPr>
      <w:r w:rsidRPr="00264F76">
        <w:rPr>
          <w:rStyle w:val="FootnoteReference"/>
          <w:sz w:val="20"/>
        </w:rPr>
        <w:footnoteRef/>
      </w:r>
      <w:r w:rsidRPr="00264F76">
        <w:t xml:space="preserve"> USTelecom Catalog Public Notice Comments at 4. </w:t>
      </w:r>
    </w:p>
  </w:footnote>
  <w:footnote w:id="236">
    <w:p w:rsidR="008115D5" w:rsidRPr="00264F76" w:rsidP="00C736CB" w14:paraId="6B7D7A2C" w14:textId="77777777">
      <w:pPr>
        <w:pStyle w:val="FootnoteText"/>
      </w:pPr>
      <w:r w:rsidRPr="00264F76">
        <w:rPr>
          <w:rStyle w:val="FootnoteReference"/>
          <w:sz w:val="20"/>
        </w:rPr>
        <w:footnoteRef/>
      </w:r>
      <w:r w:rsidRPr="00264F76">
        <w:t xml:space="preserve"> Appx. C, </w:t>
      </w:r>
      <w:r>
        <w:t>§</w:t>
      </w:r>
      <w:r w:rsidRPr="00264F76">
        <w:t xml:space="preserve"> 2.7</w:t>
      </w:r>
      <w:r>
        <w:t>.0</w:t>
      </w:r>
      <w:r w:rsidRPr="00264F76">
        <w:t xml:space="preserve">. </w:t>
      </w:r>
    </w:p>
  </w:footnote>
  <w:footnote w:id="237">
    <w:p w:rsidR="008115D5" w:rsidRPr="00264F76" w:rsidP="00C736CB" w14:paraId="47C4CE3D" w14:textId="77777777">
      <w:pPr>
        <w:pStyle w:val="FootnoteText"/>
      </w:pPr>
      <w:r w:rsidRPr="00264F76">
        <w:rPr>
          <w:rStyle w:val="FootnoteReference"/>
          <w:sz w:val="20"/>
        </w:rPr>
        <w:footnoteRef/>
      </w:r>
      <w:r w:rsidRPr="00264F76">
        <w:t xml:space="preserve"> USTelecom Catalog Public Notice Comments at 3 (citing </w:t>
      </w:r>
      <w:r w:rsidRPr="00264F76">
        <w:rPr>
          <w:i/>
          <w:iCs/>
        </w:rPr>
        <w:t>Cost Catalog Public Notice</w:t>
      </w:r>
      <w:r w:rsidRPr="00264F76">
        <w:t>, Attach. 2 at 21).</w:t>
      </w:r>
    </w:p>
  </w:footnote>
  <w:footnote w:id="238">
    <w:p w:rsidR="008115D5" w:rsidRPr="00264F76" w:rsidP="00C736CB" w14:paraId="6428D57F" w14:textId="77777777">
      <w:pPr>
        <w:pStyle w:val="FootnoteText"/>
      </w:pPr>
      <w:r w:rsidRPr="00264F76">
        <w:rPr>
          <w:rStyle w:val="FootnoteReference"/>
          <w:sz w:val="20"/>
        </w:rPr>
        <w:footnoteRef/>
      </w:r>
      <w:r w:rsidRPr="00264F76">
        <w:t xml:space="preserve"> </w:t>
      </w:r>
      <w:r w:rsidRPr="00EE447B">
        <w:t xml:space="preserve">47 CFR § 1.50004(p) (the Commission’s delegation of authority to the Bureau to establish a Catalog); </w:t>
      </w:r>
      <w:r w:rsidRPr="00EE447B">
        <w:rPr>
          <w:i/>
        </w:rPr>
        <w:t>see 2020 Supply Chain Order</w:t>
      </w:r>
      <w:r w:rsidRPr="00EE447B">
        <w:t xml:space="preserve">, </w:t>
      </w:r>
      <w:r w:rsidRPr="00EE447B">
        <w:t xml:space="preserve">35 FCC Rcd at 14339, para. </w:t>
      </w:r>
      <w:r>
        <w:t xml:space="preserve">128 (the Commission delegated to the Bureau the responsibility to develop and finalize the Catalog); </w:t>
      </w:r>
      <w:r w:rsidRPr="00264F76">
        <w:t xml:space="preserve">Appx. C, </w:t>
      </w:r>
      <w:r>
        <w:t>§</w:t>
      </w:r>
      <w:r w:rsidRPr="00264F76">
        <w:t>§ 5.2.1.</w:t>
      </w:r>
    </w:p>
  </w:footnote>
  <w:footnote w:id="239">
    <w:p w:rsidR="008115D5" w:rsidRPr="00264F76" w:rsidP="00C736CB" w14:paraId="0D935317" w14:textId="77777777">
      <w:pPr>
        <w:pStyle w:val="FootnoteText"/>
      </w:pPr>
      <w:r w:rsidRPr="00264F76">
        <w:rPr>
          <w:rStyle w:val="FootnoteReference"/>
          <w:sz w:val="20"/>
        </w:rPr>
        <w:footnoteRef/>
      </w:r>
      <w:r w:rsidRPr="00264F76">
        <w:t xml:space="preserve"> CCA Catalog Public Notice Comments at 6.</w:t>
      </w:r>
    </w:p>
  </w:footnote>
  <w:footnote w:id="240">
    <w:p w:rsidR="008115D5" w:rsidRPr="00264F76" w:rsidP="00C736CB" w14:paraId="67E746AF" w14:textId="77777777">
      <w:pPr>
        <w:pStyle w:val="FootnoteText"/>
      </w:pPr>
      <w:r w:rsidRPr="00264F76">
        <w:rPr>
          <w:rStyle w:val="FootnoteReference"/>
          <w:sz w:val="20"/>
        </w:rPr>
        <w:footnoteRef/>
      </w:r>
      <w:r w:rsidRPr="00264F76">
        <w:t xml:space="preserve"> Appx. C, </w:t>
      </w:r>
      <w:r>
        <w:t>§</w:t>
      </w:r>
      <w:r w:rsidRPr="00264F76">
        <w:t>§ 5.21.25, 5.21.26.</w:t>
      </w:r>
    </w:p>
  </w:footnote>
  <w:footnote w:id="241">
    <w:p w:rsidR="008115D5" w:rsidRPr="00264F76" w:rsidP="00C736CB" w14:paraId="2E8FA3A8" w14:textId="77777777">
      <w:pPr>
        <w:pStyle w:val="FootnoteText"/>
      </w:pPr>
      <w:r w:rsidRPr="00264F76">
        <w:rPr>
          <w:rStyle w:val="FootnoteReference"/>
          <w:sz w:val="20"/>
        </w:rPr>
        <w:footnoteRef/>
      </w:r>
      <w:r w:rsidRPr="00264F76">
        <w:t xml:space="preserve"> RWA Catalog Public Notice Commen</w:t>
      </w:r>
      <w:r w:rsidRPr="00264F76">
        <w:t>ts at 7.</w:t>
      </w:r>
    </w:p>
  </w:footnote>
  <w:footnote w:id="242">
    <w:p w:rsidR="008115D5" w:rsidRPr="00264F76" w:rsidP="00C736CB" w14:paraId="57863614" w14:textId="77777777">
      <w:pPr>
        <w:pStyle w:val="FootnoteText"/>
      </w:pPr>
      <w:r w:rsidRPr="00264F76">
        <w:rPr>
          <w:rStyle w:val="FootnoteReference"/>
          <w:sz w:val="20"/>
        </w:rPr>
        <w:footnoteRef/>
      </w:r>
      <w:r w:rsidRPr="00264F76">
        <w:t xml:space="preserve"> </w:t>
      </w:r>
      <w:r w:rsidRPr="00264F76">
        <w:rPr>
          <w:i/>
          <w:iCs/>
        </w:rPr>
        <w:t>Catalog Public Notice</w:t>
      </w:r>
      <w:r w:rsidRPr="00264F76">
        <w:t>, Attach. 2 at 20.</w:t>
      </w:r>
    </w:p>
  </w:footnote>
  <w:footnote w:id="243">
    <w:p w:rsidR="008115D5" w:rsidRPr="00264F76" w:rsidP="00C736CB" w14:paraId="52D57322" w14:textId="77777777">
      <w:pPr>
        <w:pStyle w:val="FootnoteText"/>
      </w:pPr>
      <w:r w:rsidRPr="00264F76">
        <w:rPr>
          <w:rStyle w:val="FootnoteReference"/>
          <w:sz w:val="20"/>
        </w:rPr>
        <w:footnoteRef/>
      </w:r>
      <w:r w:rsidRPr="00264F76">
        <w:t xml:space="preserve"> </w:t>
      </w:r>
      <w:r w:rsidRPr="00264F76">
        <w:rPr>
          <w:i/>
          <w:iCs/>
        </w:rPr>
        <w:t>See id</w:t>
      </w:r>
      <w:r w:rsidRPr="00264F76">
        <w:t>.</w:t>
      </w:r>
    </w:p>
  </w:footnote>
  <w:footnote w:id="244">
    <w:p w:rsidR="008115D5" w:rsidRPr="00264F76" w:rsidP="00C736CB" w14:paraId="61AEBF55" w14:textId="77777777">
      <w:pPr>
        <w:pStyle w:val="FootnoteText"/>
      </w:pPr>
      <w:r w:rsidRPr="00264F76">
        <w:rPr>
          <w:rStyle w:val="FootnoteReference"/>
          <w:sz w:val="20"/>
        </w:rPr>
        <w:footnoteRef/>
      </w:r>
      <w:r w:rsidRPr="00264F76">
        <w:t xml:space="preserve"> Appx. C, §§ 5.35, 5.36, 5.37.</w:t>
      </w:r>
    </w:p>
  </w:footnote>
  <w:footnote w:id="245">
    <w:p w:rsidR="008115D5" w:rsidRPr="00264F76" w:rsidP="00C736CB" w14:paraId="07EF13DF" w14:textId="77777777">
      <w:pPr>
        <w:pStyle w:val="FootnoteText"/>
      </w:pPr>
      <w:r w:rsidRPr="00264F76">
        <w:rPr>
          <w:rStyle w:val="FootnoteReference"/>
          <w:sz w:val="20"/>
        </w:rPr>
        <w:footnoteRef/>
      </w:r>
      <w:r w:rsidRPr="00264F76">
        <w:t xml:space="preserve"> CCA Catalog Public Notice Comments at 5</w:t>
      </w:r>
      <w:r>
        <w:t xml:space="preserve">; CCA July 15, 2021 </w:t>
      </w:r>
      <w:r w:rsidRPr="00BB01D7">
        <w:rPr>
          <w:i/>
          <w:iCs/>
        </w:rPr>
        <w:t>Ex Parte</w:t>
      </w:r>
      <w:r>
        <w:rPr>
          <w:i/>
          <w:iCs/>
        </w:rPr>
        <w:t xml:space="preserve"> </w:t>
      </w:r>
      <w:r>
        <w:t>at 2-3</w:t>
      </w:r>
      <w:r w:rsidRPr="00264F76">
        <w:t xml:space="preserve">. </w:t>
      </w:r>
    </w:p>
  </w:footnote>
  <w:footnote w:id="246">
    <w:p w:rsidR="008115D5" w:rsidRPr="00264F76" w:rsidP="00C736CB" w14:paraId="79DA0C61" w14:textId="77777777">
      <w:pPr>
        <w:pStyle w:val="FootnoteText"/>
      </w:pPr>
      <w:r w:rsidRPr="00264F76">
        <w:rPr>
          <w:rStyle w:val="FootnoteReference"/>
          <w:sz w:val="20"/>
        </w:rPr>
        <w:footnoteRef/>
      </w:r>
      <w:r w:rsidRPr="00264F76">
        <w:t xml:space="preserve"> </w:t>
      </w:r>
      <w:r>
        <w:rPr>
          <w:i/>
          <w:iCs/>
        </w:rPr>
        <w:t>See i</w:t>
      </w:r>
      <w:r w:rsidRPr="00BF67FE">
        <w:rPr>
          <w:i/>
          <w:iCs/>
        </w:rPr>
        <w:t>d</w:t>
      </w:r>
      <w:r>
        <w:t xml:space="preserve">.; </w:t>
      </w:r>
      <w:r w:rsidRPr="007C508B">
        <w:rPr>
          <w:i/>
          <w:iCs/>
        </w:rPr>
        <w:t>Catalog Public Notice</w:t>
      </w:r>
      <w:r>
        <w:t>, Appx. B at 22.</w:t>
      </w:r>
      <w:r w:rsidRPr="00264F76">
        <w:t xml:space="preserve">  </w:t>
      </w:r>
    </w:p>
  </w:footnote>
  <w:footnote w:id="247">
    <w:p w:rsidR="008115D5" w:rsidP="00C736CB" w14:paraId="3D19D22F" w14:textId="77777777">
      <w:pPr>
        <w:pStyle w:val="FootnoteText"/>
      </w:pPr>
      <w:r w:rsidRPr="3B6760A3">
        <w:rPr>
          <w:rStyle w:val="FootnoteReference"/>
          <w:sz w:val="20"/>
        </w:rPr>
        <w:footnoteRef/>
      </w:r>
      <w:r>
        <w:t xml:space="preserve"> Appx. C, § 5.7.1</w:t>
      </w:r>
    </w:p>
  </w:footnote>
  <w:footnote w:id="248">
    <w:p w:rsidR="008115D5" w:rsidRPr="00264F76" w:rsidP="00C736CB" w14:paraId="22A1331D" w14:textId="77777777">
      <w:pPr>
        <w:pStyle w:val="FootnoteText"/>
      </w:pPr>
      <w:r w:rsidRPr="00264F76">
        <w:rPr>
          <w:rStyle w:val="FootnoteReference"/>
          <w:sz w:val="20"/>
        </w:rPr>
        <w:footnoteRef/>
      </w:r>
      <w:r w:rsidRPr="007C508B">
        <w:t xml:space="preserve"> </w:t>
      </w:r>
      <w:r w:rsidRPr="00BF67FE">
        <w:t>Appx. C,</w:t>
      </w:r>
      <w:r w:rsidRPr="3E349F70">
        <w:rPr>
          <w:i/>
          <w:iCs/>
        </w:rPr>
        <w:t xml:space="preserve"> </w:t>
      </w:r>
      <w:r>
        <w:t>§§</w:t>
      </w:r>
      <w:r w:rsidRPr="007C508B">
        <w:t xml:space="preserve"> </w:t>
      </w:r>
      <w:r>
        <w:t>5.10.0.</w:t>
      </w:r>
    </w:p>
  </w:footnote>
  <w:footnote w:id="249">
    <w:p w:rsidR="008115D5" w:rsidP="00C736CB" w14:paraId="1D329171" w14:textId="77777777">
      <w:pPr>
        <w:pStyle w:val="FootnoteText"/>
      </w:pPr>
      <w:r w:rsidRPr="00EE447B">
        <w:rPr>
          <w:rStyle w:val="FootnoteReference"/>
          <w:sz w:val="20"/>
        </w:rPr>
        <w:footnoteRef/>
      </w:r>
      <w:r>
        <w:t xml:space="preserve"> </w:t>
      </w:r>
      <w:r w:rsidRPr="00BF67FE">
        <w:rPr>
          <w:i/>
          <w:iCs/>
        </w:rPr>
        <w:t xml:space="preserve">See </w:t>
      </w:r>
      <w:bookmarkStart w:id="109" w:name="_Hlk73457227"/>
      <w:r w:rsidRPr="00192310">
        <w:t>47 CFR § 1.50004(c)(1)</w:t>
      </w:r>
      <w:bookmarkEnd w:id="109"/>
      <w:r>
        <w:t xml:space="preserve"> (not yet effective) </w:t>
      </w:r>
      <w:r w:rsidRPr="00192310">
        <w:t xml:space="preserve">(“Eligible providers that submit their own cost estimates must submit supporting documentation and certify that the estimate is made in good faith.”); </w:t>
      </w:r>
      <w:r w:rsidRPr="00192310">
        <w:rPr>
          <w:i/>
          <w:iCs/>
        </w:rPr>
        <w:t>see also 2020 Su</w:t>
      </w:r>
      <w:r w:rsidRPr="00192310">
        <w:rPr>
          <w:i/>
          <w:iCs/>
        </w:rPr>
        <w:t>pply Chain Order</w:t>
      </w:r>
      <w:r w:rsidRPr="00192310">
        <w:t>, 35 FCC Rcd at 14346, para. 149 (“If an applicant believes the predetermined cost estimate does not fully account for its specific circumstance or a predetermined cost estimate is not provided in the Catalog of Eligible Expenses for the co</w:t>
      </w:r>
      <w:r w:rsidRPr="00192310">
        <w:t>st identified by the applicant, the applicant can provide its own individualized cost estimate.”).</w:t>
      </w:r>
    </w:p>
  </w:footnote>
  <w:footnote w:id="250">
    <w:p w:rsidR="008115D5" w:rsidRPr="00264F76" w:rsidP="00C736CB" w14:paraId="38024E7A" w14:textId="77777777">
      <w:pPr>
        <w:pStyle w:val="FootnoteText"/>
      </w:pPr>
      <w:r w:rsidRPr="00264F76">
        <w:rPr>
          <w:rStyle w:val="FootnoteReference"/>
          <w:sz w:val="20"/>
        </w:rPr>
        <w:footnoteRef/>
      </w:r>
      <w:r w:rsidRPr="00264F76">
        <w:t xml:space="preserve"> RWA Catalog Public Notice Comments at 8.</w:t>
      </w:r>
    </w:p>
  </w:footnote>
  <w:footnote w:id="251">
    <w:p w:rsidR="008115D5" w:rsidRPr="00264F76" w:rsidP="00C736CB" w14:paraId="4B898186" w14:textId="77777777">
      <w:pPr>
        <w:pStyle w:val="FootnoteText"/>
      </w:pPr>
      <w:r w:rsidRPr="00264F76">
        <w:rPr>
          <w:rStyle w:val="FootnoteReference"/>
          <w:sz w:val="20"/>
        </w:rPr>
        <w:footnoteRef/>
      </w:r>
      <w:r w:rsidRPr="00264F76">
        <w:t xml:space="preserve"> </w:t>
      </w:r>
      <w:r w:rsidRPr="00ED5BFE">
        <w:rPr>
          <w:i/>
          <w:iCs/>
        </w:rPr>
        <w:t>Id</w:t>
      </w:r>
      <w:r>
        <w:t>.</w:t>
      </w:r>
      <w:r w:rsidRPr="00264F76">
        <w:t xml:space="preserve"> </w:t>
      </w:r>
    </w:p>
  </w:footnote>
  <w:footnote w:id="252">
    <w:p w:rsidR="008115D5" w:rsidP="00C736CB" w14:paraId="753ADE66" w14:textId="77777777">
      <w:pPr>
        <w:pStyle w:val="FootnoteText"/>
      </w:pPr>
      <w:r>
        <w:rPr>
          <w:rStyle w:val="FootnoteReference"/>
        </w:rPr>
        <w:footnoteRef/>
      </w:r>
      <w:r>
        <w:t xml:space="preserve"> </w:t>
      </w:r>
      <w:r w:rsidRPr="008B38A3">
        <w:rPr>
          <w:i/>
          <w:iCs/>
        </w:rPr>
        <w:t>See</w:t>
      </w:r>
      <w:r>
        <w:t xml:space="preserve"> CAA § 906; </w:t>
      </w:r>
      <w:r w:rsidRPr="008B38A3">
        <w:rPr>
          <w:i/>
          <w:iCs/>
        </w:rPr>
        <w:t>2021 Supply Chain Order</w:t>
      </w:r>
      <w:r>
        <w:t xml:space="preserve"> at 21-24, paras. 46-52. </w:t>
      </w:r>
    </w:p>
  </w:footnote>
  <w:footnote w:id="253">
    <w:p w:rsidR="008115D5" w:rsidRPr="007E2C52" w:rsidP="00C736CB" w14:paraId="6E72DE65" w14:textId="77777777">
      <w:pPr>
        <w:pStyle w:val="FootnoteText"/>
      </w:pPr>
      <w:r>
        <w:rPr>
          <w:rStyle w:val="FootnoteReference"/>
        </w:rPr>
        <w:footnoteRef/>
      </w:r>
      <w:r>
        <w:t xml:space="preserve"> </w:t>
      </w:r>
      <w:r>
        <w:rPr>
          <w:i/>
          <w:iCs/>
        </w:rPr>
        <w:t xml:space="preserve">See generally Huawei </w:t>
      </w:r>
      <w:r>
        <w:rPr>
          <w:i/>
          <w:iCs/>
        </w:rPr>
        <w:t>Designation Order</w:t>
      </w:r>
      <w:r w:rsidRPr="00E9663F">
        <w:t>;</w:t>
      </w:r>
      <w:r>
        <w:rPr>
          <w:i/>
          <w:iCs/>
        </w:rPr>
        <w:t xml:space="preserve"> ZTE Designation Order</w:t>
      </w:r>
      <w:r>
        <w:t>.</w:t>
      </w:r>
    </w:p>
  </w:footnote>
  <w:footnote w:id="254">
    <w:p w:rsidR="008115D5" w:rsidRPr="00264F76" w:rsidP="00C736CB" w14:paraId="47CAC5E5" w14:textId="77777777">
      <w:pPr>
        <w:pStyle w:val="FootnoteText"/>
      </w:pPr>
      <w:r w:rsidRPr="00264F76">
        <w:rPr>
          <w:rStyle w:val="FootnoteReference"/>
          <w:sz w:val="20"/>
        </w:rPr>
        <w:footnoteRef/>
      </w:r>
      <w:r w:rsidRPr="00264F76">
        <w:t xml:space="preserve"> CCA Catalog Public Notice Comments at 6. </w:t>
      </w:r>
    </w:p>
  </w:footnote>
  <w:footnote w:id="255">
    <w:p w:rsidR="008115D5" w:rsidRPr="00264F76" w:rsidP="00C736CB" w14:paraId="4916D01C" w14:textId="77777777">
      <w:pPr>
        <w:pStyle w:val="FootnoteText"/>
      </w:pPr>
      <w:r w:rsidRPr="00264F76">
        <w:rPr>
          <w:rStyle w:val="FootnoteReference"/>
          <w:sz w:val="20"/>
        </w:rPr>
        <w:footnoteRef/>
      </w:r>
      <w:r w:rsidRPr="00264F76">
        <w:t xml:space="preserve"> Appx. C, §§ 1.7.3, 2.3</w:t>
      </w:r>
      <w:r>
        <w:t>0.0</w:t>
      </w:r>
      <w:r w:rsidRPr="00264F76">
        <w:t xml:space="preserve">. </w:t>
      </w:r>
    </w:p>
  </w:footnote>
  <w:footnote w:id="256">
    <w:p w:rsidR="008115D5" w:rsidRPr="00264F76" w:rsidP="00C736CB" w14:paraId="0B3AADEC" w14:textId="77777777">
      <w:pPr>
        <w:pStyle w:val="FootnoteText"/>
      </w:pPr>
      <w:r w:rsidRPr="00264F76">
        <w:rPr>
          <w:rStyle w:val="FootnoteReference"/>
          <w:sz w:val="20"/>
        </w:rPr>
        <w:footnoteRef/>
      </w:r>
      <w:r w:rsidRPr="00264F76">
        <w:t xml:space="preserve"> CCA Catalog Public Notice Comments at 6. </w:t>
      </w:r>
    </w:p>
  </w:footnote>
  <w:footnote w:id="257">
    <w:p w:rsidR="008115D5" w:rsidRPr="00264F76" w:rsidP="00C736CB" w14:paraId="652EF1DA" w14:textId="77777777">
      <w:pPr>
        <w:pStyle w:val="FootnoteText"/>
      </w:pPr>
      <w:r w:rsidRPr="00264F76">
        <w:rPr>
          <w:rStyle w:val="FootnoteReference"/>
          <w:sz w:val="20"/>
        </w:rPr>
        <w:footnoteRef/>
      </w:r>
      <w:r w:rsidRPr="00264F76">
        <w:t xml:space="preserve"> Appx. C, § 1.7.3.</w:t>
      </w:r>
    </w:p>
  </w:footnote>
  <w:footnote w:id="258">
    <w:p w:rsidR="008115D5" w:rsidRPr="00264F76" w:rsidP="00C736CB" w14:paraId="55011E19" w14:textId="77777777">
      <w:pPr>
        <w:pStyle w:val="FootnoteText"/>
      </w:pPr>
      <w:r w:rsidRPr="00264F76">
        <w:rPr>
          <w:rStyle w:val="FootnoteReference"/>
          <w:sz w:val="20"/>
        </w:rPr>
        <w:footnoteRef/>
      </w:r>
      <w:r w:rsidRPr="00264F76">
        <w:t xml:space="preserve"> </w:t>
      </w:r>
      <w:r w:rsidRPr="00264F76">
        <w:rPr>
          <w:i/>
          <w:iCs/>
        </w:rPr>
        <w:t xml:space="preserve">See </w:t>
      </w:r>
      <w:r w:rsidRPr="00264F76">
        <w:t>Letter from Carri Bennet, General Counsel, Rural Wireless Association,</w:t>
      </w:r>
      <w:r w:rsidRPr="00264F76">
        <w:t xml:space="preserve"> to Marlene H. Dortch, Secretary, FCC, WC Docket No. 18-89, at 2 (filed June 1, 2021).</w:t>
      </w:r>
    </w:p>
  </w:footnote>
  <w:footnote w:id="259">
    <w:p w:rsidR="008115D5" w:rsidRPr="00264F76" w:rsidP="00C736CB" w14:paraId="26EC801F" w14:textId="77777777">
      <w:pPr>
        <w:pStyle w:val="FootnoteText"/>
      </w:pPr>
      <w:r w:rsidRPr="00264F76">
        <w:rPr>
          <w:rStyle w:val="FootnoteReference"/>
          <w:sz w:val="20"/>
        </w:rPr>
        <w:footnoteRef/>
      </w:r>
      <w:r w:rsidRPr="00264F76">
        <w:t xml:space="preserve"> CCA Catalog Public Notice Comments at 5. </w:t>
      </w:r>
    </w:p>
  </w:footnote>
  <w:footnote w:id="260">
    <w:p w:rsidR="008115D5" w:rsidRPr="00264F76" w:rsidP="00C736CB" w14:paraId="59FBF356" w14:textId="77777777">
      <w:pPr>
        <w:pStyle w:val="FootnoteText"/>
      </w:pPr>
      <w:r w:rsidRPr="00264F76">
        <w:rPr>
          <w:rStyle w:val="FootnoteReference"/>
          <w:sz w:val="20"/>
        </w:rPr>
        <w:footnoteRef/>
      </w:r>
      <w:r w:rsidRPr="00264F76">
        <w:t xml:space="preserve"> </w:t>
      </w:r>
      <w:r>
        <w:rPr>
          <w:i/>
          <w:iCs/>
        </w:rPr>
        <w:t>2021 Supply Chain</w:t>
      </w:r>
      <w:r w:rsidRPr="00264F76">
        <w:rPr>
          <w:i/>
          <w:iCs/>
        </w:rPr>
        <w:t xml:space="preserve"> Order</w:t>
      </w:r>
      <w:r w:rsidRPr="00264F76">
        <w:t xml:space="preserve"> at 38-39, para. 93. </w:t>
      </w:r>
    </w:p>
  </w:footnote>
  <w:footnote w:id="261">
    <w:p w:rsidR="008115D5" w:rsidRPr="00264F76" w:rsidP="00C736CB" w14:paraId="31B30E6C" w14:textId="77777777">
      <w:pPr>
        <w:pStyle w:val="FootnoteText"/>
      </w:pPr>
      <w:r w:rsidRPr="00264F76">
        <w:rPr>
          <w:rStyle w:val="FootnoteReference"/>
          <w:sz w:val="20"/>
        </w:rPr>
        <w:footnoteRef/>
      </w:r>
      <w:r w:rsidRPr="00264F76">
        <w:t xml:space="preserve"> </w:t>
      </w:r>
      <w:r w:rsidRPr="00264F76">
        <w:rPr>
          <w:i/>
          <w:iCs/>
        </w:rPr>
        <w:t>See id</w:t>
      </w:r>
      <w:r w:rsidRPr="00264F76">
        <w:t>.</w:t>
      </w:r>
    </w:p>
  </w:footnote>
  <w:footnote w:id="262">
    <w:p w:rsidR="008115D5" w:rsidRPr="00264F76" w:rsidP="00C736CB" w14:paraId="3D3D1974" w14:textId="77777777">
      <w:pPr>
        <w:pStyle w:val="FootnoteText"/>
      </w:pPr>
      <w:r w:rsidRPr="00264F76">
        <w:rPr>
          <w:rStyle w:val="FootnoteReference"/>
          <w:sz w:val="20"/>
        </w:rPr>
        <w:footnoteRef/>
      </w:r>
      <w:r w:rsidRPr="00264F76">
        <w:t xml:space="preserve"> </w:t>
      </w:r>
      <w:r w:rsidRPr="77659CA4">
        <w:t xml:space="preserve">Rural Wireless Broadband </w:t>
      </w:r>
      <w:r>
        <w:t>Coalition</w:t>
      </w:r>
      <w:r w:rsidRPr="77659CA4">
        <w:t xml:space="preserve"> </w:t>
      </w:r>
      <w:r w:rsidRPr="00264F76">
        <w:t xml:space="preserve">Catalog Public Notice Comments </w:t>
      </w:r>
      <w:r w:rsidRPr="00264F76">
        <w:t>at 3-4.</w:t>
      </w:r>
    </w:p>
  </w:footnote>
  <w:footnote w:id="263">
    <w:p w:rsidR="008115D5" w:rsidRPr="00264F76" w:rsidP="00C736CB" w14:paraId="6C065745" w14:textId="77777777">
      <w:pPr>
        <w:pStyle w:val="FootnoteText"/>
      </w:pPr>
      <w:r w:rsidRPr="00264F76">
        <w:rPr>
          <w:rStyle w:val="FootnoteReference"/>
          <w:sz w:val="20"/>
        </w:rPr>
        <w:footnoteRef/>
      </w:r>
      <w:r w:rsidRPr="00264F76">
        <w:t xml:space="preserve"> </w:t>
      </w:r>
      <w:r w:rsidRPr="00264F76">
        <w:rPr>
          <w:i/>
          <w:iCs/>
        </w:rPr>
        <w:t>Id</w:t>
      </w:r>
      <w:r w:rsidRPr="00264F76">
        <w:t>. at 5-6.</w:t>
      </w:r>
    </w:p>
  </w:footnote>
  <w:footnote w:id="264">
    <w:p w:rsidR="008115D5" w:rsidRPr="00264F76" w:rsidP="00C736CB" w14:paraId="4A4EF3FE" w14:textId="77777777">
      <w:pPr>
        <w:pStyle w:val="FootnoteText"/>
      </w:pPr>
      <w:r w:rsidRPr="00264F76">
        <w:rPr>
          <w:rStyle w:val="FootnoteReference"/>
          <w:sz w:val="20"/>
        </w:rPr>
        <w:footnoteRef/>
      </w:r>
      <w:r w:rsidRPr="00264F76">
        <w:t xml:space="preserve"> USTelecom Catalog Public Notice Comments at 3. </w:t>
      </w:r>
    </w:p>
  </w:footnote>
  <w:footnote w:id="265">
    <w:p w:rsidR="008115D5" w:rsidRPr="00264F76" w:rsidP="00C736CB" w14:paraId="51F32FEA" w14:textId="77777777">
      <w:pPr>
        <w:pStyle w:val="FootnoteText"/>
      </w:pPr>
      <w:r w:rsidRPr="00264F76">
        <w:rPr>
          <w:rStyle w:val="FootnoteReference"/>
          <w:sz w:val="20"/>
        </w:rPr>
        <w:footnoteRef/>
      </w:r>
      <w:r w:rsidRPr="00264F76">
        <w:t xml:space="preserve"> </w:t>
      </w:r>
      <w:r>
        <w:rPr>
          <w:i/>
          <w:iCs/>
        </w:rPr>
        <w:t>2021 Supply Chain</w:t>
      </w:r>
      <w:r w:rsidRPr="00264F76">
        <w:rPr>
          <w:i/>
          <w:iCs/>
        </w:rPr>
        <w:t xml:space="preserve"> Order</w:t>
      </w:r>
      <w:r w:rsidRPr="00264F76">
        <w:t xml:space="preserve"> at 37, para. 90.  </w:t>
      </w:r>
    </w:p>
  </w:footnote>
  <w:footnote w:id="266">
    <w:p w:rsidR="008115D5" w:rsidRPr="00264F76" w:rsidP="00C736CB" w14:paraId="7981F946" w14:textId="77777777">
      <w:pPr>
        <w:pStyle w:val="FootnoteText"/>
      </w:pPr>
      <w:r w:rsidRPr="00264F76">
        <w:rPr>
          <w:rStyle w:val="FootnoteReference"/>
          <w:sz w:val="20"/>
        </w:rPr>
        <w:footnoteRef/>
      </w:r>
      <w:r w:rsidRPr="00264F76">
        <w:t xml:space="preserve"> </w:t>
      </w:r>
      <w:r w:rsidRPr="00264F76">
        <w:rPr>
          <w:i/>
          <w:iCs/>
        </w:rPr>
        <w:t>Id</w:t>
      </w:r>
      <w:r w:rsidRPr="00264F76">
        <w:t>.</w:t>
      </w:r>
    </w:p>
  </w:footnote>
  <w:footnote w:id="267">
    <w:p w:rsidR="008115D5" w:rsidRPr="00264F76" w:rsidP="00C736CB" w14:paraId="0A44E765" w14:textId="77777777">
      <w:pPr>
        <w:pStyle w:val="FootnoteText"/>
      </w:pPr>
      <w:r w:rsidRPr="00264F76">
        <w:rPr>
          <w:rStyle w:val="FootnoteReference"/>
          <w:sz w:val="20"/>
        </w:rPr>
        <w:footnoteRef/>
      </w:r>
      <w:r w:rsidRPr="00264F76">
        <w:t xml:space="preserve"> </w:t>
      </w:r>
      <w:r w:rsidRPr="00264F76">
        <w:rPr>
          <w:i/>
          <w:iCs/>
        </w:rPr>
        <w:t>Id</w:t>
      </w:r>
      <w:r w:rsidRPr="00264F76">
        <w:t>. at 37-38, para. 91.</w:t>
      </w:r>
    </w:p>
  </w:footnote>
  <w:footnote w:id="268">
    <w:p w:rsidR="008115D5" w:rsidRPr="00264F76" w:rsidP="00C736CB" w14:paraId="106DD600" w14:textId="77777777">
      <w:pPr>
        <w:pStyle w:val="FootnoteText"/>
      </w:pPr>
      <w:r w:rsidRPr="00264F76">
        <w:rPr>
          <w:rStyle w:val="FootnoteReference"/>
          <w:sz w:val="20"/>
        </w:rPr>
        <w:footnoteRef/>
      </w:r>
      <w:r w:rsidRPr="00264F76">
        <w:t xml:space="preserve"> Ericsson Catalog Public Notice Comments at 2-3 (citing </w:t>
      </w:r>
      <w:r w:rsidRPr="00264F76">
        <w:rPr>
          <w:i/>
          <w:iCs/>
        </w:rPr>
        <w:t>Catalog Public Notice</w:t>
      </w:r>
      <w:r w:rsidRPr="00264F76">
        <w:t xml:space="preserve">, Attach. 2 at 20). </w:t>
      </w:r>
    </w:p>
  </w:footnote>
  <w:footnote w:id="269">
    <w:p w:rsidR="008115D5" w:rsidRPr="00264F76" w:rsidP="00C736CB" w14:paraId="60B77C57" w14:textId="77777777">
      <w:pPr>
        <w:pStyle w:val="FootnoteText"/>
      </w:pPr>
      <w:r w:rsidRPr="00264F76">
        <w:rPr>
          <w:rStyle w:val="FootnoteReference"/>
          <w:sz w:val="20"/>
        </w:rPr>
        <w:footnoteRef/>
      </w:r>
      <w:r w:rsidRPr="00264F76">
        <w:t xml:space="preserve"> </w:t>
      </w:r>
      <w:r w:rsidRPr="00264F76">
        <w:rPr>
          <w:i/>
          <w:iCs/>
        </w:rPr>
        <w:t>Id</w:t>
      </w:r>
      <w:r w:rsidRPr="00264F76">
        <w:t xml:space="preserve">. </w:t>
      </w:r>
    </w:p>
  </w:footnote>
  <w:footnote w:id="270">
    <w:p w:rsidR="008115D5" w:rsidRPr="00264F76" w:rsidP="00C736CB" w14:paraId="7A29F43D" w14:textId="77777777">
      <w:pPr>
        <w:pStyle w:val="FootnoteText"/>
      </w:pPr>
      <w:r w:rsidRPr="00264F76">
        <w:rPr>
          <w:rStyle w:val="FootnoteReference"/>
          <w:sz w:val="20"/>
        </w:rPr>
        <w:footnoteRef/>
      </w:r>
      <w:r w:rsidRPr="00264F76">
        <w:t xml:space="preserve"> </w:t>
      </w:r>
      <w:r>
        <w:rPr>
          <w:i/>
          <w:iCs/>
        </w:rPr>
        <w:t xml:space="preserve">2021 Supply Chain </w:t>
      </w:r>
      <w:r w:rsidRPr="00264F76">
        <w:rPr>
          <w:i/>
          <w:iCs/>
        </w:rPr>
        <w:t>Order</w:t>
      </w:r>
      <w:r w:rsidRPr="00264F76">
        <w:t xml:space="preserve"> at 39, para. 94. </w:t>
      </w:r>
    </w:p>
  </w:footnote>
  <w:footnote w:id="271">
    <w:p w:rsidR="008115D5" w:rsidRPr="00264F76" w:rsidP="00C736CB" w14:paraId="368BB1CF" w14:textId="77777777">
      <w:pPr>
        <w:pStyle w:val="FootnoteText"/>
      </w:pPr>
      <w:r w:rsidRPr="00264F76">
        <w:rPr>
          <w:rStyle w:val="FootnoteReference"/>
          <w:sz w:val="20"/>
        </w:rPr>
        <w:footnoteRef/>
      </w:r>
      <w:r w:rsidRPr="00264F76">
        <w:t xml:space="preserve"> Vantage Point Catalog Public Notice Comments at 6.</w:t>
      </w:r>
    </w:p>
  </w:footnote>
  <w:footnote w:id="272">
    <w:p w:rsidR="008115D5" w:rsidRPr="00264F76" w:rsidP="00C736CB" w14:paraId="28313089" w14:textId="77777777">
      <w:pPr>
        <w:pStyle w:val="FootnoteText"/>
      </w:pPr>
      <w:r w:rsidRPr="00264F76">
        <w:rPr>
          <w:rStyle w:val="FootnoteReference"/>
          <w:sz w:val="20"/>
        </w:rPr>
        <w:footnoteRef/>
      </w:r>
      <w:r w:rsidRPr="00264F76">
        <w:t xml:space="preserve"> Appx. C, § 4.</w:t>
      </w:r>
    </w:p>
  </w:footnote>
  <w:footnote w:id="273">
    <w:p w:rsidR="008115D5" w:rsidRPr="00264F76" w:rsidP="00C736CB" w14:paraId="021FC58D" w14:textId="77777777">
      <w:pPr>
        <w:pStyle w:val="FootnoteText"/>
      </w:pPr>
      <w:r w:rsidRPr="00264F76">
        <w:rPr>
          <w:rStyle w:val="FootnoteReference"/>
          <w:sz w:val="20"/>
        </w:rPr>
        <w:footnoteRef/>
      </w:r>
      <w:r w:rsidRPr="00264F76">
        <w:t xml:space="preserve"> CCA Catalog Public Notice Comments at 5. </w:t>
      </w:r>
    </w:p>
  </w:footnote>
  <w:footnote w:id="274">
    <w:p w:rsidR="008115D5" w:rsidRPr="00264F76" w:rsidP="00C736CB" w14:paraId="17EA542B" w14:textId="77777777">
      <w:pPr>
        <w:pStyle w:val="FootnoteText"/>
      </w:pPr>
      <w:r w:rsidRPr="00264F76">
        <w:rPr>
          <w:rStyle w:val="FootnoteReference"/>
          <w:sz w:val="20"/>
        </w:rPr>
        <w:footnoteRef/>
      </w:r>
      <w:r w:rsidRPr="00264F76">
        <w:t xml:space="preserve"> Appx. C, § 5.48.</w:t>
      </w:r>
    </w:p>
  </w:footnote>
  <w:footnote w:id="275">
    <w:p w:rsidR="008115D5" w:rsidRPr="00264F76" w:rsidP="00C736CB" w14:paraId="13ABB3F8" w14:textId="77777777">
      <w:pPr>
        <w:pStyle w:val="FootnoteText"/>
      </w:pPr>
      <w:r w:rsidRPr="00264F76">
        <w:rPr>
          <w:rStyle w:val="FootnoteReference"/>
          <w:sz w:val="20"/>
        </w:rPr>
        <w:footnoteRef/>
      </w:r>
      <w:r w:rsidRPr="00264F76">
        <w:t xml:space="preserve"> USTelecom</w:t>
      </w:r>
      <w:r w:rsidRPr="00264F76">
        <w:t xml:space="preserve"> Catalog Public Notice Comments at 3.</w:t>
      </w:r>
    </w:p>
  </w:footnote>
  <w:footnote w:id="276">
    <w:p w:rsidR="008115D5" w:rsidRPr="00264F76" w:rsidP="00C736CB" w14:paraId="3D23DA01" w14:textId="77777777">
      <w:pPr>
        <w:pStyle w:val="FootnoteText"/>
      </w:pPr>
      <w:r w:rsidRPr="00264F76">
        <w:rPr>
          <w:rStyle w:val="FootnoteReference"/>
          <w:sz w:val="20"/>
        </w:rPr>
        <w:footnoteRef/>
      </w:r>
      <w:r w:rsidRPr="00264F76">
        <w:t xml:space="preserve"> </w:t>
      </w:r>
      <w:r w:rsidRPr="00264F76">
        <w:rPr>
          <w:i/>
          <w:iCs/>
        </w:rPr>
        <w:t>Id</w:t>
      </w:r>
      <w:r w:rsidRPr="00264F76">
        <w:t>. at 3.</w:t>
      </w:r>
    </w:p>
  </w:footnote>
  <w:footnote w:id="277">
    <w:p w:rsidR="008115D5" w:rsidRPr="00264F76" w:rsidP="00C736CB" w14:paraId="236F38F3" w14:textId="77777777">
      <w:pPr>
        <w:pStyle w:val="FootnoteText"/>
      </w:pPr>
      <w:r w:rsidRPr="00264F76">
        <w:rPr>
          <w:rStyle w:val="FootnoteReference"/>
          <w:sz w:val="20"/>
        </w:rPr>
        <w:footnoteRef/>
      </w:r>
      <w:r w:rsidRPr="00264F76">
        <w:t xml:space="preserve"> Appx. C, §§ 5.6, 5.6.7.</w:t>
      </w:r>
    </w:p>
  </w:footnote>
  <w:footnote w:id="278">
    <w:p w:rsidR="008115D5" w:rsidRPr="00264F76" w:rsidP="00C736CB" w14:paraId="7CE87AEB" w14:textId="77777777">
      <w:pPr>
        <w:pStyle w:val="FootnoteText"/>
      </w:pPr>
      <w:r w:rsidRPr="00264F76">
        <w:rPr>
          <w:rStyle w:val="FootnoteReference"/>
          <w:sz w:val="20"/>
        </w:rPr>
        <w:footnoteRef/>
      </w:r>
      <w:r w:rsidRPr="00264F76">
        <w:t xml:space="preserve"> </w:t>
      </w:r>
      <w:r w:rsidRPr="00264F76">
        <w:rPr>
          <w:i/>
          <w:iCs/>
        </w:rPr>
        <w:t xml:space="preserve">See </w:t>
      </w:r>
      <w:r w:rsidRPr="00264F76">
        <w:t>Mavenir Catalog Public Notice Comments at 3.</w:t>
      </w:r>
    </w:p>
  </w:footnote>
  <w:footnote w:id="279">
    <w:p w:rsidR="008115D5" w:rsidP="00C736CB" w14:paraId="7DC095DC" w14:textId="77777777">
      <w:pPr>
        <w:pStyle w:val="FootnoteText"/>
      </w:pPr>
      <w:r>
        <w:rPr>
          <w:rStyle w:val="FootnoteReference"/>
        </w:rPr>
        <w:footnoteRef/>
      </w:r>
      <w:r>
        <w:t xml:space="preserve"> Appx. C, § 2.31.0.</w:t>
      </w:r>
    </w:p>
  </w:footnote>
  <w:footnote w:id="280">
    <w:p w:rsidR="008115D5" w:rsidRPr="00264F76" w:rsidP="00C736CB" w14:paraId="604208F0" w14:textId="77777777">
      <w:pPr>
        <w:pStyle w:val="FootnoteText"/>
      </w:pPr>
      <w:r w:rsidRPr="00264F76">
        <w:rPr>
          <w:rStyle w:val="FootnoteReference"/>
          <w:sz w:val="20"/>
        </w:rPr>
        <w:footnoteRef/>
      </w:r>
      <w:r w:rsidRPr="00264F76">
        <w:t xml:space="preserve"> Appx. C, §§ 2.34, 2.35, 2.36. </w:t>
      </w:r>
    </w:p>
  </w:footnote>
  <w:footnote w:id="281">
    <w:p w:rsidR="008115D5" w:rsidP="00C736CB" w14:paraId="605DCE4E" w14:textId="77777777">
      <w:pPr>
        <w:pStyle w:val="FootnoteText"/>
      </w:pPr>
      <w:r w:rsidRPr="3B6760A3">
        <w:rPr>
          <w:rStyle w:val="FootnoteReference"/>
          <w:sz w:val="20"/>
        </w:rPr>
        <w:footnoteRef/>
      </w:r>
      <w:r>
        <w:t xml:space="preserve"> </w:t>
      </w:r>
      <w:r w:rsidRPr="00BF67FE">
        <w:rPr>
          <w:i/>
          <w:iCs/>
        </w:rPr>
        <w:t>Catalog Public Notice</w:t>
      </w:r>
      <w:r>
        <w:t>, Appx. B at 14; Appx. C, § 2.33.0.</w:t>
      </w:r>
    </w:p>
  </w:footnote>
  <w:footnote w:id="282">
    <w:p w:rsidR="008115D5" w:rsidRPr="00264F76" w:rsidP="00C736CB" w14:paraId="09C06E7D" w14:textId="77777777">
      <w:pPr>
        <w:pStyle w:val="FootnoteText"/>
      </w:pPr>
      <w:r w:rsidRPr="00264F76">
        <w:rPr>
          <w:rStyle w:val="FootnoteReference"/>
          <w:sz w:val="20"/>
        </w:rPr>
        <w:footnoteRef/>
      </w:r>
      <w:r w:rsidRPr="00264F76">
        <w:t xml:space="preserve"> USTelecom Cata</w:t>
      </w:r>
      <w:r w:rsidRPr="00264F76">
        <w:t xml:space="preserve">log Public Notice Comments at 4. </w:t>
      </w:r>
    </w:p>
  </w:footnote>
  <w:footnote w:id="283">
    <w:p w:rsidR="008115D5" w:rsidRPr="00264F76" w:rsidP="00C736CB" w14:paraId="365B7752" w14:textId="77777777">
      <w:pPr>
        <w:pStyle w:val="FootnoteText"/>
      </w:pPr>
      <w:r w:rsidRPr="00264F76">
        <w:rPr>
          <w:rStyle w:val="FootnoteReference"/>
          <w:sz w:val="20"/>
        </w:rPr>
        <w:footnoteRef/>
      </w:r>
      <w:r w:rsidRPr="00264F76">
        <w:t xml:space="preserve"> Appx. C, § 1.2.1.</w:t>
      </w:r>
    </w:p>
  </w:footnote>
  <w:footnote w:id="284">
    <w:p w:rsidR="008115D5" w:rsidP="00C736CB" w14:paraId="6DFD4A52" w14:textId="77777777">
      <w:pPr>
        <w:pStyle w:val="FootnoteText"/>
      </w:pPr>
      <w:r w:rsidRPr="3510B004">
        <w:rPr>
          <w:rStyle w:val="FootnoteReference"/>
          <w:sz w:val="20"/>
        </w:rPr>
        <w:footnoteRef/>
      </w:r>
      <w:r>
        <w:t xml:space="preserve"> </w:t>
      </w:r>
      <w:r w:rsidRPr="5B9214A0">
        <w:rPr>
          <w:i/>
          <w:iCs/>
        </w:rPr>
        <w:t>Id.</w:t>
      </w:r>
      <w:r>
        <w:t>, § 1.2.0.</w:t>
      </w:r>
    </w:p>
  </w:footnote>
  <w:footnote w:id="285">
    <w:p w:rsidR="008115D5" w:rsidP="00C736CB" w14:paraId="29191B36" w14:textId="77777777">
      <w:pPr>
        <w:pStyle w:val="FootnoteText"/>
      </w:pPr>
      <w:r w:rsidRPr="00EE447B">
        <w:rPr>
          <w:rStyle w:val="FootnoteReference"/>
          <w:sz w:val="20"/>
        </w:rPr>
        <w:footnoteRef/>
      </w:r>
      <w:r>
        <w:t xml:space="preserve"> </w:t>
      </w:r>
      <w:r w:rsidRPr="00C8047B">
        <w:rPr>
          <w:i/>
          <w:iCs/>
        </w:rPr>
        <w:t>Id</w:t>
      </w:r>
      <w:r>
        <w:t>., § 2.7.0.</w:t>
      </w:r>
    </w:p>
  </w:footnote>
  <w:footnote w:id="286">
    <w:p w:rsidR="008115D5" w:rsidP="00C736CB" w14:paraId="43359DFD" w14:textId="77777777">
      <w:pPr>
        <w:pStyle w:val="FootnoteText"/>
      </w:pPr>
      <w:r w:rsidRPr="00EE447B">
        <w:rPr>
          <w:rStyle w:val="FootnoteReference"/>
          <w:sz w:val="20"/>
        </w:rPr>
        <w:footnoteRef/>
      </w:r>
      <w:r>
        <w:t xml:space="preserve"> </w:t>
      </w:r>
      <w:r w:rsidRPr="00E0403D">
        <w:rPr>
          <w:i/>
          <w:iCs/>
        </w:rPr>
        <w:t>Id</w:t>
      </w:r>
      <w:r>
        <w:t>., § 3.4.0.</w:t>
      </w:r>
    </w:p>
  </w:footnote>
  <w:footnote w:id="287">
    <w:p w:rsidR="008115D5" w:rsidRPr="00264F76" w:rsidP="00C736CB" w14:paraId="7AFAD5AA" w14:textId="77777777">
      <w:pPr>
        <w:pStyle w:val="FootnoteText"/>
      </w:pPr>
      <w:r w:rsidRPr="00264F76">
        <w:rPr>
          <w:rStyle w:val="FootnoteReference"/>
          <w:sz w:val="20"/>
        </w:rPr>
        <w:footnoteRef/>
      </w:r>
      <w:r w:rsidRPr="00264F76">
        <w:t xml:space="preserve"> USTelecom Catalog Public Notice Comments at 2-3.</w:t>
      </w:r>
    </w:p>
  </w:footnote>
  <w:footnote w:id="288">
    <w:p w:rsidR="008115D5" w:rsidRPr="00264F76" w:rsidP="00C736CB" w14:paraId="03E3C409" w14:textId="77777777">
      <w:pPr>
        <w:pStyle w:val="FootnoteText"/>
      </w:pPr>
      <w:r w:rsidRPr="00264F76">
        <w:rPr>
          <w:rStyle w:val="FootnoteReference"/>
          <w:sz w:val="20"/>
        </w:rPr>
        <w:footnoteRef/>
      </w:r>
      <w:r w:rsidRPr="00264F76">
        <w:t xml:space="preserve"> </w:t>
      </w:r>
      <w:r w:rsidRPr="00264F76">
        <w:rPr>
          <w:i/>
          <w:iCs/>
        </w:rPr>
        <w:t>Id</w:t>
      </w:r>
      <w:r w:rsidRPr="00264F76">
        <w:t xml:space="preserve">. at 3. </w:t>
      </w:r>
    </w:p>
  </w:footnote>
  <w:footnote w:id="289">
    <w:p w:rsidR="008115D5" w:rsidRPr="00264F76" w:rsidP="00C736CB" w14:paraId="53E448B0" w14:textId="77777777">
      <w:pPr>
        <w:pStyle w:val="FootnoteText"/>
      </w:pPr>
      <w:r w:rsidRPr="00264F76">
        <w:rPr>
          <w:rStyle w:val="FootnoteReference"/>
          <w:sz w:val="20"/>
        </w:rPr>
        <w:footnoteRef/>
      </w:r>
      <w:r w:rsidRPr="00264F76">
        <w:t xml:space="preserve"> Appx. C, § 1.9.1.</w:t>
      </w:r>
    </w:p>
  </w:footnote>
  <w:footnote w:id="290">
    <w:p w:rsidR="008115D5" w:rsidRPr="00264F76" w:rsidP="00C736CB" w14:paraId="77C56359" w14:textId="77777777">
      <w:pPr>
        <w:pStyle w:val="FootnoteText"/>
      </w:pPr>
      <w:r w:rsidRPr="00264F76">
        <w:rPr>
          <w:rStyle w:val="FootnoteReference"/>
          <w:sz w:val="20"/>
        </w:rPr>
        <w:footnoteRef/>
      </w:r>
      <w:r w:rsidRPr="00264F76">
        <w:t xml:space="preserve"> CCA</w:t>
      </w:r>
      <w:r w:rsidRPr="00264F76">
        <w:t xml:space="preserve"> Catalog Public Notice Comments at 5.</w:t>
      </w:r>
    </w:p>
  </w:footnote>
  <w:footnote w:id="291">
    <w:p w:rsidR="008115D5" w:rsidP="00C736CB" w14:paraId="6A813E3F" w14:textId="77777777">
      <w:pPr>
        <w:pStyle w:val="FootnoteText"/>
      </w:pPr>
      <w:r w:rsidRPr="2F1265D7">
        <w:rPr>
          <w:rStyle w:val="FootnoteReference"/>
          <w:sz w:val="20"/>
        </w:rPr>
        <w:footnoteRef/>
      </w:r>
      <w:r>
        <w:t xml:space="preserve"> </w:t>
      </w:r>
      <w:r w:rsidRPr="00BF67FE">
        <w:rPr>
          <w:i/>
          <w:iCs/>
        </w:rPr>
        <w:t>Catalog Public Notice</w:t>
      </w:r>
      <w:r>
        <w:t xml:space="preserve">, Attach. 2 at 8.  </w:t>
      </w:r>
    </w:p>
  </w:footnote>
  <w:footnote w:id="292">
    <w:p w:rsidR="008115D5" w:rsidP="00C736CB" w14:paraId="7B3DECE5" w14:textId="77777777">
      <w:pPr>
        <w:pStyle w:val="FootnoteText"/>
      </w:pPr>
      <w:r>
        <w:rPr>
          <w:rStyle w:val="FootnoteReference"/>
        </w:rPr>
        <w:footnoteRef/>
      </w:r>
      <w:r>
        <w:t xml:space="preserve"> </w:t>
      </w:r>
      <w:r w:rsidRPr="008B38A3">
        <w:rPr>
          <w:i/>
          <w:iCs/>
        </w:rPr>
        <w:t>See</w:t>
      </w:r>
      <w:r>
        <w:t xml:space="preserve"> Appx. C, § 2.1.0.</w:t>
      </w:r>
    </w:p>
  </w:footnote>
  <w:footnote w:id="293">
    <w:p w:rsidR="008115D5" w:rsidP="00C736CB" w14:paraId="11B6109E" w14:textId="77777777">
      <w:pPr>
        <w:pStyle w:val="FootnoteText"/>
      </w:pPr>
      <w:r>
        <w:rPr>
          <w:rStyle w:val="FootnoteReference"/>
        </w:rPr>
        <w:footnoteRef/>
      </w:r>
      <w:r>
        <w:t xml:space="preserve"> </w:t>
      </w:r>
      <w:r w:rsidRPr="00BF67FE">
        <w:rPr>
          <w:i/>
          <w:iCs/>
        </w:rPr>
        <w:t>Catalog Public Notice</w:t>
      </w:r>
      <w:r>
        <w:t xml:space="preserve">, Attach. 2 at 7.  </w:t>
      </w:r>
    </w:p>
  </w:footnote>
  <w:footnote w:id="294">
    <w:p w:rsidR="008115D5" w:rsidP="00C736CB" w14:paraId="10A847F5" w14:textId="77777777">
      <w:pPr>
        <w:pStyle w:val="FootnoteText"/>
      </w:pPr>
      <w:r>
        <w:rPr>
          <w:rStyle w:val="FootnoteReference"/>
        </w:rPr>
        <w:footnoteRef/>
      </w:r>
      <w:r>
        <w:t xml:space="preserve"> </w:t>
      </w:r>
      <w:r>
        <w:rPr>
          <w:i/>
          <w:iCs/>
        </w:rPr>
        <w:t>Id.</w:t>
      </w:r>
      <w:r>
        <w:t xml:space="preserve">  </w:t>
      </w:r>
    </w:p>
  </w:footnote>
  <w:footnote w:id="295">
    <w:p w:rsidR="008115D5" w:rsidP="00C736CB" w14:paraId="22DD2B37" w14:textId="77777777">
      <w:pPr>
        <w:pStyle w:val="FootnoteText"/>
      </w:pPr>
      <w:r w:rsidRPr="3FE72FB6">
        <w:rPr>
          <w:rStyle w:val="FootnoteReference"/>
          <w:sz w:val="20"/>
        </w:rPr>
        <w:footnoteRef/>
      </w:r>
      <w:r>
        <w:t xml:space="preserve"> </w:t>
      </w:r>
      <w:r w:rsidRPr="00BF67FE">
        <w:rPr>
          <w:i/>
          <w:iCs/>
        </w:rPr>
        <w:t>2021 Supply Chain Order</w:t>
      </w:r>
      <w:r>
        <w:t xml:space="preserve"> at 39, para. 94.</w:t>
      </w:r>
    </w:p>
  </w:footnote>
  <w:footnote w:id="296">
    <w:p w:rsidR="008115D5" w:rsidP="00C736CB" w14:paraId="19CFB313" w14:textId="77777777">
      <w:pPr>
        <w:pStyle w:val="FootnoteText"/>
      </w:pPr>
      <w:r w:rsidRPr="00EE447B">
        <w:rPr>
          <w:rStyle w:val="FootnoteReference"/>
          <w:sz w:val="20"/>
        </w:rPr>
        <w:footnoteRef/>
      </w:r>
      <w:r>
        <w:t xml:space="preserve"> </w:t>
      </w:r>
      <w:r w:rsidRPr="00BF67FE">
        <w:rPr>
          <w:i/>
          <w:iCs/>
        </w:rPr>
        <w:t>Id</w:t>
      </w:r>
      <w:r>
        <w:t>.</w:t>
      </w:r>
    </w:p>
  </w:footnote>
  <w:footnote w:id="297">
    <w:p w:rsidR="008115D5" w:rsidP="00C736CB" w14:paraId="5015AE6D" w14:textId="77777777">
      <w:pPr>
        <w:pStyle w:val="FootnoteText"/>
      </w:pPr>
      <w:r w:rsidRPr="483F8AB7">
        <w:rPr>
          <w:rStyle w:val="FootnoteReference"/>
          <w:sz w:val="20"/>
        </w:rPr>
        <w:footnoteRef/>
      </w:r>
      <w:r>
        <w:t xml:space="preserve"> </w:t>
      </w:r>
      <w:r w:rsidRPr="483F8AB7">
        <w:rPr>
          <w:i/>
          <w:iCs/>
        </w:rPr>
        <w:t>Id.</w:t>
      </w:r>
      <w:r>
        <w:t xml:space="preserve"> at 38-39, paras. 93-94.</w:t>
      </w:r>
    </w:p>
  </w:footnote>
  <w:footnote w:id="298">
    <w:p w:rsidR="008115D5" w:rsidP="00C736CB" w14:paraId="6AD17339" w14:textId="77777777">
      <w:pPr>
        <w:pStyle w:val="FootnoteText"/>
      </w:pPr>
      <w:r>
        <w:rPr>
          <w:rStyle w:val="FootnoteReference"/>
        </w:rPr>
        <w:footnoteRef/>
      </w:r>
      <w:r>
        <w:t xml:space="preserve"> Appx. C, § 1.8.2.</w:t>
      </w:r>
    </w:p>
  </w:footnote>
  <w:footnote w:id="299">
    <w:p w:rsidR="008115D5" w:rsidRPr="00264F76" w:rsidP="00C736CB" w14:paraId="003E3391" w14:textId="77777777">
      <w:pPr>
        <w:pStyle w:val="FootnoteText"/>
      </w:pPr>
      <w:r w:rsidRPr="00264F76">
        <w:rPr>
          <w:rStyle w:val="FootnoteReference"/>
          <w:sz w:val="20"/>
        </w:rPr>
        <w:footnoteRef/>
      </w:r>
      <w:r w:rsidRPr="00264F76">
        <w:t xml:space="preserve"> Airspan Catalog Public Notice Comments at 4.</w:t>
      </w:r>
    </w:p>
  </w:footnote>
  <w:footnote w:id="300">
    <w:p w:rsidR="008115D5" w:rsidP="00C736CB" w14:paraId="6D4CFDD7" w14:textId="77777777">
      <w:pPr>
        <w:pStyle w:val="FootnoteText"/>
      </w:pPr>
      <w:r w:rsidRPr="3510B004">
        <w:rPr>
          <w:rStyle w:val="FootnoteReference"/>
          <w:sz w:val="20"/>
        </w:rPr>
        <w:footnoteRef/>
      </w:r>
      <w:r>
        <w:t xml:space="preserve"> </w:t>
      </w:r>
      <w:r w:rsidRPr="00BF67FE">
        <w:rPr>
          <w:i/>
          <w:iCs/>
        </w:rPr>
        <w:t xml:space="preserve">See </w:t>
      </w:r>
      <w:r>
        <w:t>Appx. C, § 1.2.1 (decreasing the low-end of the range of estimated costs for “</w:t>
      </w:r>
      <w:r w:rsidRPr="00C67CA2">
        <w:t>Access WDM &amp; OTN equipment, Small network</w:t>
      </w:r>
      <w:r>
        <w:t xml:space="preserve">” from $83,000.00 to $3,454.00); </w:t>
      </w:r>
      <w:r w:rsidRPr="00BF67FE">
        <w:rPr>
          <w:i/>
          <w:iCs/>
        </w:rPr>
        <w:t>id</w:t>
      </w:r>
      <w:r>
        <w:t>., §§ 2.31.0 to 2.31.7 (decreasing the low-end of</w:t>
      </w:r>
      <w:r>
        <w:t xml:space="preserve"> the range of estimated costs for various “Open vRAN eNOdeB” subcategories).   </w:t>
      </w:r>
    </w:p>
  </w:footnote>
  <w:footnote w:id="301">
    <w:p w:rsidR="008115D5" w:rsidRPr="00264F76" w:rsidP="00C736CB" w14:paraId="3DB31BD7" w14:textId="77777777">
      <w:pPr>
        <w:pStyle w:val="FootnoteText"/>
      </w:pPr>
      <w:r w:rsidRPr="00264F76">
        <w:rPr>
          <w:rStyle w:val="FootnoteReference"/>
          <w:sz w:val="20"/>
        </w:rPr>
        <w:footnoteRef/>
      </w:r>
      <w:r w:rsidRPr="00264F76">
        <w:t xml:space="preserve"> Vantage Point Catalog Public Notice Comments at 2-3. </w:t>
      </w:r>
    </w:p>
  </w:footnote>
  <w:footnote w:id="302">
    <w:p w:rsidR="008115D5" w:rsidRPr="00264F76" w:rsidP="00C736CB" w14:paraId="1B3FDD33" w14:textId="77777777">
      <w:pPr>
        <w:pStyle w:val="FootnoteText"/>
      </w:pPr>
      <w:r w:rsidRPr="00264F76">
        <w:rPr>
          <w:rStyle w:val="FootnoteReference"/>
          <w:sz w:val="20"/>
        </w:rPr>
        <w:footnoteRef/>
      </w:r>
      <w:r w:rsidRPr="00264F76">
        <w:t xml:space="preserve"> Appx. C, § 5.28.5.</w:t>
      </w:r>
    </w:p>
  </w:footnote>
  <w:footnote w:id="303">
    <w:p w:rsidR="008115D5" w:rsidRPr="00264F76" w:rsidP="00C736CB" w14:paraId="7C15BC0D" w14:textId="77777777">
      <w:pPr>
        <w:pStyle w:val="FootnoteText"/>
      </w:pPr>
      <w:r w:rsidRPr="00264F76">
        <w:rPr>
          <w:rStyle w:val="FootnoteReference"/>
          <w:sz w:val="20"/>
        </w:rPr>
        <w:footnoteRef/>
      </w:r>
      <w:r w:rsidRPr="00264F76">
        <w:t xml:space="preserve"> </w:t>
      </w:r>
      <w:r w:rsidRPr="0A0EE3E2">
        <w:rPr>
          <w:i/>
          <w:iCs/>
        </w:rPr>
        <w:t>Id.</w:t>
      </w:r>
      <w:r w:rsidRPr="00264F76">
        <w:t>, § 2.14.2.</w:t>
      </w:r>
    </w:p>
  </w:footnote>
  <w:footnote w:id="304">
    <w:p w:rsidR="008115D5" w:rsidRPr="00264F76" w:rsidP="00C736CB" w14:paraId="68DC2659" w14:textId="77777777">
      <w:pPr>
        <w:pStyle w:val="FootnoteText"/>
      </w:pPr>
      <w:r w:rsidRPr="00264F76">
        <w:rPr>
          <w:rStyle w:val="FootnoteReference"/>
          <w:sz w:val="20"/>
        </w:rPr>
        <w:footnoteRef/>
      </w:r>
      <w:r w:rsidRPr="00264F76">
        <w:t xml:space="preserve"> </w:t>
      </w:r>
      <w:r w:rsidRPr="0A0EE3E2">
        <w:rPr>
          <w:i/>
          <w:iCs/>
        </w:rPr>
        <w:t>Id.</w:t>
      </w:r>
      <w:r w:rsidRPr="00264F76">
        <w:t>, § 2.17.</w:t>
      </w:r>
    </w:p>
  </w:footnote>
  <w:footnote w:id="305">
    <w:p w:rsidR="008115D5" w:rsidRPr="00264F76" w:rsidP="00C736CB" w14:paraId="60B80643" w14:textId="77777777">
      <w:pPr>
        <w:pStyle w:val="FootnoteText"/>
      </w:pPr>
      <w:r w:rsidRPr="00264F76">
        <w:rPr>
          <w:rStyle w:val="FootnoteReference"/>
          <w:sz w:val="20"/>
        </w:rPr>
        <w:footnoteRef/>
      </w:r>
      <w:r w:rsidRPr="00264F76">
        <w:t xml:space="preserve"> </w:t>
      </w:r>
      <w:r w:rsidRPr="00264F76">
        <w:rPr>
          <w:i/>
          <w:iCs/>
        </w:rPr>
        <w:t>Compare</w:t>
      </w:r>
      <w:r w:rsidRPr="00264F76">
        <w:t xml:space="preserve"> Appx. C, </w:t>
      </w:r>
      <w:r>
        <w:t>§</w:t>
      </w:r>
      <w:r w:rsidRPr="00264F76">
        <w:t xml:space="preserve"> 5.24.1 </w:t>
      </w:r>
      <w:r w:rsidRPr="00264F76">
        <w:rPr>
          <w:i/>
          <w:iCs/>
        </w:rPr>
        <w:t>with</w:t>
      </w:r>
      <w:r w:rsidRPr="00264F76">
        <w:t xml:space="preserve"> </w:t>
      </w:r>
      <w:r w:rsidRPr="00264F76">
        <w:rPr>
          <w:i/>
          <w:iCs/>
        </w:rPr>
        <w:t>Catalog Public Notice</w:t>
      </w:r>
      <w:r w:rsidRPr="00264F76">
        <w:t xml:space="preserve">, </w:t>
      </w:r>
      <w:r w:rsidRPr="00264F76">
        <w:t>Attach. 2 at 27.</w:t>
      </w:r>
    </w:p>
  </w:footnote>
  <w:footnote w:id="306">
    <w:p w:rsidR="008115D5" w:rsidRPr="00264F76" w:rsidP="00C736CB" w14:paraId="0ED521B1" w14:textId="77777777">
      <w:pPr>
        <w:pStyle w:val="FootnoteText"/>
      </w:pPr>
      <w:r w:rsidRPr="00264F76">
        <w:rPr>
          <w:rStyle w:val="FootnoteReference"/>
          <w:sz w:val="20"/>
        </w:rPr>
        <w:footnoteRef/>
      </w:r>
      <w:r w:rsidRPr="00264F76">
        <w:t xml:space="preserve"> Secure Networks Act § 4(d)(1)(A)</w:t>
      </w:r>
      <w:r>
        <w:t>; 47 U.S.C. § 1603(d)(1)(A).</w:t>
      </w:r>
    </w:p>
  </w:footnote>
  <w:footnote w:id="307">
    <w:p w:rsidR="008115D5" w:rsidRPr="00264F76" w:rsidP="00C736CB" w14:paraId="217A459D" w14:textId="77777777">
      <w:pPr>
        <w:pStyle w:val="FootnoteText"/>
      </w:pPr>
      <w:r w:rsidRPr="00264F76">
        <w:rPr>
          <w:rStyle w:val="FootnoteReference"/>
          <w:sz w:val="20"/>
        </w:rPr>
        <w:footnoteRef/>
      </w:r>
      <w:r w:rsidRPr="00264F76">
        <w:t xml:space="preserve"> </w:t>
      </w:r>
      <w:r w:rsidRPr="00BF67FE">
        <w:t>Secure Networks Act</w:t>
      </w:r>
      <w:r w:rsidRPr="00116254">
        <w:t xml:space="preserve"> § 4(d)(1)(B); 47 U.S.C. </w:t>
      </w:r>
      <w:r>
        <w:t xml:space="preserve">§ </w:t>
      </w:r>
      <w:r w:rsidRPr="00116254">
        <w:t>1603(d)(1)(</w:t>
      </w:r>
      <w:r w:rsidRPr="00657D16">
        <w:rPr>
          <w:rFonts w:eastAsia="Segoe UI Emoji"/>
        </w:rPr>
        <w:t>B).</w:t>
      </w:r>
    </w:p>
  </w:footnote>
  <w:footnote w:id="308">
    <w:p w:rsidR="008115D5" w:rsidRPr="00264F76" w:rsidP="00C736CB" w14:paraId="6ACD685B" w14:textId="77777777">
      <w:pPr>
        <w:pStyle w:val="FootnoteText"/>
      </w:pPr>
      <w:r w:rsidRPr="00264F76">
        <w:rPr>
          <w:rStyle w:val="FootnoteReference"/>
          <w:sz w:val="20"/>
        </w:rPr>
        <w:footnoteRef/>
      </w:r>
      <w:r w:rsidRPr="00264F76">
        <w:t xml:space="preserve"> </w:t>
      </w:r>
      <w:r>
        <w:rPr>
          <w:i/>
          <w:iCs/>
        </w:rPr>
        <w:t>2020 Supply Chain</w:t>
      </w:r>
      <w:r w:rsidRPr="00264F76">
        <w:rPr>
          <w:i/>
        </w:rPr>
        <w:t xml:space="preserve"> </w:t>
      </w:r>
      <w:r w:rsidRPr="00264F76">
        <w:rPr>
          <w:i/>
          <w:iCs/>
        </w:rPr>
        <w:t>Order</w:t>
      </w:r>
      <w:r w:rsidRPr="00264F76">
        <w:t>, 35 FCC Rcd at 14363-64, para. 198</w:t>
      </w:r>
      <w:r>
        <w:t>; 47 CFR § 1.50006</w:t>
      </w:r>
      <w:r w:rsidRPr="00264F76">
        <w:t xml:space="preserve">. </w:t>
      </w:r>
    </w:p>
  </w:footnote>
  <w:footnote w:id="309">
    <w:p w:rsidR="008115D5" w:rsidRPr="00264F76" w:rsidP="00C736CB" w14:paraId="65296078" w14:textId="77777777">
      <w:pPr>
        <w:pStyle w:val="FootnoteText"/>
      </w:pPr>
      <w:r w:rsidRPr="00264F76">
        <w:rPr>
          <w:rStyle w:val="FootnoteReference"/>
          <w:sz w:val="20"/>
        </w:rPr>
        <w:footnoteRef/>
      </w:r>
      <w:r w:rsidRPr="00264F76">
        <w:rPr>
          <w:i/>
          <w:iCs/>
        </w:rPr>
        <w:t xml:space="preserve"> Id</w:t>
      </w:r>
      <w:r w:rsidRPr="00264F76">
        <w:t>. at 14368, para. 208.</w:t>
      </w:r>
    </w:p>
  </w:footnote>
  <w:footnote w:id="310">
    <w:p w:rsidR="008115D5" w:rsidRPr="00264F76" w:rsidP="00C736CB" w14:paraId="7F66CDB5" w14:textId="77777777">
      <w:pPr>
        <w:pStyle w:val="FootnoteText"/>
      </w:pPr>
      <w:r w:rsidRPr="00264F76">
        <w:rPr>
          <w:rStyle w:val="FootnoteReference"/>
          <w:sz w:val="20"/>
        </w:rPr>
        <w:footnoteRef/>
      </w:r>
      <w:r w:rsidRPr="00264F76">
        <w:t xml:space="preserve"> </w:t>
      </w:r>
      <w:r w:rsidRPr="00264F76">
        <w:rPr>
          <w:i/>
          <w:iCs/>
        </w:rPr>
        <w:t>Catalog Public Notice</w:t>
      </w:r>
      <w:r w:rsidRPr="00264F76">
        <w:t xml:space="preserve"> at 3-4.</w:t>
      </w:r>
    </w:p>
  </w:footnote>
  <w:footnote w:id="311">
    <w:p w:rsidR="008115D5" w:rsidRPr="00264F76" w:rsidP="00C736CB" w14:paraId="25EE8B19" w14:textId="77777777">
      <w:pPr>
        <w:pStyle w:val="FootnoteText"/>
      </w:pPr>
      <w:r w:rsidRPr="00264F76">
        <w:rPr>
          <w:rStyle w:val="FootnoteReference"/>
          <w:sz w:val="20"/>
        </w:rPr>
        <w:footnoteRef/>
      </w:r>
      <w:r w:rsidRPr="00264F76">
        <w:t xml:space="preserve"> Santel Catalog Public Notice Comments at 2. </w:t>
      </w:r>
    </w:p>
  </w:footnote>
  <w:footnote w:id="312">
    <w:p w:rsidR="008115D5" w:rsidRPr="00264F76" w:rsidP="00C736CB" w14:paraId="4B5AF8C0" w14:textId="77777777">
      <w:pPr>
        <w:pStyle w:val="FootnoteText"/>
      </w:pPr>
      <w:r w:rsidRPr="00264F76">
        <w:rPr>
          <w:rStyle w:val="FootnoteReference"/>
          <w:sz w:val="20"/>
        </w:rPr>
        <w:footnoteRef/>
      </w:r>
      <w:r w:rsidRPr="00264F76">
        <w:t xml:space="preserve"> </w:t>
      </w:r>
      <w:r>
        <w:rPr>
          <w:i/>
          <w:iCs/>
        </w:rPr>
        <w:t>2021 Supply Chain</w:t>
      </w:r>
      <w:r w:rsidRPr="00264F76">
        <w:rPr>
          <w:i/>
          <w:iCs/>
        </w:rPr>
        <w:t xml:space="preserve"> Order</w:t>
      </w:r>
      <w:r w:rsidRPr="00264F76">
        <w:t xml:space="preserve"> at 37, para. 90.</w:t>
      </w:r>
    </w:p>
  </w:footnote>
  <w:footnote w:id="313">
    <w:p w:rsidR="008115D5" w:rsidRPr="00264F76" w:rsidP="00C736CB" w14:paraId="7C05C034" w14:textId="77777777">
      <w:pPr>
        <w:pStyle w:val="FootnoteText"/>
      </w:pPr>
      <w:r w:rsidRPr="00264F76">
        <w:rPr>
          <w:rStyle w:val="FootnoteReference"/>
          <w:sz w:val="20"/>
        </w:rPr>
        <w:footnoteRef/>
      </w:r>
      <w:r w:rsidRPr="00264F76">
        <w:t xml:space="preserve"> </w:t>
      </w:r>
      <w:r w:rsidRPr="00264F76">
        <w:rPr>
          <w:i/>
          <w:iCs/>
        </w:rPr>
        <w:t>Id</w:t>
      </w:r>
      <w:r w:rsidRPr="00264F76">
        <w:t xml:space="preserve">. at 37-38, para. 91. </w:t>
      </w:r>
    </w:p>
  </w:footnote>
  <w:footnote w:id="314">
    <w:p w:rsidR="008115D5" w:rsidP="00C736CB" w14:paraId="03AB7EA9" w14:textId="77777777">
      <w:pPr>
        <w:pStyle w:val="FootnoteText"/>
      </w:pPr>
      <w:r>
        <w:rPr>
          <w:rStyle w:val="FootnoteReference"/>
        </w:rPr>
        <w:footnoteRef/>
      </w:r>
      <w:r>
        <w:t xml:space="preserve"> </w:t>
      </w:r>
      <w:bookmarkStart w:id="116" w:name="_Hlk78284164"/>
      <w:r w:rsidRPr="00DE63FF">
        <w:t>NTCA—The Rural Broadband Association (NTCA) requested that the “Commission include a statement in the Repla</w:t>
      </w:r>
      <w:r w:rsidRPr="00DE63FF">
        <w:t>cement List…that specifically allows providers to replace covered equipment or services with any equipment or technology that is capable of providing advanced communications,” encouraging the Commission to clarify that “providers can choose the equipment a</w:t>
      </w:r>
      <w:r w:rsidRPr="00DE63FF">
        <w:t>nd technology to install in their networks…[t]hus, for example, a provider of fixed wireless services could choose to replace covered fixed wireless equipment with a fiber network solution.” NTCA Cost Catalog P</w:t>
      </w:r>
      <w:r>
        <w:t xml:space="preserve">ublic </w:t>
      </w:r>
      <w:r w:rsidRPr="00DE63FF">
        <w:t>N</w:t>
      </w:r>
      <w:r>
        <w:t>otice</w:t>
      </w:r>
      <w:r w:rsidRPr="00DE63FF">
        <w:t xml:space="preserve"> Comments at 2.   In the </w:t>
      </w:r>
      <w:r w:rsidRPr="00DE63FF">
        <w:rPr>
          <w:i/>
          <w:iCs/>
        </w:rPr>
        <w:t>2021 Supp</w:t>
      </w:r>
      <w:r w:rsidRPr="00DE63FF">
        <w:rPr>
          <w:i/>
          <w:iCs/>
        </w:rPr>
        <w:t>ly Chain Order</w:t>
      </w:r>
      <w:r w:rsidRPr="00DE63FF">
        <w:t xml:space="preserve">, the Commission addressed </w:t>
      </w:r>
      <w:r>
        <w:t xml:space="preserve">the </w:t>
      </w:r>
      <w:r w:rsidRPr="00DE63FF">
        <w:t xml:space="preserve">issues raised by NTCA and provided </w:t>
      </w:r>
      <w:r w:rsidRPr="00121B58">
        <w:t xml:space="preserve">additional guidance on the treatment of technology upgrades </w:t>
      </w:r>
      <w:r>
        <w:t xml:space="preserve">in excess of a comparable replacement </w:t>
      </w:r>
      <w:r w:rsidRPr="00121B58">
        <w:t>under the Reimbursement Program</w:t>
      </w:r>
      <w:r w:rsidRPr="00DE63FF">
        <w:t xml:space="preserve">.  </w:t>
      </w:r>
      <w:r w:rsidRPr="00DE63FF">
        <w:rPr>
          <w:i/>
          <w:iCs/>
        </w:rPr>
        <w:t>See</w:t>
      </w:r>
      <w:r w:rsidRPr="00DE63FF">
        <w:t xml:space="preserve"> </w:t>
      </w:r>
      <w:r w:rsidRPr="00DE63FF">
        <w:rPr>
          <w:i/>
          <w:iCs/>
        </w:rPr>
        <w:t>2021 Supply Chain Order</w:t>
      </w:r>
      <w:r w:rsidRPr="00DE63FF">
        <w:t xml:space="preserve"> at 35-38, paras.</w:t>
      </w:r>
      <w:r w:rsidRPr="00DE63FF">
        <w:t xml:space="preserve"> 86-92;</w:t>
      </w:r>
      <w:r w:rsidRPr="00121B58">
        <w:rPr>
          <w:i/>
          <w:iCs/>
        </w:rPr>
        <w:t xml:space="preserve"> id</w:t>
      </w:r>
      <w:r w:rsidRPr="00DE63FF">
        <w:t>. at 37-38, para. 87</w:t>
      </w:r>
      <w:r>
        <w:t xml:space="preserve"> &amp; n.264</w:t>
      </w:r>
      <w:r w:rsidRPr="00DE63FF">
        <w:t xml:space="preserve"> (citing NTCA </w:t>
      </w:r>
      <w:r>
        <w:t xml:space="preserve">Cost </w:t>
      </w:r>
      <w:r w:rsidRPr="00DE63FF">
        <w:t>Catalog</w:t>
      </w:r>
      <w:r>
        <w:t xml:space="preserve"> Public Notice</w:t>
      </w:r>
      <w:r w:rsidRPr="00DE63FF">
        <w:t xml:space="preserve"> Comments at 2).  </w:t>
      </w:r>
      <w:r>
        <w:t>Further revisions to the Replacement List are therefore unnecessary to address NTCA’s comments.  T</w:t>
      </w:r>
      <w:r w:rsidRPr="00DE63FF">
        <w:t>he Replacement List is technology neutral as required by the S</w:t>
      </w:r>
      <w:r w:rsidRPr="00DE63FF">
        <w:t xml:space="preserve">ecure Networks Act and is not intended to be exhaustive of all replacement options. </w:t>
      </w:r>
      <w:r w:rsidRPr="00121B58">
        <w:rPr>
          <w:i/>
          <w:iCs/>
        </w:rPr>
        <w:t>See</w:t>
      </w:r>
      <w:r w:rsidRPr="00DE63FF">
        <w:t xml:space="preserve"> Secure Networks Act § 4(d</w:t>
      </w:r>
      <w:r>
        <w:t>)</w:t>
      </w:r>
      <w:r w:rsidRPr="00DE63FF">
        <w:t>(1)(B)</w:t>
      </w:r>
      <w:r w:rsidRPr="00121B58">
        <w:rPr>
          <w:rFonts w:eastAsia="Segoe UI Emoji"/>
        </w:rPr>
        <w:t xml:space="preserve">; </w:t>
      </w:r>
      <w:r w:rsidRPr="00DE63FF">
        <w:t>47 U.S.C. § 1603(d)(1)(B).</w:t>
      </w:r>
      <w:bookmarkEnd w:id="116"/>
    </w:p>
  </w:footnote>
  <w:footnote w:id="315">
    <w:p w:rsidR="008115D5" w:rsidRPr="00264F76" w:rsidP="00C736CB" w14:paraId="6526BEEF" w14:textId="77777777">
      <w:pPr>
        <w:pStyle w:val="FootnoteText"/>
      </w:pPr>
      <w:r w:rsidRPr="00264F76">
        <w:rPr>
          <w:rStyle w:val="FootnoteReference"/>
          <w:sz w:val="20"/>
        </w:rPr>
        <w:footnoteRef/>
      </w:r>
      <w:r w:rsidRPr="00264F76">
        <w:t xml:space="preserve"> </w:t>
      </w:r>
      <w:r w:rsidRPr="00264F76">
        <w:rPr>
          <w:noProof/>
        </w:rPr>
        <w:t xml:space="preserve">ADTRAN </w:t>
      </w:r>
      <w:r>
        <w:rPr>
          <w:noProof/>
        </w:rPr>
        <w:t xml:space="preserve">Catalog Public Notice </w:t>
      </w:r>
      <w:r w:rsidRPr="00264F76">
        <w:rPr>
          <w:noProof/>
        </w:rPr>
        <w:t>Comments at 3</w:t>
      </w:r>
      <w:r>
        <w:rPr>
          <w:noProof/>
        </w:rPr>
        <w:t xml:space="preserve">; </w:t>
      </w:r>
      <w:r w:rsidRPr="00BF67FE">
        <w:rPr>
          <w:i/>
          <w:iCs/>
          <w:noProof/>
        </w:rPr>
        <w:t>see</w:t>
      </w:r>
      <w:r>
        <w:rPr>
          <w:noProof/>
        </w:rPr>
        <w:t xml:space="preserve"> ADTRAN Reimbursement Process Public Notice Comments at 2-</w:t>
      </w:r>
      <w:r>
        <w:rPr>
          <w:noProof/>
        </w:rPr>
        <w:t>6.</w:t>
      </w:r>
    </w:p>
  </w:footnote>
  <w:footnote w:id="316">
    <w:p w:rsidR="008115D5" w:rsidP="00C736CB" w14:paraId="1A77B0BE" w14:textId="77777777">
      <w:pPr>
        <w:pStyle w:val="FootnoteText"/>
      </w:pPr>
      <w:r w:rsidRPr="3B6760A3">
        <w:rPr>
          <w:rStyle w:val="FootnoteReference"/>
          <w:sz w:val="20"/>
        </w:rPr>
        <w:footnoteRef/>
      </w:r>
      <w:r>
        <w:t xml:space="preserve"> </w:t>
      </w:r>
      <w:r w:rsidRPr="00BF67FE">
        <w:rPr>
          <w:i/>
          <w:iCs/>
        </w:rPr>
        <w:t>See</w:t>
      </w:r>
      <w:r>
        <w:t xml:space="preserve"> ADTRAN Reimbursement Process Public Notice Comments at 2. </w:t>
      </w:r>
    </w:p>
  </w:footnote>
  <w:footnote w:id="317">
    <w:p w:rsidR="008115D5" w:rsidRPr="00264F76" w:rsidP="00C736CB" w14:paraId="7CC41B4C" w14:textId="77777777">
      <w:pPr>
        <w:pStyle w:val="FootnoteText"/>
      </w:pPr>
      <w:r w:rsidRPr="00264F76">
        <w:rPr>
          <w:rStyle w:val="FootnoteReference"/>
          <w:sz w:val="20"/>
        </w:rPr>
        <w:footnoteRef/>
      </w:r>
      <w:r w:rsidRPr="00264F76">
        <w:t xml:space="preserve"> </w:t>
      </w:r>
      <w:r w:rsidRPr="00264F76">
        <w:rPr>
          <w:i/>
          <w:iCs/>
        </w:rPr>
        <w:t xml:space="preserve">See </w:t>
      </w:r>
      <w:r w:rsidRPr="1D535A22">
        <w:rPr>
          <w:i/>
          <w:iCs/>
        </w:rPr>
        <w:t>2020</w:t>
      </w:r>
      <w:r>
        <w:rPr>
          <w:i/>
          <w:iCs/>
        </w:rPr>
        <w:t xml:space="preserve"> Supply Chain </w:t>
      </w:r>
      <w:r w:rsidRPr="00264F76">
        <w:rPr>
          <w:i/>
          <w:iCs/>
        </w:rPr>
        <w:t>Order</w:t>
      </w:r>
      <w:r w:rsidRPr="00264F76">
        <w:t>, 35 FCC Rcd</w:t>
      </w:r>
      <w:r w:rsidRPr="00264F76">
        <w:t xml:space="preserve"> at 14364, para. 198 (explaining that the replacement list “should provide carriers with the flexibility to select the equipment or services that fit their needs from categories of equipment and services.”). </w:t>
      </w:r>
    </w:p>
  </w:footnote>
  <w:footnote w:id="318">
    <w:p w:rsidR="008115D5" w:rsidRPr="00264F76" w:rsidP="00C736CB" w14:paraId="0A582E3F" w14:textId="77777777">
      <w:pPr>
        <w:pStyle w:val="FootnoteText"/>
      </w:pPr>
      <w:r w:rsidRPr="00264F76">
        <w:rPr>
          <w:rStyle w:val="FootnoteReference"/>
          <w:sz w:val="20"/>
        </w:rPr>
        <w:footnoteRef/>
      </w:r>
      <w:r w:rsidRPr="00264F76">
        <w:t xml:space="preserve"> </w:t>
      </w:r>
      <w:r w:rsidRPr="00264F76">
        <w:rPr>
          <w:i/>
          <w:iCs/>
        </w:rPr>
        <w:t>Catalog Public Notice</w:t>
      </w:r>
      <w:r w:rsidRPr="00264F76">
        <w:t>, Attach. 3.</w:t>
      </w:r>
    </w:p>
  </w:footnote>
  <w:footnote w:id="319">
    <w:p w:rsidR="008115D5" w:rsidRPr="00264F76" w:rsidP="00C736CB" w14:paraId="73F2CF45" w14:textId="77777777">
      <w:pPr>
        <w:pStyle w:val="FootnoteText"/>
      </w:pPr>
      <w:r w:rsidRPr="00264F76">
        <w:rPr>
          <w:rStyle w:val="FootnoteReference"/>
          <w:sz w:val="20"/>
        </w:rPr>
        <w:footnoteRef/>
      </w:r>
      <w:r w:rsidRPr="00264F76">
        <w:t xml:space="preserve"> 47 CFR § </w:t>
      </w:r>
      <w:r w:rsidRPr="00264F76">
        <w:t xml:space="preserve">1.50006(b); </w:t>
      </w:r>
      <w:r>
        <w:rPr>
          <w:i/>
          <w:iCs/>
        </w:rPr>
        <w:t>202</w:t>
      </w:r>
      <w:r w:rsidRPr="1D535A22">
        <w:rPr>
          <w:i/>
          <w:iCs/>
        </w:rPr>
        <w:t>0</w:t>
      </w:r>
      <w:r>
        <w:rPr>
          <w:i/>
          <w:iCs/>
        </w:rPr>
        <w:t xml:space="preserve"> Supply Chain</w:t>
      </w:r>
      <w:r w:rsidRPr="00264F76">
        <w:rPr>
          <w:i/>
          <w:iCs/>
        </w:rPr>
        <w:t xml:space="preserve"> Order</w:t>
      </w:r>
      <w:r w:rsidRPr="00264F76">
        <w:t>, 35 FCC Rcd at 14368, paras. 207-208.</w:t>
      </w:r>
    </w:p>
  </w:footnote>
  <w:footnote w:id="320">
    <w:p w:rsidR="008115D5" w:rsidRPr="00264F76" w:rsidP="00C736CB" w14:paraId="45068699" w14:textId="77777777">
      <w:pPr>
        <w:pStyle w:val="FootnoteText"/>
      </w:pPr>
      <w:r w:rsidRPr="00264F76">
        <w:rPr>
          <w:rStyle w:val="FootnoteReference"/>
          <w:sz w:val="20"/>
        </w:rPr>
        <w:footnoteRef/>
      </w:r>
      <w:r w:rsidRPr="00264F76">
        <w:t xml:space="preserve"> </w:t>
      </w:r>
      <w:r w:rsidRPr="00264F76">
        <w:rPr>
          <w:i/>
          <w:iCs/>
        </w:rPr>
        <w:t>Catalog Public Notice</w:t>
      </w:r>
      <w:r w:rsidRPr="00264F76">
        <w:t xml:space="preserve">, Attach. 1.  </w:t>
      </w:r>
    </w:p>
  </w:footnote>
  <w:footnote w:id="321">
    <w:p w:rsidR="008115D5" w:rsidRPr="00264F76" w:rsidP="00C736CB" w14:paraId="2666713A" w14:textId="77777777">
      <w:pPr>
        <w:pStyle w:val="FootnoteText"/>
      </w:pPr>
      <w:r w:rsidRPr="00264F76">
        <w:rPr>
          <w:rStyle w:val="FootnoteReference"/>
          <w:sz w:val="20"/>
        </w:rPr>
        <w:footnoteRef/>
      </w:r>
      <w:r w:rsidRPr="00264F76">
        <w:t xml:space="preserve"> </w:t>
      </w:r>
      <w:r w:rsidRPr="00264F76">
        <w:rPr>
          <w:i/>
          <w:iCs/>
        </w:rPr>
        <w:t>Id</w:t>
      </w:r>
      <w:r w:rsidRPr="00264F76">
        <w:t xml:space="preserve">. at 2. </w:t>
      </w:r>
    </w:p>
  </w:footnote>
  <w:footnote w:id="322">
    <w:p w:rsidR="008115D5" w:rsidRPr="004E1AB7" w:rsidP="00C736CB" w14:paraId="43128926" w14:textId="77777777">
      <w:pPr>
        <w:pStyle w:val="FootnoteText"/>
      </w:pPr>
      <w:r w:rsidRPr="004E1AB7">
        <w:rPr>
          <w:rStyle w:val="FootnoteReference"/>
          <w:sz w:val="20"/>
        </w:rPr>
        <w:footnoteRef/>
      </w:r>
      <w:r w:rsidRPr="004E1AB7">
        <w:t xml:space="preserve"> </w:t>
      </w:r>
      <w:r w:rsidRPr="004E1AB7">
        <w:rPr>
          <w:i/>
          <w:iCs/>
        </w:rPr>
        <w:t xml:space="preserve">See </w:t>
      </w:r>
      <w:r w:rsidRPr="00A33F59">
        <w:t xml:space="preserve">31 U.S.C. § 3716 </w:t>
      </w:r>
      <w:r w:rsidRPr="00A33F59">
        <w:rPr>
          <w:i/>
          <w:iCs/>
        </w:rPr>
        <w:t>et seq</w:t>
      </w:r>
      <w:r w:rsidRPr="00CD4F11">
        <w:t xml:space="preserve">.; U.S. Department of the Treasury, Treasury Offset Program, </w:t>
      </w:r>
      <w:hyperlink r:id="rId8" w:history="1">
        <w:r w:rsidRPr="004E1AB7">
          <w:rPr>
            <w:rStyle w:val="Hyperlink"/>
          </w:rPr>
          <w:t>https://fiscal.treasury.</w:t>
        </w:r>
        <w:r w:rsidRPr="004E1AB7">
          <w:rPr>
            <w:rStyle w:val="Hyperlink"/>
          </w:rPr>
          <w:br/>
          <w:t>gov/top/</w:t>
        </w:r>
      </w:hyperlink>
      <w:r w:rsidRPr="004E1AB7">
        <w:t xml:space="preserve"> (last visited July 22, 2021). </w:t>
      </w:r>
    </w:p>
  </w:footnote>
  <w:footnote w:id="323">
    <w:p w:rsidR="008115D5" w:rsidRPr="00A33F59" w:rsidP="00C736CB" w14:paraId="392450CB" w14:textId="77777777">
      <w:pPr>
        <w:pStyle w:val="FootnoteText"/>
      </w:pPr>
      <w:r w:rsidRPr="004E1AB7">
        <w:rPr>
          <w:rStyle w:val="FootnoteReference"/>
          <w:sz w:val="20"/>
        </w:rPr>
        <w:footnoteRef/>
      </w:r>
      <w:r w:rsidRPr="004E1AB7">
        <w:t xml:space="preserve"> </w:t>
      </w:r>
      <w:r w:rsidRPr="004E1AB7">
        <w:rPr>
          <w:i/>
          <w:iCs/>
        </w:rPr>
        <w:t xml:space="preserve">See </w:t>
      </w:r>
      <w:r w:rsidRPr="00A33F59">
        <w:t>31 U.S.C. § 3716(a)(1)-(4).</w:t>
      </w:r>
    </w:p>
  </w:footnote>
  <w:footnote w:id="324">
    <w:p w:rsidR="008115D5" w:rsidRPr="004E1AB7" w:rsidP="00C736CB" w14:paraId="413C5B5B" w14:textId="77777777">
      <w:pPr>
        <w:pStyle w:val="FootnoteText"/>
      </w:pPr>
      <w:r w:rsidRPr="004E1AB7">
        <w:rPr>
          <w:rStyle w:val="FootnoteReference"/>
          <w:sz w:val="20"/>
        </w:rPr>
        <w:footnoteRef/>
      </w:r>
      <w:r w:rsidRPr="004E1AB7">
        <w:t xml:space="preserve"> </w:t>
      </w:r>
      <w:r w:rsidRPr="004E1AB7">
        <w:rPr>
          <w:i/>
          <w:iCs/>
        </w:rPr>
        <w:t>See</w:t>
      </w:r>
      <w:r w:rsidRPr="00A33F59">
        <w:t xml:space="preserve"> U.S. Department of the Treasury, TOP Frequently Asked Questions, </w:t>
      </w:r>
      <w:hyperlink r:id="rId9" w:history="1">
        <w:r w:rsidRPr="004E1AB7">
          <w:rPr>
            <w:rStyle w:val="Hyperlink"/>
          </w:rPr>
          <w:t>https://fiscal.treasury.gov/top/faqs-for-the-public.html</w:t>
        </w:r>
      </w:hyperlink>
      <w:r w:rsidRPr="004E1AB7">
        <w:t xml:space="preserve"> (last visited </w:t>
      </w:r>
      <w:r>
        <w:t>Aug.</w:t>
      </w:r>
      <w:r w:rsidRPr="004E1AB7">
        <w:t xml:space="preserve"> </w:t>
      </w:r>
      <w:r>
        <w:t>2</w:t>
      </w:r>
      <w:r w:rsidRPr="004E1AB7">
        <w:t xml:space="preserve">, 2021). </w:t>
      </w:r>
    </w:p>
  </w:footnote>
  <w:footnote w:id="325">
    <w:p w:rsidR="008115D5" w:rsidP="00C736CB" w14:paraId="43898335" w14:textId="77777777">
      <w:pPr>
        <w:pStyle w:val="FootnoteText"/>
      </w:pPr>
      <w:r w:rsidRPr="3CA99AA7">
        <w:rPr>
          <w:rStyle w:val="FootnoteReference"/>
          <w:sz w:val="20"/>
        </w:rPr>
        <w:footnoteRef/>
      </w:r>
      <w:r>
        <w:t xml:space="preserve"> RWA Reimbursement Process Public Notice Comments at 10.</w:t>
      </w:r>
    </w:p>
  </w:footnote>
  <w:footnote w:id="326">
    <w:p w:rsidR="008115D5" w:rsidRPr="00097AEF" w:rsidP="00C736CB" w14:paraId="0D7B573B" w14:textId="77777777">
      <w:pPr>
        <w:pStyle w:val="FootnoteText"/>
      </w:pPr>
      <w:r w:rsidRPr="3CA99AA7">
        <w:rPr>
          <w:rStyle w:val="FootnoteReference"/>
          <w:sz w:val="20"/>
        </w:rPr>
        <w:footnoteRef/>
      </w:r>
      <w:r w:rsidRPr="00097AEF">
        <w:t xml:space="preserve"> </w:t>
      </w:r>
      <w:r w:rsidRPr="00097AEF">
        <w:rPr>
          <w:i/>
          <w:iCs/>
        </w:rPr>
        <w:t>See Reimbursement Process</w:t>
      </w:r>
      <w:r>
        <w:rPr>
          <w:i/>
          <w:iCs/>
        </w:rPr>
        <w:t xml:space="preserve"> Public Notic</w:t>
      </w:r>
      <w:r>
        <w:rPr>
          <w:i/>
          <w:iCs/>
        </w:rPr>
        <w:t>e</w:t>
      </w:r>
      <w:r w:rsidRPr="00097AEF">
        <w:t xml:space="preserve"> at </w:t>
      </w:r>
      <w:r>
        <w:t>10.</w:t>
      </w:r>
    </w:p>
  </w:footnote>
  <w:footnote w:id="327">
    <w:p w:rsidR="008115D5" w:rsidRPr="0034252B" w:rsidP="00C736CB" w14:paraId="4FCE3724" w14:textId="77777777">
      <w:pPr>
        <w:pStyle w:val="FootnoteText"/>
      </w:pPr>
      <w:r w:rsidRPr="3CA99AA7">
        <w:rPr>
          <w:rStyle w:val="FootnoteReference"/>
          <w:sz w:val="20"/>
        </w:rPr>
        <w:footnoteRef/>
      </w:r>
      <w:r w:rsidRPr="0034252B">
        <w:t xml:space="preserve"> Payment Integrity Information Act of 2019, PL 116-17</w:t>
      </w:r>
      <w:r>
        <w:t xml:space="preserve">, </w:t>
      </w:r>
      <w:r w:rsidRPr="0034252B">
        <w:t>§</w:t>
      </w:r>
      <w:r w:rsidRPr="00FC5623">
        <w:t xml:space="preserve"> 3351</w:t>
      </w:r>
      <w:r>
        <w:t>(3),</w:t>
      </w:r>
      <w:r w:rsidRPr="0034252B">
        <w:t xml:space="preserve"> 134 Stat 113</w:t>
      </w:r>
      <w:r>
        <w:t>, 114 (2020) (PIIA).PIIA recodifies and amends the prior improper payment statutes (</w:t>
      </w:r>
      <w:r w:rsidRPr="00EE447B">
        <w:rPr>
          <w:i/>
          <w:iCs/>
        </w:rPr>
        <w:t>i.e</w:t>
      </w:r>
      <w:r>
        <w:t>., The Improper Payments Information Act of 2002, Pub. L. 107-300; The Improper P</w:t>
      </w:r>
      <w:r>
        <w:t>ayments Elimination and Recovery Act of 2010, Pub. L. No. 114–204; The Improper Payments Elimination and Recovery Improvement Act of 2012, Pub. L. No. 112-248; and The Fraud Reduction and Data Analytics Act of 2015, Pub. L. No. 114-186).</w:t>
      </w:r>
    </w:p>
  </w:footnote>
  <w:footnote w:id="328">
    <w:p w:rsidR="008115D5" w:rsidRPr="0034252B" w:rsidP="00C736CB" w14:paraId="35264F93" w14:textId="77777777">
      <w:pPr>
        <w:pStyle w:val="FootnoteText"/>
      </w:pPr>
      <w:r w:rsidRPr="00EE447B">
        <w:rPr>
          <w:rStyle w:val="FootnoteReference"/>
          <w:sz w:val="20"/>
        </w:rPr>
        <w:footnoteRef/>
      </w:r>
      <w:r w:rsidRPr="0034252B">
        <w:t xml:space="preserve"> </w:t>
      </w:r>
      <w:r w:rsidRPr="0034252B">
        <w:rPr>
          <w:i/>
          <w:iCs/>
        </w:rPr>
        <w:t xml:space="preserve">See generally </w:t>
      </w:r>
      <w:r w:rsidRPr="0034252B">
        <w:t>Pa</w:t>
      </w:r>
      <w:r w:rsidRPr="0034252B">
        <w:t>yment Integrity Information Act of 2019</w:t>
      </w:r>
      <w:r>
        <w:t xml:space="preserve">; U.S. Bureau of the Fiscal Service, </w:t>
      </w:r>
      <w:r w:rsidRPr="000D44D6">
        <w:rPr>
          <w:i/>
          <w:iCs/>
        </w:rPr>
        <w:t>Do Not Pay</w:t>
      </w:r>
      <w:r>
        <w:t xml:space="preserve">, </w:t>
      </w:r>
      <w:hyperlink r:id="rId10" w:history="1">
        <w:r w:rsidRPr="00731494">
          <w:rPr>
            <w:rStyle w:val="Hyperlink"/>
          </w:rPr>
          <w:t>https://fiscal.treasury.gov/DNP/</w:t>
        </w:r>
      </w:hyperlink>
      <w:r>
        <w:t xml:space="preserve"> (last visited Aug. w, 2021). </w:t>
      </w:r>
    </w:p>
  </w:footnote>
  <w:footnote w:id="329">
    <w:p w:rsidR="008115D5" w:rsidRPr="00FC5623" w:rsidP="00C736CB" w14:paraId="19C778AC" w14:textId="77777777">
      <w:pPr>
        <w:pStyle w:val="FootnoteText"/>
      </w:pPr>
      <w:r w:rsidRPr="00EE447B">
        <w:rPr>
          <w:rStyle w:val="FootnoteReference"/>
          <w:sz w:val="20"/>
        </w:rPr>
        <w:footnoteRef/>
      </w:r>
      <w:r w:rsidRPr="00FC5623">
        <w:t xml:space="preserve"> Payment Integrity Information Act of 2019, § 3354(a).</w:t>
      </w:r>
    </w:p>
  </w:footnote>
  <w:footnote w:id="330">
    <w:p w:rsidR="008115D5" w:rsidP="00C736CB" w14:paraId="146D0FCA" w14:textId="77777777">
      <w:pPr>
        <w:pStyle w:val="FootnoteText"/>
      </w:pPr>
      <w:r w:rsidRPr="25E859E5">
        <w:rPr>
          <w:rStyle w:val="FootnoteReference"/>
          <w:sz w:val="20"/>
        </w:rPr>
        <w:footnoteRef/>
      </w:r>
      <w:r>
        <w:t xml:space="preserve"> </w:t>
      </w:r>
      <w:r w:rsidRPr="00097AEF">
        <w:rPr>
          <w:i/>
          <w:iCs/>
        </w:rPr>
        <w:t>See Reimbursement Process</w:t>
      </w:r>
      <w:r>
        <w:rPr>
          <w:i/>
          <w:iCs/>
        </w:rPr>
        <w:t xml:space="preserve"> Public Notice</w:t>
      </w:r>
      <w:r w:rsidRPr="00097AEF">
        <w:t xml:space="preserve"> at </w:t>
      </w:r>
      <w:r>
        <w:t>10.</w:t>
      </w:r>
    </w:p>
  </w:footnote>
  <w:footnote w:id="331">
    <w:p w:rsidR="008115D5" w:rsidRPr="00904010" w:rsidP="00C736CB" w14:paraId="37037FCA" w14:textId="77777777">
      <w:pPr>
        <w:pStyle w:val="FootnoteText"/>
      </w:pPr>
      <w:r w:rsidRPr="25E859E5">
        <w:rPr>
          <w:rStyle w:val="FootnoteReference"/>
          <w:sz w:val="20"/>
        </w:rPr>
        <w:footnoteRef/>
      </w:r>
      <w:r w:rsidRPr="00625DC1">
        <w:rPr>
          <w:i/>
          <w:iCs/>
        </w:rPr>
        <w:t xml:space="preserve"> </w:t>
      </w:r>
      <w:r w:rsidRPr="25E859E5">
        <w:rPr>
          <w:i/>
          <w:iCs/>
        </w:rPr>
        <w:t>See Reimbursement Process Public Notice</w:t>
      </w:r>
      <w:r>
        <w:t xml:space="preserve"> at 10;</w:t>
      </w:r>
      <w:r w:rsidRPr="25E859E5">
        <w:rPr>
          <w:i/>
          <w:iCs/>
        </w:rPr>
        <w:t xml:space="preserve"> s</w:t>
      </w:r>
      <w:r w:rsidRPr="00625DC1">
        <w:rPr>
          <w:i/>
          <w:iCs/>
        </w:rPr>
        <w:t xml:space="preserve">ee </w:t>
      </w:r>
      <w:r w:rsidRPr="00904010">
        <w:t>U.S. Bureau of the Fiscal Service</w:t>
      </w:r>
      <w:r>
        <w:t xml:space="preserve">, </w:t>
      </w:r>
      <w:r w:rsidRPr="00904010">
        <w:rPr>
          <w:i/>
          <w:iCs/>
        </w:rPr>
        <w:t>Privacy Program</w:t>
      </w:r>
      <w:r>
        <w:t xml:space="preserve">, </w:t>
      </w:r>
      <w:hyperlink r:id="rId11" w:anchor="data-correction-process" w:history="1">
        <w:r w:rsidRPr="00731494">
          <w:rPr>
            <w:rStyle w:val="Hyperlink"/>
          </w:rPr>
          <w:t>https://fiscal.treasury.gov/dnp/privacy-program.html#data-correction-process</w:t>
        </w:r>
      </w:hyperlink>
      <w:r>
        <w:t xml:space="preserve"> (last visited Aug. 2, 2021). </w:t>
      </w:r>
    </w:p>
  </w:footnote>
  <w:footnote w:id="332">
    <w:p w:rsidR="008115D5" w:rsidRPr="00C65365" w:rsidP="00C736CB" w14:paraId="1C4A4632" w14:textId="77777777">
      <w:pPr>
        <w:pStyle w:val="FootnoteText"/>
      </w:pPr>
      <w:r w:rsidRPr="25E859E5">
        <w:rPr>
          <w:rStyle w:val="FootnoteReference"/>
          <w:sz w:val="20"/>
        </w:rPr>
        <w:footnoteRef/>
      </w:r>
      <w:r w:rsidRPr="00625DC1">
        <w:t xml:space="preserve"> </w:t>
      </w:r>
      <w:r w:rsidRPr="25E859E5">
        <w:rPr>
          <w:i/>
          <w:iCs/>
        </w:rPr>
        <w:t xml:space="preserve">See Reimbursement Process Public Notice </w:t>
      </w:r>
      <w:r w:rsidRPr="00625DC1">
        <w:t>at 9.</w:t>
      </w:r>
    </w:p>
  </w:footnote>
  <w:footnote w:id="333">
    <w:p w:rsidR="008115D5" w:rsidP="00C736CB" w14:paraId="6873AF86" w14:textId="77777777">
      <w:pPr>
        <w:pStyle w:val="FootnoteText"/>
      </w:pPr>
      <w:r w:rsidRPr="00EE447B">
        <w:rPr>
          <w:rStyle w:val="FootnoteReference"/>
          <w:sz w:val="20"/>
        </w:rPr>
        <w:footnoteRef/>
      </w:r>
      <w:r>
        <w:t xml:space="preserve"> </w:t>
      </w:r>
      <w:r>
        <w:t>RWA Reimbursement Process Public Notice Comment at 10.</w:t>
      </w:r>
    </w:p>
  </w:footnote>
  <w:footnote w:id="334">
    <w:p w:rsidR="008115D5" w:rsidRPr="00C65365" w:rsidP="00C736CB" w14:paraId="39218CD5" w14:textId="77777777">
      <w:pPr>
        <w:pStyle w:val="FootnoteText"/>
      </w:pPr>
      <w:r w:rsidRPr="00EE447B">
        <w:rPr>
          <w:rStyle w:val="FootnoteReference"/>
          <w:sz w:val="20"/>
        </w:rPr>
        <w:footnoteRef/>
      </w:r>
      <w:r w:rsidRPr="00C65365">
        <w:t xml:space="preserve"> </w:t>
      </w:r>
      <w:r>
        <w:rPr>
          <w:i/>
          <w:iCs/>
        </w:rPr>
        <w:t xml:space="preserve">See </w:t>
      </w:r>
      <w:r w:rsidRPr="00C65365">
        <w:t xml:space="preserve">Federal Communications Commission, </w:t>
      </w:r>
      <w:r w:rsidRPr="00904010">
        <w:rPr>
          <w:i/>
          <w:iCs/>
        </w:rPr>
        <w:t>Debt Collection Improvement Act Implementation</w:t>
      </w:r>
      <w:r w:rsidRPr="00C65365">
        <w:t xml:space="preserve"> (</w:t>
      </w:r>
      <w:r>
        <w:t>l</w:t>
      </w:r>
      <w:r w:rsidRPr="00C65365">
        <w:t xml:space="preserve">ast visited </w:t>
      </w:r>
      <w:r>
        <w:t>Aug</w:t>
      </w:r>
      <w:r w:rsidRPr="00C65365">
        <w:t xml:space="preserve">. </w:t>
      </w:r>
      <w:r>
        <w:t>2</w:t>
      </w:r>
      <w:r w:rsidRPr="00C65365">
        <w:t xml:space="preserve">, 2021), </w:t>
      </w:r>
      <w:hyperlink r:id="rId12" w:history="1">
        <w:r w:rsidRPr="00C65365">
          <w:rPr>
            <w:rStyle w:val="Hyperlink"/>
          </w:rPr>
          <w:t>https://www.fcc.gov/licensing-databases/fees/debt-collection-improvement-act-implementation</w:t>
        </w:r>
      </w:hyperlink>
      <w:r>
        <w:t xml:space="preserve"> (“</w:t>
      </w:r>
      <w:r w:rsidRPr="00B613F8">
        <w:t>The red light rule requires the Commission to withhold action on applications and other requests for benefits when the entity applying for</w:t>
      </w:r>
      <w:r w:rsidRPr="00B613F8">
        <w:t xml:space="preserve"> or seeking benefits is delinquent in non-tax debts owed to the Commission</w:t>
      </w:r>
      <w:r>
        <w:t xml:space="preserve"> . . . .”).</w:t>
      </w:r>
    </w:p>
  </w:footnote>
  <w:footnote w:id="335">
    <w:p w:rsidR="008115D5" w:rsidRPr="009C3ED7" w:rsidP="00C736CB" w14:paraId="5724A975" w14:textId="77777777">
      <w:pPr>
        <w:pStyle w:val="FootnoteText"/>
      </w:pPr>
      <w:r w:rsidRPr="00EE447B">
        <w:rPr>
          <w:rStyle w:val="FootnoteReference"/>
          <w:sz w:val="20"/>
        </w:rPr>
        <w:footnoteRef/>
      </w:r>
      <w:r w:rsidRPr="009C3ED7">
        <w:t xml:space="preserve"> Debt Collection Improvement Act of 1996</w:t>
      </w:r>
      <w:r>
        <w:t xml:space="preserve">, </w:t>
      </w:r>
      <w:r w:rsidRPr="009C3ED7">
        <w:t>P</w:t>
      </w:r>
      <w:r>
        <w:t>ub. L. No.</w:t>
      </w:r>
      <w:r w:rsidRPr="009C3ED7">
        <w:t xml:space="preserve"> 104–134</w:t>
      </w:r>
      <w:r w:rsidRPr="00336662">
        <w:t xml:space="preserve"> §31001</w:t>
      </w:r>
      <w:r>
        <w:t xml:space="preserve">(b)(1), </w:t>
      </w:r>
      <w:r w:rsidRPr="005752EB">
        <w:t xml:space="preserve">110 Stat 1321 </w:t>
      </w:r>
      <w:r>
        <w:t xml:space="preserve">(1996). </w:t>
      </w:r>
    </w:p>
  </w:footnote>
  <w:footnote w:id="336">
    <w:p w:rsidR="008115D5" w:rsidRPr="008000BD" w:rsidP="00C736CB" w14:paraId="3485E4CA" w14:textId="0BA11F95">
      <w:pPr>
        <w:pStyle w:val="FootnoteText"/>
      </w:pPr>
      <w:r w:rsidRPr="00EE447B">
        <w:rPr>
          <w:rStyle w:val="FootnoteReference"/>
          <w:sz w:val="20"/>
        </w:rPr>
        <w:footnoteRef/>
      </w:r>
      <w:r w:rsidRPr="00D83D7E">
        <w:t xml:space="preserve"> 47 CFR §1.3.</w:t>
      </w:r>
      <w:r>
        <w:t xml:space="preserve"> </w:t>
      </w:r>
      <w:r w:rsidR="00A7760E">
        <w:t xml:space="preserve"> </w:t>
      </w:r>
      <w:r>
        <w:t xml:space="preserve">The Commission recently waived the “red light rule” for health care providers seeking funding under the COVID-19 Telehealth program. </w:t>
      </w:r>
      <w:r w:rsidR="00A7760E">
        <w:t xml:space="preserve"> </w:t>
      </w:r>
      <w:r>
        <w:rPr>
          <w:i/>
          <w:iCs/>
        </w:rPr>
        <w:t xml:space="preserve">See </w:t>
      </w:r>
      <w:r w:rsidRPr="008000BD">
        <w:rPr>
          <w:i/>
          <w:iCs/>
        </w:rPr>
        <w:t>Office of Managing Director and Wireline Competition Bureau Suspend the Red Light Rule for the COVID-19 Telehealth Pro</w:t>
      </w:r>
      <w:r w:rsidRPr="008000BD">
        <w:rPr>
          <w:i/>
          <w:iCs/>
        </w:rPr>
        <w:t>gram</w:t>
      </w:r>
      <w:r>
        <w:t xml:space="preserve">, </w:t>
      </w:r>
      <w:r w:rsidRPr="008000BD">
        <w:t>WC Docket No. 20-89</w:t>
      </w:r>
      <w:r>
        <w:t xml:space="preserve">, Public Notice, </w:t>
      </w:r>
      <w:r w:rsidRPr="008000BD">
        <w:t>DA 20-436</w:t>
      </w:r>
      <w:r>
        <w:t xml:space="preserve"> (WCB Apr. 21, 2021). </w:t>
      </w:r>
    </w:p>
  </w:footnote>
  <w:footnote w:id="337">
    <w:p w:rsidR="008115D5" w:rsidRPr="003E49B3" w:rsidP="00C736CB" w14:paraId="0FA6F9D2" w14:textId="77777777">
      <w:pPr>
        <w:pStyle w:val="FootnoteText"/>
      </w:pPr>
      <w:r w:rsidRPr="00EE447B">
        <w:rPr>
          <w:rStyle w:val="FootnoteReference"/>
          <w:sz w:val="20"/>
        </w:rPr>
        <w:footnoteRef/>
      </w:r>
      <w:r w:rsidRPr="003E49B3">
        <w:t xml:space="preserve"> </w:t>
      </w:r>
      <w:r w:rsidRPr="003E49B3">
        <w:rPr>
          <w:i/>
          <w:iCs/>
        </w:rPr>
        <w:t>Northeast Cellular Telephone Co. v. FCC</w:t>
      </w:r>
      <w:r>
        <w:t>,</w:t>
      </w:r>
      <w:r w:rsidRPr="003E49B3">
        <w:t xml:space="preserve"> 897 F.2d 1164, 1166 (D.C. Cir. 1990).</w:t>
      </w:r>
    </w:p>
  </w:footnote>
  <w:footnote w:id="338">
    <w:p w:rsidR="008115D5" w:rsidRPr="00387B44" w:rsidP="00C736CB" w14:paraId="13CA9800" w14:textId="77777777">
      <w:pPr>
        <w:pStyle w:val="FootnoteText"/>
      </w:pPr>
      <w:r w:rsidRPr="00EE447B">
        <w:rPr>
          <w:rStyle w:val="FootnoteReference"/>
          <w:sz w:val="20"/>
        </w:rPr>
        <w:footnoteRef/>
      </w:r>
      <w:r w:rsidRPr="00387B44">
        <w:t xml:space="preserve"> </w:t>
      </w:r>
      <w:r w:rsidRPr="00387B44">
        <w:rPr>
          <w:i/>
          <w:iCs/>
        </w:rPr>
        <w:t>Reimbursement Process</w:t>
      </w:r>
      <w:r>
        <w:rPr>
          <w:i/>
          <w:iCs/>
        </w:rPr>
        <w:t xml:space="preserve"> Public Notice</w:t>
      </w:r>
      <w:r w:rsidRPr="00387B44">
        <w:t xml:space="preserve">, at </w:t>
      </w:r>
      <w:r>
        <w:t>9-10.</w:t>
      </w:r>
    </w:p>
  </w:footnote>
  <w:footnote w:id="339">
    <w:p w:rsidR="008115D5" w:rsidRPr="00C25CB9" w:rsidP="00C736CB" w14:paraId="5E360001" w14:textId="77777777">
      <w:pPr>
        <w:pStyle w:val="FootnoteText"/>
      </w:pPr>
      <w:r w:rsidRPr="004E1AB7">
        <w:rPr>
          <w:rStyle w:val="FootnoteReference"/>
          <w:sz w:val="20"/>
        </w:rPr>
        <w:footnoteRef/>
      </w:r>
      <w:r w:rsidRPr="004E1AB7">
        <w:t xml:space="preserve"> </w:t>
      </w:r>
      <w:r w:rsidRPr="00D556C3">
        <w:rPr>
          <w:i/>
          <w:iCs/>
        </w:rPr>
        <w:t>See</w:t>
      </w:r>
      <w:r w:rsidRPr="004E1AB7">
        <w:rPr>
          <w:i/>
          <w:iCs/>
        </w:rPr>
        <w:t xml:space="preserve"> </w:t>
      </w:r>
      <w:r w:rsidRPr="00AB44A6">
        <w:rPr>
          <w:i/>
          <w:iCs/>
        </w:rPr>
        <w:t>Information Collection Being Reviewed by the FC</w:t>
      </w:r>
      <w:r w:rsidRPr="00AB44A6">
        <w:rPr>
          <w:i/>
          <w:iCs/>
        </w:rPr>
        <w:t>C</w:t>
      </w:r>
      <w:r>
        <w:t>, 86 Fed. Reg. 22050 (Apr. 26, 2021).</w:t>
      </w:r>
    </w:p>
  </w:footnote>
  <w:footnote w:id="340">
    <w:p w:rsidR="008115D5" w:rsidP="00C736CB" w14:paraId="58AB158E" w14:textId="77777777">
      <w:pPr>
        <w:pStyle w:val="FootnoteText"/>
      </w:pPr>
      <w:r w:rsidRPr="5AA70881">
        <w:rPr>
          <w:rStyle w:val="FootnoteReference"/>
          <w:sz w:val="20"/>
        </w:rPr>
        <w:footnoteRef/>
      </w:r>
      <w:r>
        <w:t xml:space="preserve"> </w:t>
      </w:r>
      <w:r w:rsidRPr="001401DE">
        <w:rPr>
          <w:i/>
        </w:rPr>
        <w:t>S</w:t>
      </w:r>
      <w:r w:rsidRPr="007A3682">
        <w:rPr>
          <w:i/>
        </w:rPr>
        <w:t>ee</w:t>
      </w:r>
      <w:r w:rsidRPr="00976009">
        <w:t xml:space="preserve"> 44 U.S.C. </w:t>
      </w:r>
      <w:r w:rsidRPr="5AA70881">
        <w:rPr>
          <w:sz w:val="22"/>
          <w:szCs w:val="22"/>
        </w:rPr>
        <w:t xml:space="preserve">§ </w:t>
      </w:r>
      <w:r w:rsidRPr="00976009">
        <w:t>3506(c)(4).</w:t>
      </w:r>
    </w:p>
  </w:footnote>
  <w:footnote w:id="341">
    <w:p w:rsidR="008115D5" w:rsidP="00C736CB" w14:paraId="3666D7B5" w14:textId="3F453C98">
      <w:pPr>
        <w:pStyle w:val="FootnoteText"/>
      </w:pPr>
      <w:r>
        <w:rPr>
          <w:rStyle w:val="FootnoteReference"/>
        </w:rPr>
        <w:footnoteRef/>
      </w:r>
      <w:r>
        <w:t xml:space="preserve"> </w:t>
      </w:r>
      <w:hyperlink r:id="rId13" w:history="1">
        <w:r w:rsidRPr="00661BF9">
          <w:rPr>
            <w:rStyle w:val="Hyperlink"/>
            <w:color w:val="auto"/>
            <w:u w:val="none"/>
          </w:rPr>
          <w:t xml:space="preserve">5 U.S.C. § </w:t>
        </w:r>
        <w:r w:rsidRPr="00661BF9">
          <w:rPr>
            <w:rStyle w:val="Hyperlink"/>
            <w:color w:val="auto"/>
            <w:u w:val="none"/>
          </w:rPr>
          <w:t>603</w:t>
        </w:r>
      </w:hyperlink>
      <w:r w:rsidRPr="00661BF9">
        <w:t xml:space="preserve">. </w:t>
      </w:r>
      <w:r w:rsidR="00A7760E">
        <w:t xml:space="preserve"> </w:t>
      </w:r>
      <w:r w:rsidRPr="00661BF9">
        <w:t>The RFA, </w:t>
      </w:r>
      <w:hyperlink r:id="rId14" w:history="1">
        <w:r w:rsidRPr="00661BF9">
          <w:rPr>
            <w:rStyle w:val="Hyperlink"/>
            <w:color w:val="auto"/>
            <w:u w:val="none"/>
          </w:rPr>
          <w:t>5 U.S.C. §§ 601</w:t>
        </w:r>
      </w:hyperlink>
      <w:r w:rsidRPr="00661BF9">
        <w:t>-</w:t>
      </w:r>
      <w:hyperlink r:id="rId15" w:history="1">
        <w:r w:rsidRPr="00661BF9">
          <w:rPr>
            <w:rStyle w:val="Hyperlink"/>
            <w:color w:val="auto"/>
            <w:u w:val="none"/>
          </w:rPr>
          <w:t>612</w:t>
        </w:r>
      </w:hyperlink>
      <w:r w:rsidRPr="00661BF9">
        <w:t>, ha</w:t>
      </w:r>
      <w:r w:rsidRPr="0098018B">
        <w:t>s been amended by the Small Business Regulatory Enforcement Fairness Act of 1996 (SBREFA), Public L. No. 104-121, Title II, 110 Stat. 857 (1996).</w:t>
      </w:r>
    </w:p>
  </w:footnote>
  <w:footnote w:id="342">
    <w:p w:rsidR="008115D5" w:rsidP="00C736CB" w14:paraId="226DFC8B" w14:textId="77777777">
      <w:pPr>
        <w:pStyle w:val="FootnoteText"/>
      </w:pPr>
      <w:r>
        <w:rPr>
          <w:rStyle w:val="FootnoteReference"/>
        </w:rPr>
        <w:footnoteRef/>
      </w:r>
      <w:r>
        <w:t xml:space="preserve"> 5 U.S.C. § 605(b).</w:t>
      </w:r>
    </w:p>
  </w:footnote>
  <w:footnote w:id="343">
    <w:p w:rsidR="008115D5" w:rsidP="00C736CB" w14:paraId="707E2667" w14:textId="77777777">
      <w:pPr>
        <w:pStyle w:val="FootnoteText"/>
      </w:pPr>
      <w:r>
        <w:rPr>
          <w:rStyle w:val="FootnoteReference"/>
        </w:rPr>
        <w:footnoteRef/>
      </w:r>
      <w:r>
        <w:t xml:space="preserve"> </w:t>
      </w:r>
      <w:r w:rsidRPr="00EE447B">
        <w:rPr>
          <w:i/>
          <w:iCs/>
        </w:rPr>
        <w:t>Id</w:t>
      </w:r>
      <w:r>
        <w:t>. § 601(6).</w:t>
      </w:r>
    </w:p>
  </w:footnote>
  <w:footnote w:id="344">
    <w:p w:rsidR="008115D5" w:rsidP="00C736CB" w14:paraId="32942951" w14:textId="77777777">
      <w:pPr>
        <w:pStyle w:val="FootnoteText"/>
      </w:pPr>
      <w:r>
        <w:rPr>
          <w:rStyle w:val="FootnoteReference"/>
        </w:rPr>
        <w:footnoteRef/>
      </w:r>
      <w:r>
        <w:t xml:space="preserve"> </w:t>
      </w:r>
      <w:r w:rsidRPr="00EE447B">
        <w:rPr>
          <w:i/>
          <w:iCs/>
        </w:rPr>
        <w:t>Id</w:t>
      </w:r>
      <w:r>
        <w:t xml:space="preserve">. § 601(3) </w:t>
      </w:r>
      <w:r w:rsidRPr="00876A73">
        <w:t>(incorporating by reference the defini</w:t>
      </w:r>
      <w:r w:rsidRPr="00876A73">
        <w:t>tion of ““small-business concern” in the Small Business Act, </w:t>
      </w:r>
      <w:hyperlink r:id="rId16" w:history="1">
        <w:r w:rsidRPr="00661BF9">
          <w:rPr>
            <w:rStyle w:val="Hyperlink"/>
            <w:color w:val="auto"/>
            <w:u w:val="none"/>
          </w:rPr>
          <w:t>15 U.S.C. § 632</w:t>
        </w:r>
      </w:hyperlink>
      <w:r w:rsidRPr="00661BF9">
        <w:t>).  Pursuant to </w:t>
      </w:r>
      <w:hyperlink r:id="rId17" w:anchor="co_pp_d08f0000f5f67" w:history="1">
        <w:r w:rsidRPr="00661BF9">
          <w:rPr>
            <w:rStyle w:val="Hyperlink"/>
            <w:color w:val="auto"/>
            <w:u w:val="none"/>
          </w:rPr>
          <w:t>5 U.S.C. § 601(3)</w:t>
        </w:r>
      </w:hyperlink>
      <w:r w:rsidRPr="00661BF9">
        <w:t xml:space="preserve">, </w:t>
      </w:r>
      <w:r w:rsidRPr="00876A73">
        <w:t xml:space="preserve">the statutory definition of a small business applies “unless an agency, after consultation with the Office of Advocacy of the </w:t>
      </w:r>
      <w:r>
        <w:t>SBA</w:t>
      </w:r>
      <w:r w:rsidRPr="00876A73">
        <w:t xml:space="preserve"> and aft</w:t>
      </w:r>
      <w:r w:rsidRPr="00876A73">
        <w:t>er opportunity for public comment, establishes one or more definitions of such term which are appropriate to the activities of the agency and publishes such definition(s) in the Federal Register.”</w:t>
      </w:r>
    </w:p>
  </w:footnote>
  <w:footnote w:id="345">
    <w:p w:rsidR="008115D5" w:rsidRPr="00805F1F" w:rsidP="00C736CB" w14:paraId="7901D17A" w14:textId="77777777">
      <w:pPr>
        <w:pStyle w:val="FootnoteText"/>
      </w:pPr>
      <w:r w:rsidRPr="00EE447B">
        <w:rPr>
          <w:rStyle w:val="FootnoteReference"/>
          <w:sz w:val="20"/>
        </w:rPr>
        <w:footnoteRef/>
      </w:r>
      <w:r w:rsidRPr="00805F1F">
        <w:rPr>
          <w:i/>
        </w:rPr>
        <w:t xml:space="preserve"> </w:t>
      </w:r>
      <w:r w:rsidRPr="00192310">
        <w:rPr>
          <w:i/>
          <w:iCs/>
        </w:rPr>
        <w:t>Protecting Against National Security Threats to the Commu</w:t>
      </w:r>
      <w:r w:rsidRPr="00192310">
        <w:rPr>
          <w:i/>
          <w:iCs/>
        </w:rPr>
        <w:t xml:space="preserve">nications Supply Chain Through FCC Programs, </w:t>
      </w:r>
      <w:r w:rsidRPr="00192310">
        <w:t>WC Docket No. 18-89, Declaratory Ruling and Second Further Notice of Proposed Rulemaking, 35 FCC Rcd 7821 (2020) (</w:t>
      </w:r>
      <w:r w:rsidRPr="00192310">
        <w:rPr>
          <w:i/>
          <w:iCs/>
        </w:rPr>
        <w:t>2020 Supply Chain Declaratory Ruling and Second Further Notice</w:t>
      </w:r>
      <w:r w:rsidRPr="00192310">
        <w:t>)</w:t>
      </w:r>
      <w:r>
        <w:t xml:space="preserve">; </w:t>
      </w:r>
      <w:r w:rsidRPr="00192310">
        <w:rPr>
          <w:i/>
          <w:iCs/>
        </w:rPr>
        <w:t>Protecting Against National Secu</w:t>
      </w:r>
      <w:r w:rsidRPr="00192310">
        <w:rPr>
          <w:i/>
          <w:iCs/>
        </w:rPr>
        <w:t>rity Threats to the Communications Supply Chain Through FCC Programs</w:t>
      </w:r>
      <w:r w:rsidRPr="00192310">
        <w:t>, WC Docket No. 18-89, Third Further Notice of Proposed Rulemaking, FCC 21-26 (</w:t>
      </w:r>
      <w:r>
        <w:t xml:space="preserve">Feb. 22, </w:t>
      </w:r>
      <w:r w:rsidRPr="00192310">
        <w:t>2021) (</w:t>
      </w:r>
      <w:r w:rsidRPr="00192310">
        <w:rPr>
          <w:i/>
          <w:iCs/>
        </w:rPr>
        <w:t>2021 Supply Chain Further Notice</w:t>
      </w:r>
      <w:r w:rsidRPr="00192310">
        <w:t>)</w:t>
      </w:r>
      <w:r>
        <w:t>.</w:t>
      </w:r>
    </w:p>
  </w:footnote>
  <w:footnote w:id="346">
    <w:p w:rsidR="008115D5" w:rsidRPr="00805F1F" w:rsidP="00C736CB" w14:paraId="55CE3958" w14:textId="77777777">
      <w:pPr>
        <w:pStyle w:val="FootnoteText"/>
      </w:pPr>
      <w:r w:rsidRPr="521ABF92">
        <w:rPr>
          <w:rStyle w:val="FootnoteReference"/>
          <w:sz w:val="20"/>
        </w:rPr>
        <w:footnoteRef/>
      </w:r>
      <w:r w:rsidRPr="00805F1F">
        <w:t xml:space="preserve"> </w:t>
      </w:r>
      <w:r w:rsidRPr="00BA03CA">
        <w:rPr>
          <w:i/>
          <w:iCs/>
        </w:rPr>
        <w:t>2020 Supply Chain Order</w:t>
      </w:r>
      <w:r>
        <w:t xml:space="preserve">, </w:t>
      </w:r>
      <w:r w:rsidRPr="00192310">
        <w:t>35 FCC Rcd</w:t>
      </w:r>
      <w:r w:rsidRPr="00192310">
        <w:t xml:space="preserve"> at 14385 (</w:t>
      </w:r>
      <w:r>
        <w:t xml:space="preserve">Appx. B, </w:t>
      </w:r>
      <w:r w:rsidRPr="00805F1F">
        <w:t>Final Regulatory Flexibility Analysis</w:t>
      </w:r>
      <w:r w:rsidRPr="00192310">
        <w:t>)</w:t>
      </w:r>
      <w:r>
        <w:t xml:space="preserve">; </w:t>
      </w:r>
      <w:r>
        <w:rPr>
          <w:i/>
          <w:iCs/>
        </w:rPr>
        <w:t>2021 Supply Chain Order</w:t>
      </w:r>
      <w:r w:rsidRPr="00805F1F">
        <w:t xml:space="preserve"> (Appx. </w:t>
      </w:r>
      <w:r>
        <w:t>B</w:t>
      </w:r>
      <w:r w:rsidRPr="00805F1F">
        <w:t>, Final Regulatory Flexibility Analysis).</w:t>
      </w:r>
    </w:p>
  </w:footnote>
  <w:footnote w:id="347">
    <w:p w:rsidR="008115D5" w:rsidP="00C736CB" w14:paraId="637AC0E7" w14:textId="77777777">
      <w:pPr>
        <w:pStyle w:val="FootnoteText"/>
      </w:pPr>
      <w:r>
        <w:rPr>
          <w:rStyle w:val="FootnoteReference"/>
        </w:rPr>
        <w:footnoteRef/>
      </w:r>
      <w:r>
        <w:t xml:space="preserve"> </w:t>
      </w:r>
      <w:r w:rsidRPr="00EE447B">
        <w:rPr>
          <w:i/>
          <w:iCs/>
        </w:rPr>
        <w:t>2020 Supply Chain Order</w:t>
      </w:r>
      <w:r>
        <w:t xml:space="preserve">, 35 FCC Rcd at 14374, Appx. A; </w:t>
      </w:r>
      <w:r w:rsidRPr="00EE447B">
        <w:rPr>
          <w:i/>
          <w:iCs/>
        </w:rPr>
        <w:t>2021 Supply Chain Order</w:t>
      </w:r>
      <w:r>
        <w:t>, FCC 21-86, Appx. A.</w:t>
      </w:r>
    </w:p>
  </w:footnote>
  <w:footnote w:id="348">
    <w:p w:rsidR="008115D5" w:rsidP="00C736CB" w14:paraId="7747593F" w14:textId="77777777">
      <w:pPr>
        <w:pStyle w:val="FootnoteText"/>
      </w:pPr>
      <w:r>
        <w:rPr>
          <w:rStyle w:val="FootnoteReference"/>
        </w:rPr>
        <w:footnoteRef/>
      </w:r>
      <w:r>
        <w:t xml:space="preserve"> 5 U.S.C. § 801(a)(</w:t>
      </w:r>
      <w:r>
        <w:t>1)(A).</w:t>
      </w:r>
    </w:p>
  </w:footnote>
  <w:footnote w:id="349">
    <w:p w:rsidR="008115D5" w:rsidP="00C736CB" w14:paraId="0737C558" w14:textId="77777777">
      <w:pPr>
        <w:pStyle w:val="FootnoteText"/>
      </w:pPr>
      <w:r>
        <w:rPr>
          <w:rStyle w:val="FootnoteReference"/>
        </w:rPr>
        <w:footnoteRef/>
      </w:r>
      <w:r>
        <w:t xml:space="preserve"> 5 U.S.C. §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D11" w14:paraId="2252B8CE" w14:textId="674817CC">
    <w:pPr>
      <w:tabs>
        <w:tab w:val="center" w:pos="4680"/>
        <w:tab w:val="right" w:pos="9360"/>
      </w:tabs>
    </w:pPr>
    <w:r>
      <w:rPr>
        <w:b/>
      </w:rPr>
      <w:tab/>
      <w:t xml:space="preserve">Federal </w:t>
    </w:r>
    <w:r>
      <w:rPr>
        <w:b/>
      </w:rPr>
      <w:t>Communications Commission</w:t>
    </w:r>
    <w:r>
      <w:rPr>
        <w:b/>
      </w:rPr>
      <w:tab/>
    </w:r>
    <w:r w:rsidR="007D2720">
      <w:rPr>
        <w:b/>
      </w:rPr>
      <w:t>DA 21-947</w:t>
    </w:r>
  </w:p>
  <w:p w:rsidR="007D0D11" w14:paraId="5A88703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7D0D11" w14:paraId="3F46668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D11" w14:paraId="22040AC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468.75pt;height:111.7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C6E08"/>
    <w:multiLevelType w:val="hybridMultilevel"/>
    <w:tmpl w:val="E6B412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E57654"/>
    <w:multiLevelType w:val="hybridMultilevel"/>
    <w:tmpl w:val="6E204B0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7BD5BFE"/>
    <w:multiLevelType w:val="hybridMultilevel"/>
    <w:tmpl w:val="E52E9D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86C26CE"/>
    <w:multiLevelType w:val="hybridMultilevel"/>
    <w:tmpl w:val="E0E68DF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A8608C"/>
    <w:multiLevelType w:val="hybridMultilevel"/>
    <w:tmpl w:val="8138D7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8AC0E5A"/>
    <w:multiLevelType w:val="hybridMultilevel"/>
    <w:tmpl w:val="6A0CC04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B121B96"/>
    <w:multiLevelType w:val="hybridMultilevel"/>
    <w:tmpl w:val="00DC73B8"/>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1">
    <w:nsid w:val="2EB216F4"/>
    <w:multiLevelType w:val="hybridMultilevel"/>
    <w:tmpl w:val="99B06A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2A6E4D"/>
    <w:multiLevelType w:val="hybridMultilevel"/>
    <w:tmpl w:val="612E7F2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98A324C"/>
    <w:multiLevelType w:val="hybridMultilevel"/>
    <w:tmpl w:val="9AF0748A"/>
    <w:lvl w:ilvl="0">
      <w:start w:val="1"/>
      <w:numFmt w:val="upperRoman"/>
      <w:lvlText w:val="%1."/>
      <w:lvlJc w:val="right"/>
      <w:pPr>
        <w:ind w:left="1080" w:hanging="360"/>
      </w:pPr>
      <w:rPr>
        <w:rFonts w:ascii="Times New Roman" w:hAnsi="Times New Roman" w:cs="Times New Roman" w:hint="default"/>
        <w:b/>
        <w:bCs/>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0677844"/>
    <w:multiLevelType w:val="hybridMultilevel"/>
    <w:tmpl w:val="646AC5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27672D3"/>
    <w:multiLevelType w:val="hybridMultilevel"/>
    <w:tmpl w:val="BA14201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2796D32"/>
    <w:multiLevelType w:val="hybridMultilevel"/>
    <w:tmpl w:val="B82CFD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0E225D9"/>
    <w:multiLevelType w:val="hybridMultilevel"/>
    <w:tmpl w:val="0DB2A9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NewRoman"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NewRoman"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9">
    <w:nsid w:val="55D513D6"/>
    <w:multiLevelType w:val="hybridMultilevel"/>
    <w:tmpl w:val="345CFD4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FFD2FBC"/>
    <w:multiLevelType w:val="hybridMultilevel"/>
    <w:tmpl w:val="E0A81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2">
    <w:nsid w:val="662C002F"/>
    <w:multiLevelType w:val="hybridMultilevel"/>
    <w:tmpl w:val="60AAECE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63971BF"/>
    <w:multiLevelType w:val="hybridMultilevel"/>
    <w:tmpl w:val="1A3CC53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67F31AD3"/>
    <w:multiLevelType w:val="hybridMultilevel"/>
    <w:tmpl w:val="A156F4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CC333A7"/>
    <w:multiLevelType w:val="hybridMultilevel"/>
    <w:tmpl w:val="A3F8EE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D50630B"/>
    <w:multiLevelType w:val="hybridMultilevel"/>
    <w:tmpl w:val="0DA83B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D653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1"/>
  </w:num>
  <w:num w:numId="3">
    <w:abstractNumId w:val="7"/>
  </w:num>
  <w:num w:numId="4">
    <w:abstractNumId w:val="17"/>
  </w:num>
  <w:num w:numId="5">
    <w:abstractNumId w:val="6"/>
  </w:num>
  <w:num w:numId="6">
    <w:abstractNumId w:val="1"/>
  </w:num>
  <w:num w:numId="7">
    <w:abstractNumId w:val="20"/>
  </w:num>
  <w:num w:numId="8">
    <w:abstractNumId w:val="18"/>
  </w:num>
  <w:num w:numId="9">
    <w:abstractNumId w:val="8"/>
  </w:num>
  <w:num w:numId="10">
    <w:abstractNumId w:val="3"/>
  </w:num>
  <w:num w:numId="11">
    <w:abstractNumId w:val="16"/>
  </w:num>
  <w:num w:numId="12">
    <w:abstractNumId w:val="26"/>
  </w:num>
  <w:num w:numId="13">
    <w:abstractNumId w:val="11"/>
  </w:num>
  <w:num w:numId="14">
    <w:abstractNumId w:val="0"/>
  </w:num>
  <w:num w:numId="15">
    <w:abstractNumId w:val="14"/>
  </w:num>
  <w:num w:numId="16">
    <w:abstractNumId w:val="25"/>
  </w:num>
  <w:num w:numId="17">
    <w:abstractNumId w:val="13"/>
  </w:num>
  <w:num w:numId="18">
    <w:abstractNumId w:val="22"/>
  </w:num>
  <w:num w:numId="19">
    <w:abstractNumId w:val="4"/>
  </w:num>
  <w:num w:numId="20">
    <w:abstractNumId w:val="23"/>
  </w:num>
  <w:num w:numId="21">
    <w:abstractNumId w:val="9"/>
  </w:num>
  <w:num w:numId="22">
    <w:abstractNumId w:val="10"/>
  </w:num>
  <w:num w:numId="23">
    <w:abstractNumId w:val="15"/>
  </w:num>
  <w:num w:numId="24">
    <w:abstractNumId w:val="2"/>
  </w:num>
  <w:num w:numId="25">
    <w:abstractNumId w:val="27"/>
  </w:num>
  <w:num w:numId="26">
    <w:abstractNumId w:val="1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CB"/>
    <w:rsid w:val="00000348"/>
    <w:rsid w:val="00001DBF"/>
    <w:rsid w:val="0001178B"/>
    <w:rsid w:val="00014139"/>
    <w:rsid w:val="00045BC6"/>
    <w:rsid w:val="00052C93"/>
    <w:rsid w:val="000875D4"/>
    <w:rsid w:val="000948A5"/>
    <w:rsid w:val="000955B3"/>
    <w:rsid w:val="00097AEF"/>
    <w:rsid w:val="000A6649"/>
    <w:rsid w:val="000A7303"/>
    <w:rsid w:val="000A75CE"/>
    <w:rsid w:val="000B77D8"/>
    <w:rsid w:val="000C3057"/>
    <w:rsid w:val="000D26F6"/>
    <w:rsid w:val="000D44D6"/>
    <w:rsid w:val="000E6D79"/>
    <w:rsid w:val="00107CB5"/>
    <w:rsid w:val="00116254"/>
    <w:rsid w:val="00116D2C"/>
    <w:rsid w:val="00121B58"/>
    <w:rsid w:val="00132463"/>
    <w:rsid w:val="00135F5F"/>
    <w:rsid w:val="001401DE"/>
    <w:rsid w:val="001448F0"/>
    <w:rsid w:val="00147B88"/>
    <w:rsid w:val="00151CBC"/>
    <w:rsid w:val="00151F45"/>
    <w:rsid w:val="00157C9D"/>
    <w:rsid w:val="0017160D"/>
    <w:rsid w:val="00175B7A"/>
    <w:rsid w:val="00192310"/>
    <w:rsid w:val="001977D4"/>
    <w:rsid w:val="001A6173"/>
    <w:rsid w:val="001B41D2"/>
    <w:rsid w:val="001D5ED9"/>
    <w:rsid w:val="001F4417"/>
    <w:rsid w:val="001F7414"/>
    <w:rsid w:val="00200376"/>
    <w:rsid w:val="00206D63"/>
    <w:rsid w:val="00210BFC"/>
    <w:rsid w:val="00212010"/>
    <w:rsid w:val="002227EE"/>
    <w:rsid w:val="00227D39"/>
    <w:rsid w:val="00237B09"/>
    <w:rsid w:val="00237D5A"/>
    <w:rsid w:val="002441B5"/>
    <w:rsid w:val="00244F7E"/>
    <w:rsid w:val="0026260D"/>
    <w:rsid w:val="00264F76"/>
    <w:rsid w:val="00286495"/>
    <w:rsid w:val="00294177"/>
    <w:rsid w:val="002C5409"/>
    <w:rsid w:val="002D290C"/>
    <w:rsid w:val="003004C4"/>
    <w:rsid w:val="003074F8"/>
    <w:rsid w:val="00313DCE"/>
    <w:rsid w:val="00316708"/>
    <w:rsid w:val="00323CA1"/>
    <w:rsid w:val="00326AE1"/>
    <w:rsid w:val="0032708F"/>
    <w:rsid w:val="00330B28"/>
    <w:rsid w:val="00336662"/>
    <w:rsid w:val="00337084"/>
    <w:rsid w:val="0034252B"/>
    <w:rsid w:val="003643C5"/>
    <w:rsid w:val="00377448"/>
    <w:rsid w:val="00381F94"/>
    <w:rsid w:val="00387B44"/>
    <w:rsid w:val="003A0EC2"/>
    <w:rsid w:val="003B3B27"/>
    <w:rsid w:val="003E49B3"/>
    <w:rsid w:val="00426D16"/>
    <w:rsid w:val="0044123D"/>
    <w:rsid w:val="0048376B"/>
    <w:rsid w:val="00484A7B"/>
    <w:rsid w:val="00484DCE"/>
    <w:rsid w:val="004915B7"/>
    <w:rsid w:val="00491FB3"/>
    <w:rsid w:val="004A4CD3"/>
    <w:rsid w:val="004B24F4"/>
    <w:rsid w:val="004E1AB7"/>
    <w:rsid w:val="00504183"/>
    <w:rsid w:val="00506D41"/>
    <w:rsid w:val="00530457"/>
    <w:rsid w:val="00565383"/>
    <w:rsid w:val="00573B76"/>
    <w:rsid w:val="00574AA9"/>
    <w:rsid w:val="005752EB"/>
    <w:rsid w:val="005A4D56"/>
    <w:rsid w:val="005A798A"/>
    <w:rsid w:val="005B1DC9"/>
    <w:rsid w:val="005B4782"/>
    <w:rsid w:val="005B73F6"/>
    <w:rsid w:val="005C689A"/>
    <w:rsid w:val="005D2795"/>
    <w:rsid w:val="005E08C8"/>
    <w:rsid w:val="005E1D51"/>
    <w:rsid w:val="005E6584"/>
    <w:rsid w:val="005F30AB"/>
    <w:rsid w:val="00610361"/>
    <w:rsid w:val="00625DC1"/>
    <w:rsid w:val="006421A5"/>
    <w:rsid w:val="00651DC0"/>
    <w:rsid w:val="006539ED"/>
    <w:rsid w:val="0065746E"/>
    <w:rsid w:val="00657D16"/>
    <w:rsid w:val="00661BF9"/>
    <w:rsid w:val="0066601F"/>
    <w:rsid w:val="006725EF"/>
    <w:rsid w:val="00680FCA"/>
    <w:rsid w:val="006A5C3F"/>
    <w:rsid w:val="006A65B9"/>
    <w:rsid w:val="006B60BB"/>
    <w:rsid w:val="006C0EC9"/>
    <w:rsid w:val="006C2F93"/>
    <w:rsid w:val="007135EB"/>
    <w:rsid w:val="0071489F"/>
    <w:rsid w:val="00725211"/>
    <w:rsid w:val="00725A88"/>
    <w:rsid w:val="00731494"/>
    <w:rsid w:val="0073158F"/>
    <w:rsid w:val="00735110"/>
    <w:rsid w:val="00737E40"/>
    <w:rsid w:val="00743E9B"/>
    <w:rsid w:val="00754443"/>
    <w:rsid w:val="00755197"/>
    <w:rsid w:val="00757710"/>
    <w:rsid w:val="00763F15"/>
    <w:rsid w:val="007647BB"/>
    <w:rsid w:val="00775F79"/>
    <w:rsid w:val="00785406"/>
    <w:rsid w:val="00796C07"/>
    <w:rsid w:val="007A3682"/>
    <w:rsid w:val="007B43EE"/>
    <w:rsid w:val="007C508B"/>
    <w:rsid w:val="007C589B"/>
    <w:rsid w:val="007D0D11"/>
    <w:rsid w:val="007D2720"/>
    <w:rsid w:val="007E2C52"/>
    <w:rsid w:val="007F5496"/>
    <w:rsid w:val="008000BD"/>
    <w:rsid w:val="00805F1F"/>
    <w:rsid w:val="008115D5"/>
    <w:rsid w:val="0081203A"/>
    <w:rsid w:val="008302C4"/>
    <w:rsid w:val="0083062F"/>
    <w:rsid w:val="00845536"/>
    <w:rsid w:val="008525C9"/>
    <w:rsid w:val="00856A4F"/>
    <w:rsid w:val="00861A88"/>
    <w:rsid w:val="0086528B"/>
    <w:rsid w:val="00865C1B"/>
    <w:rsid w:val="008679EA"/>
    <w:rsid w:val="00876A73"/>
    <w:rsid w:val="00877F9C"/>
    <w:rsid w:val="0088197F"/>
    <w:rsid w:val="008A65D4"/>
    <w:rsid w:val="008A6775"/>
    <w:rsid w:val="008B045B"/>
    <w:rsid w:val="008B38A3"/>
    <w:rsid w:val="008D76CD"/>
    <w:rsid w:val="008E0446"/>
    <w:rsid w:val="008F2D65"/>
    <w:rsid w:val="00904010"/>
    <w:rsid w:val="00913892"/>
    <w:rsid w:val="00913B0A"/>
    <w:rsid w:val="00941AC3"/>
    <w:rsid w:val="009650C3"/>
    <w:rsid w:val="009755AD"/>
    <w:rsid w:val="00976009"/>
    <w:rsid w:val="0098018B"/>
    <w:rsid w:val="009A26A2"/>
    <w:rsid w:val="009A56D8"/>
    <w:rsid w:val="009B30CC"/>
    <w:rsid w:val="009B52C8"/>
    <w:rsid w:val="009C3ED7"/>
    <w:rsid w:val="009C5CDD"/>
    <w:rsid w:val="00A075E3"/>
    <w:rsid w:val="00A26345"/>
    <w:rsid w:val="00A33F59"/>
    <w:rsid w:val="00A41C0C"/>
    <w:rsid w:val="00A75E68"/>
    <w:rsid w:val="00A7760E"/>
    <w:rsid w:val="00A77B8B"/>
    <w:rsid w:val="00A814E6"/>
    <w:rsid w:val="00A87728"/>
    <w:rsid w:val="00AB44A6"/>
    <w:rsid w:val="00AC2E80"/>
    <w:rsid w:val="00AC362E"/>
    <w:rsid w:val="00AC4F09"/>
    <w:rsid w:val="00AF54A0"/>
    <w:rsid w:val="00B02D88"/>
    <w:rsid w:val="00B46907"/>
    <w:rsid w:val="00B47078"/>
    <w:rsid w:val="00B613F8"/>
    <w:rsid w:val="00B7215C"/>
    <w:rsid w:val="00B72E68"/>
    <w:rsid w:val="00B774AC"/>
    <w:rsid w:val="00B84BEB"/>
    <w:rsid w:val="00B90FB5"/>
    <w:rsid w:val="00BA03CA"/>
    <w:rsid w:val="00BA167A"/>
    <w:rsid w:val="00BA336F"/>
    <w:rsid w:val="00BB01D7"/>
    <w:rsid w:val="00BC7CB3"/>
    <w:rsid w:val="00BD1D17"/>
    <w:rsid w:val="00BE076E"/>
    <w:rsid w:val="00BE5661"/>
    <w:rsid w:val="00BF0261"/>
    <w:rsid w:val="00BF67FE"/>
    <w:rsid w:val="00C017AD"/>
    <w:rsid w:val="00C14F17"/>
    <w:rsid w:val="00C17574"/>
    <w:rsid w:val="00C25CB9"/>
    <w:rsid w:val="00C449AC"/>
    <w:rsid w:val="00C51CDD"/>
    <w:rsid w:val="00C65365"/>
    <w:rsid w:val="00C654BC"/>
    <w:rsid w:val="00C67CA2"/>
    <w:rsid w:val="00C73490"/>
    <w:rsid w:val="00C736CB"/>
    <w:rsid w:val="00C73C3E"/>
    <w:rsid w:val="00C8047B"/>
    <w:rsid w:val="00C81F45"/>
    <w:rsid w:val="00CC61DE"/>
    <w:rsid w:val="00CD00B3"/>
    <w:rsid w:val="00CD4F11"/>
    <w:rsid w:val="00CF3406"/>
    <w:rsid w:val="00D13863"/>
    <w:rsid w:val="00D2704F"/>
    <w:rsid w:val="00D36180"/>
    <w:rsid w:val="00D3685F"/>
    <w:rsid w:val="00D556C3"/>
    <w:rsid w:val="00D64C98"/>
    <w:rsid w:val="00D819A8"/>
    <w:rsid w:val="00D83D7E"/>
    <w:rsid w:val="00D972EC"/>
    <w:rsid w:val="00DA392E"/>
    <w:rsid w:val="00DC6E04"/>
    <w:rsid w:val="00DC75CD"/>
    <w:rsid w:val="00DE63FF"/>
    <w:rsid w:val="00DF1A10"/>
    <w:rsid w:val="00E02261"/>
    <w:rsid w:val="00E0383D"/>
    <w:rsid w:val="00E0403D"/>
    <w:rsid w:val="00E138A7"/>
    <w:rsid w:val="00E25C7E"/>
    <w:rsid w:val="00E26B83"/>
    <w:rsid w:val="00E30E76"/>
    <w:rsid w:val="00E402E8"/>
    <w:rsid w:val="00E4295E"/>
    <w:rsid w:val="00E52DFB"/>
    <w:rsid w:val="00E6303C"/>
    <w:rsid w:val="00E725A4"/>
    <w:rsid w:val="00E754C1"/>
    <w:rsid w:val="00E809B5"/>
    <w:rsid w:val="00E876C0"/>
    <w:rsid w:val="00E9663F"/>
    <w:rsid w:val="00EB1171"/>
    <w:rsid w:val="00EB723B"/>
    <w:rsid w:val="00EC1636"/>
    <w:rsid w:val="00EC3B54"/>
    <w:rsid w:val="00EC3FA6"/>
    <w:rsid w:val="00ED5BFE"/>
    <w:rsid w:val="00ED60DA"/>
    <w:rsid w:val="00EE447B"/>
    <w:rsid w:val="00EF2ADD"/>
    <w:rsid w:val="00EF42E2"/>
    <w:rsid w:val="00EF5BC1"/>
    <w:rsid w:val="00F06477"/>
    <w:rsid w:val="00F238FF"/>
    <w:rsid w:val="00F4113E"/>
    <w:rsid w:val="00F45E94"/>
    <w:rsid w:val="00F7420F"/>
    <w:rsid w:val="00F765CF"/>
    <w:rsid w:val="00F822D9"/>
    <w:rsid w:val="00FA0527"/>
    <w:rsid w:val="00FA6D8C"/>
    <w:rsid w:val="00FC3355"/>
    <w:rsid w:val="00FC5623"/>
    <w:rsid w:val="00FC68BF"/>
    <w:rsid w:val="00FC7C75"/>
    <w:rsid w:val="00FF3256"/>
    <w:rsid w:val="00FF5294"/>
    <w:rsid w:val="00FF7959"/>
    <w:rsid w:val="0933896E"/>
    <w:rsid w:val="0A0EE3E2"/>
    <w:rsid w:val="0A24DFCC"/>
    <w:rsid w:val="0D0FACF1"/>
    <w:rsid w:val="10CB134B"/>
    <w:rsid w:val="122AD662"/>
    <w:rsid w:val="1A7EF590"/>
    <w:rsid w:val="1C9CAD26"/>
    <w:rsid w:val="1D535A22"/>
    <w:rsid w:val="25E859E5"/>
    <w:rsid w:val="2935D370"/>
    <w:rsid w:val="2DEBD9D3"/>
    <w:rsid w:val="31157B6A"/>
    <w:rsid w:val="3222F91A"/>
    <w:rsid w:val="34D20CC4"/>
    <w:rsid w:val="3539E99B"/>
    <w:rsid w:val="38114642"/>
    <w:rsid w:val="3C9441D6"/>
    <w:rsid w:val="3E349F70"/>
    <w:rsid w:val="3F919023"/>
    <w:rsid w:val="4033776E"/>
    <w:rsid w:val="421E93C1"/>
    <w:rsid w:val="42E13A2F"/>
    <w:rsid w:val="483F8AB7"/>
    <w:rsid w:val="4C7B971E"/>
    <w:rsid w:val="4C9E1DA4"/>
    <w:rsid w:val="51067AE5"/>
    <w:rsid w:val="5145881F"/>
    <w:rsid w:val="526D6F39"/>
    <w:rsid w:val="530736E2"/>
    <w:rsid w:val="54451BF0"/>
    <w:rsid w:val="582AF13E"/>
    <w:rsid w:val="5900B69A"/>
    <w:rsid w:val="5AA70881"/>
    <w:rsid w:val="5B9214A0"/>
    <w:rsid w:val="5DD88873"/>
    <w:rsid w:val="5E08AD23"/>
    <w:rsid w:val="5F7AE499"/>
    <w:rsid w:val="621F7C02"/>
    <w:rsid w:val="65A4FD58"/>
    <w:rsid w:val="687EB5BC"/>
    <w:rsid w:val="6C6DD956"/>
    <w:rsid w:val="6E5F4405"/>
    <w:rsid w:val="713B60C4"/>
    <w:rsid w:val="733A38EF"/>
    <w:rsid w:val="73B750F6"/>
    <w:rsid w:val="75F2036D"/>
    <w:rsid w:val="77659CA4"/>
    <w:rsid w:val="7773B04D"/>
    <w:rsid w:val="7A753717"/>
    <w:rsid w:val="7B27F492"/>
    <w:rsid w:val="7C832422"/>
    <w:rsid w:val="7CE41F6F"/>
    <w:rsid w:val="7D6556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4E3393"/>
  <w15:chartTrackingRefBased/>
  <w15:docId w15:val="{C47FB6C5-7E36-4ECE-8C82-65B3EEC7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736CB"/>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unhideWhenUsed/>
    <w:rPr>
      <w:color w:val="605E5C"/>
      <w:shd w:val="clear" w:color="auto" w:fill="E1DFDD"/>
    </w:rPr>
  </w:style>
  <w:style w:type="paragraph" w:styleId="BalloonText">
    <w:name w:val="Balloon Text"/>
    <w:basedOn w:val="Normal"/>
    <w:link w:val="BalloonTextChar"/>
    <w:uiPriority w:val="99"/>
    <w:semiHidden/>
    <w:unhideWhenUsed/>
    <w:rsid w:val="00C736CB"/>
    <w:rPr>
      <w:rFonts w:ascii="Segoe UI" w:hAnsi="Segoe UI" w:cs="Segoe UI"/>
      <w:sz w:val="18"/>
      <w:szCs w:val="18"/>
    </w:rPr>
  </w:style>
  <w:style w:type="character" w:customStyle="1" w:styleId="BalloonTextChar">
    <w:name w:val="Balloon Text Char"/>
    <w:link w:val="BalloonText"/>
    <w:uiPriority w:val="99"/>
    <w:semiHidden/>
    <w:rsid w:val="00C736CB"/>
    <w:rPr>
      <w:rFonts w:ascii="Segoe UI" w:hAnsi="Segoe UI" w:cs="Segoe UI"/>
      <w:snapToGrid w:val="0"/>
      <w:kern w:val="28"/>
      <w:sz w:val="18"/>
      <w:szCs w:val="18"/>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C736CB"/>
  </w:style>
  <w:style w:type="character" w:customStyle="1" w:styleId="ParaNumCharChar">
    <w:name w:val="ParaNum Char Char"/>
    <w:link w:val="ParaNum"/>
    <w:locked/>
    <w:rsid w:val="00C736CB"/>
    <w:rPr>
      <w:snapToGrid w:val="0"/>
      <w:kern w:val="28"/>
      <w:sz w:val="22"/>
    </w:rPr>
  </w:style>
  <w:style w:type="paragraph" w:customStyle="1" w:styleId="Default">
    <w:name w:val="Default"/>
    <w:rsid w:val="00C736CB"/>
    <w:pPr>
      <w:autoSpaceDE w:val="0"/>
      <w:autoSpaceDN w:val="0"/>
      <w:adjustRightInd w:val="0"/>
    </w:pPr>
    <w:rPr>
      <w:color w:val="000000"/>
      <w:sz w:val="24"/>
      <w:szCs w:val="24"/>
    </w:rPr>
  </w:style>
  <w:style w:type="paragraph" w:styleId="ListParagraph">
    <w:name w:val="List Paragraph"/>
    <w:basedOn w:val="Normal"/>
    <w:uiPriority w:val="34"/>
    <w:qFormat/>
    <w:rsid w:val="00C736CB"/>
    <w:pPr>
      <w:ind w:left="720"/>
      <w:contextualSpacing/>
    </w:pPr>
  </w:style>
  <w:style w:type="character" w:customStyle="1" w:styleId="normaltextrun">
    <w:name w:val="normaltextrun"/>
    <w:basedOn w:val="DefaultParagraphFont"/>
    <w:rsid w:val="00C736CB"/>
  </w:style>
  <w:style w:type="character" w:customStyle="1" w:styleId="eop">
    <w:name w:val="eop"/>
    <w:basedOn w:val="DefaultParagraphFont"/>
    <w:rsid w:val="00C736CB"/>
  </w:style>
  <w:style w:type="character" w:styleId="CommentReference">
    <w:name w:val="annotation reference"/>
    <w:uiPriority w:val="99"/>
    <w:unhideWhenUsed/>
    <w:rsid w:val="00C736CB"/>
    <w:rPr>
      <w:sz w:val="16"/>
      <w:szCs w:val="16"/>
    </w:rPr>
  </w:style>
  <w:style w:type="paragraph" w:styleId="CommentText">
    <w:name w:val="annotation text"/>
    <w:basedOn w:val="Normal"/>
    <w:link w:val="CommentTextChar"/>
    <w:uiPriority w:val="99"/>
    <w:unhideWhenUsed/>
    <w:rsid w:val="00C736CB"/>
    <w:rPr>
      <w:sz w:val="20"/>
    </w:rPr>
  </w:style>
  <w:style w:type="character" w:customStyle="1" w:styleId="CommentTextChar">
    <w:name w:val="Comment Text Char"/>
    <w:link w:val="CommentText"/>
    <w:uiPriority w:val="99"/>
    <w:rsid w:val="00C736CB"/>
    <w:rPr>
      <w:snapToGrid w:val="0"/>
      <w:kern w:val="28"/>
    </w:rPr>
  </w:style>
  <w:style w:type="paragraph" w:styleId="CommentSubject">
    <w:name w:val="annotation subject"/>
    <w:basedOn w:val="CommentText"/>
    <w:next w:val="CommentText"/>
    <w:link w:val="CommentSubjectChar"/>
    <w:uiPriority w:val="99"/>
    <w:semiHidden/>
    <w:unhideWhenUsed/>
    <w:rsid w:val="00C736CB"/>
    <w:rPr>
      <w:b/>
      <w:bCs/>
    </w:rPr>
  </w:style>
  <w:style w:type="character" w:customStyle="1" w:styleId="CommentSubjectChar">
    <w:name w:val="Comment Subject Char"/>
    <w:link w:val="CommentSubject"/>
    <w:uiPriority w:val="99"/>
    <w:semiHidden/>
    <w:rsid w:val="00C736CB"/>
    <w:rPr>
      <w:b/>
      <w:bCs/>
      <w:snapToGrid w:val="0"/>
      <w:kern w:val="28"/>
    </w:rPr>
  </w:style>
  <w:style w:type="paragraph" w:styleId="Revision">
    <w:name w:val="Revision"/>
    <w:hidden/>
    <w:uiPriority w:val="99"/>
    <w:semiHidden/>
    <w:rsid w:val="00C736CB"/>
    <w:rPr>
      <w:snapToGrid w:val="0"/>
      <w:kern w:val="28"/>
      <w:sz w:val="22"/>
    </w:rPr>
  </w:style>
  <w:style w:type="character" w:customStyle="1" w:styleId="ParaNumChar">
    <w:name w:val="ParaNum Char"/>
    <w:locked/>
    <w:rsid w:val="00C736CB"/>
    <w:rPr>
      <w:snapToGrid w:val="0"/>
      <w:kern w:val="28"/>
      <w:sz w:val="22"/>
    </w:rPr>
  </w:style>
  <w:style w:type="paragraph" w:styleId="NoSpacing">
    <w:name w:val="No Spacing"/>
    <w:uiPriority w:val="1"/>
    <w:qFormat/>
    <w:rsid w:val="00C736CB"/>
    <w:rPr>
      <w:rFonts w:ascii="Calibri" w:eastAsia="Calibri" w:hAnsi="Calibri" w:cs="Arial"/>
      <w:sz w:val="22"/>
      <w:szCs w:val="22"/>
    </w:rPr>
  </w:style>
  <w:style w:type="paragraph" w:styleId="TOCHeading">
    <w:name w:val="TOC Heading"/>
    <w:basedOn w:val="Heading1"/>
    <w:next w:val="Normal"/>
    <w:uiPriority w:val="39"/>
    <w:unhideWhenUsed/>
    <w:qFormat/>
    <w:rsid w:val="00C736CB"/>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character" w:customStyle="1" w:styleId="Mention1">
    <w:name w:val="Mention1"/>
    <w:uiPriority w:val="99"/>
    <w:unhideWhenUsed/>
    <w:rsid w:val="00C736CB"/>
    <w:rPr>
      <w:color w:val="2B579A"/>
      <w:shd w:val="clear" w:color="auto" w:fill="E1DFDD"/>
    </w:rPr>
  </w:style>
  <w:style w:type="character" w:customStyle="1" w:styleId="ParaNumCharChar1">
    <w:name w:val="ParaNum Char Char1"/>
    <w:locked/>
    <w:rsid w:val="00C736C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pplycha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FCC-21-86A2.pdf" TargetMode="External" /><Relationship Id="rId10" Type="http://schemas.openxmlformats.org/officeDocument/2006/relationships/hyperlink" Target="https://fiscal.treasury.gov/DNP/" TargetMode="External" /><Relationship Id="rId11" Type="http://schemas.openxmlformats.org/officeDocument/2006/relationships/hyperlink" Target="https://fiscal.treasury.gov/dnp/privacy-program.html" TargetMode="External" /><Relationship Id="rId12" Type="http://schemas.openxmlformats.org/officeDocument/2006/relationships/hyperlink" Target="https://www.fcc.gov/licensing-databases/fees/debt-collection-improvement-act-implementation" TargetMode="External" /><Relationship Id="rId13" Type="http://schemas.openxmlformats.org/officeDocument/2006/relationships/hyperlink" Target="https://1.next.westlaw.com/Link/Document/FullText?findType=L&amp;pubNum=1000546&amp;cite=5USCAS603&amp;originatingDoc=I52672256964d11ea9f6c9250ee334868&amp;refType=LQ&amp;originationContext=document&amp;transitionType=DocumentItem&amp;contextData=(sc.Search)" TargetMode="External" /><Relationship Id="rId14" Type="http://schemas.openxmlformats.org/officeDocument/2006/relationships/hyperlink" Target="https://1.next.westlaw.com/Link/Document/FullText?findType=L&amp;pubNum=1000546&amp;cite=5USCAS601&amp;originatingDoc=I52672256964d11ea9f6c9250ee334868&amp;refType=LQ&amp;originationContext=document&amp;transitionType=DocumentItem&amp;contextData=(sc.Search)" TargetMode="External" /><Relationship Id="rId15" Type="http://schemas.openxmlformats.org/officeDocument/2006/relationships/hyperlink" Target="https://1.next.westlaw.com/Link/Document/FullText?findType=L&amp;pubNum=1000546&amp;cite=5USCAS612&amp;originatingDoc=I52672256964d11ea9f6c9250ee334868&amp;refType=LQ&amp;originationContext=document&amp;transitionType=DocumentItem&amp;contextData=(sc.Search)" TargetMode="External" /><Relationship Id="rId16" Type="http://schemas.openxmlformats.org/officeDocument/2006/relationships/hyperlink" Target="https://1.next.westlaw.com/Link/Document/FullText?findType=L&amp;pubNum=1000546&amp;cite=15USCAS632&amp;originatingDoc=I52672256964d11ea9f6c9250ee334868&amp;refType=LQ&amp;originationContext=document&amp;transitionType=DocumentItem&amp;contextData=(sc.Search)" TargetMode="External" /><Relationship Id="rId17" Type="http://schemas.openxmlformats.org/officeDocument/2006/relationships/hyperlink" Target="https://1.next.westlaw.com/Link/Document/FullText?findType=L&amp;pubNum=1000546&amp;cite=5USCAS601&amp;originatingDoc=I52672256964d11ea9f6c9250ee334868&amp;refType=RB&amp;originationContext=document&amp;transitionType=DocumentItem&amp;contextData=(sc.Search)" TargetMode="External" /><Relationship Id="rId2" Type="http://schemas.openxmlformats.org/officeDocument/2006/relationships/hyperlink" Target="https://www.fcc.gov/supplychain" TargetMode="External" /><Relationship Id="rId3" Type="http://schemas.openxmlformats.org/officeDocument/2006/relationships/hyperlink" Target="https://widelity.com/about-widelity/" TargetMode="External" /><Relationship Id="rId4" Type="http://schemas.openxmlformats.org/officeDocument/2006/relationships/hyperlink" Target="https://static1.squarespace.com/static/5ad774cce74940d7115044b0/t/60daf34f041acf553658bb34/1624961876380/O-RAN+Minimum+Viable+Plan+and+Acceleration+towards+Commercialization+White+Paper+29+June+2021.pdf" TargetMode="External" /><Relationship Id="rId5" Type="http://schemas.openxmlformats.org/officeDocument/2006/relationships/hyperlink" Target="https://apps.fcc.gov/cores/userLogin.do" TargetMode="External" /><Relationship Id="rId6" Type="http://schemas.openxmlformats.org/officeDocument/2006/relationships/hyperlink" Target="https://www.sam.gov/SAM/" TargetMode="External" /><Relationship Id="rId7" Type="http://schemas.openxmlformats.org/officeDocument/2006/relationships/hyperlink" Target="https://tfm.fiscal.treasury.gov/v1/p4/ac3000.html" TargetMode="External" /><Relationship Id="rId8" Type="http://schemas.openxmlformats.org/officeDocument/2006/relationships/hyperlink" Target="https://fiscal.treasury.gov/top/" TargetMode="External" /><Relationship Id="rId9" Type="http://schemas.openxmlformats.org/officeDocument/2006/relationships/hyperlink" Target="https://fiscal.treasury.gov/top/faqs-for-the-public.htm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42</Pages>
  <Words>18035</Words>
  <Characters>102803</Characters>
  <Application>Microsoft Office Word</Application>
  <DocSecurity>0</DocSecurity>
  <Lines>856</Lines>
  <Paragraphs>241</Paragraphs>
  <ScaleCrop>false</ScaleCrop>
  <Company/>
  <LinksUpToDate>false</LinksUpToDate>
  <CharactersWithSpaces>120597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Sigmund</dc:creator>
  <cp:lastModifiedBy>Cecilia</cp:lastModifiedBy>
  <cp:revision>2</cp:revision>
  <dcterms:created xsi:type="dcterms:W3CDTF">2021-08-03T20:28:00Z</dcterms:created>
  <dcterms:modified xsi:type="dcterms:W3CDTF">2021-08-03T20:28:00Z</dcterms:modified>
</cp:coreProperties>
</file>