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E1B5A8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6CEDEB" w14:textId="77777777">
      <w:pPr>
        <w:pStyle w:val="StyleBoldCentered"/>
      </w:pPr>
      <w:r>
        <w:t>F</w:t>
      </w:r>
      <w:r>
        <w:rPr>
          <w:caps w:val="0"/>
        </w:rPr>
        <w:t>ederal Communications Commission</w:t>
      </w:r>
    </w:p>
    <w:p w:rsidR="004C2EE3" w:rsidP="00096D8C" w14:paraId="3FF03A65" w14:textId="77777777">
      <w:pPr>
        <w:pStyle w:val="StyleBoldCentered"/>
      </w:pPr>
      <w:r>
        <w:rPr>
          <w:caps w:val="0"/>
        </w:rPr>
        <w:t>Washington, D.C. 20554</w:t>
      </w:r>
    </w:p>
    <w:p w:rsidR="004C2EE3" w:rsidP="0070224F" w14:paraId="7045C786" w14:textId="44DBCCE9"/>
    <w:p w:rsidR="007213D7" w:rsidP="0070224F" w14:paraId="3F50D6F8" w14:textId="77777777"/>
    <w:tbl>
      <w:tblPr>
        <w:tblW w:w="0" w:type="auto"/>
        <w:tblLayout w:type="fixed"/>
        <w:tblLook w:val="0000"/>
      </w:tblPr>
      <w:tblGrid>
        <w:gridCol w:w="4698"/>
        <w:gridCol w:w="630"/>
        <w:gridCol w:w="4248"/>
      </w:tblGrid>
      <w:tr w14:paraId="0AE88BE2" w14:textId="77777777">
        <w:tblPrEx>
          <w:tblW w:w="0" w:type="auto"/>
          <w:tblLayout w:type="fixed"/>
          <w:tblLook w:val="0000"/>
        </w:tblPrEx>
        <w:tc>
          <w:tcPr>
            <w:tcW w:w="4698" w:type="dxa"/>
          </w:tcPr>
          <w:p w:rsidR="004C2EE3" w14:paraId="4004547E" w14:textId="77777777">
            <w:pPr>
              <w:tabs>
                <w:tab w:val="center" w:pos="4680"/>
              </w:tabs>
              <w:suppressAutoHyphens/>
              <w:rPr>
                <w:spacing w:val="-2"/>
              </w:rPr>
            </w:pPr>
            <w:r>
              <w:rPr>
                <w:spacing w:val="-2"/>
              </w:rPr>
              <w:t>In the Matter of</w:t>
            </w:r>
          </w:p>
          <w:p w:rsidR="004C2EE3" w14:paraId="012A4683" w14:textId="77777777">
            <w:pPr>
              <w:tabs>
                <w:tab w:val="center" w:pos="4680"/>
              </w:tabs>
              <w:suppressAutoHyphens/>
              <w:rPr>
                <w:spacing w:val="-2"/>
              </w:rPr>
            </w:pPr>
          </w:p>
          <w:p w:rsidR="004C2EE3" w:rsidRPr="007115F7" w:rsidP="007115F7" w14:paraId="4DDFAFCF" w14:textId="4A36D78C">
            <w:pPr>
              <w:tabs>
                <w:tab w:val="center" w:pos="4680"/>
              </w:tabs>
              <w:suppressAutoHyphens/>
              <w:rPr>
                <w:spacing w:val="-2"/>
              </w:rPr>
            </w:pPr>
            <w:r>
              <w:rPr>
                <w:spacing w:val="-2"/>
              </w:rPr>
              <w:t>Promoting Telehealth in Rural America</w:t>
            </w:r>
          </w:p>
        </w:tc>
        <w:tc>
          <w:tcPr>
            <w:tcW w:w="630" w:type="dxa"/>
          </w:tcPr>
          <w:p w:rsidR="004C2EE3" w14:paraId="19687617" w14:textId="77777777">
            <w:pPr>
              <w:tabs>
                <w:tab w:val="center" w:pos="4680"/>
              </w:tabs>
              <w:suppressAutoHyphens/>
              <w:rPr>
                <w:b/>
                <w:spacing w:val="-2"/>
              </w:rPr>
            </w:pPr>
            <w:r>
              <w:rPr>
                <w:b/>
                <w:spacing w:val="-2"/>
              </w:rPr>
              <w:t>)</w:t>
            </w:r>
          </w:p>
          <w:p w:rsidR="004C2EE3" w14:paraId="5786FFC9" w14:textId="77777777">
            <w:pPr>
              <w:tabs>
                <w:tab w:val="center" w:pos="4680"/>
              </w:tabs>
              <w:suppressAutoHyphens/>
              <w:rPr>
                <w:b/>
                <w:spacing w:val="-2"/>
              </w:rPr>
            </w:pPr>
            <w:r>
              <w:rPr>
                <w:b/>
                <w:spacing w:val="-2"/>
              </w:rPr>
              <w:t>)</w:t>
            </w:r>
          </w:p>
          <w:p w:rsidR="004C2EE3" w:rsidRPr="00A27E50" w:rsidP="00EF0E72" w14:paraId="5C97507E" w14:textId="3CE6D7C5">
            <w:pPr>
              <w:tabs>
                <w:tab w:val="center" w:pos="4680"/>
              </w:tabs>
              <w:suppressAutoHyphens/>
              <w:rPr>
                <w:b/>
                <w:spacing w:val="-2"/>
              </w:rPr>
            </w:pPr>
            <w:r>
              <w:rPr>
                <w:b/>
                <w:spacing w:val="-2"/>
              </w:rPr>
              <w:t>)</w:t>
            </w:r>
          </w:p>
        </w:tc>
        <w:tc>
          <w:tcPr>
            <w:tcW w:w="4248" w:type="dxa"/>
          </w:tcPr>
          <w:p w:rsidR="004C2EE3" w14:paraId="33F7D6C7" w14:textId="77777777">
            <w:pPr>
              <w:tabs>
                <w:tab w:val="center" w:pos="4680"/>
              </w:tabs>
              <w:suppressAutoHyphens/>
              <w:rPr>
                <w:spacing w:val="-2"/>
              </w:rPr>
            </w:pPr>
          </w:p>
          <w:p w:rsidR="004C2EE3" w14:paraId="45F76470" w14:textId="77777777">
            <w:pPr>
              <w:pStyle w:val="TOAHeading"/>
              <w:tabs>
                <w:tab w:val="center" w:pos="4680"/>
                <w:tab w:val="clear" w:pos="9360"/>
              </w:tabs>
              <w:rPr>
                <w:spacing w:val="-2"/>
              </w:rPr>
            </w:pPr>
          </w:p>
          <w:p w:rsidR="004C2EE3" w14:paraId="3ED4F5DA" w14:textId="7E77A390">
            <w:pPr>
              <w:tabs>
                <w:tab w:val="center" w:pos="4680"/>
              </w:tabs>
              <w:suppressAutoHyphens/>
              <w:rPr>
                <w:spacing w:val="-2"/>
              </w:rPr>
            </w:pPr>
            <w:r>
              <w:rPr>
                <w:spacing w:val="-2"/>
              </w:rPr>
              <w:t>WC Docket No. 17-310</w:t>
            </w:r>
          </w:p>
        </w:tc>
      </w:tr>
    </w:tbl>
    <w:p w:rsidR="004C2EE3" w:rsidP="0070224F" w14:paraId="164B0EDB" w14:textId="77777777"/>
    <w:p w:rsidR="00841AB1" w:rsidP="00F021FA" w14:paraId="5885B269" w14:textId="531C7F14">
      <w:pPr>
        <w:pStyle w:val="StyleBoldCentered"/>
      </w:pPr>
      <w:r>
        <w:t>order</w:t>
      </w:r>
    </w:p>
    <w:p w:rsidR="004C2EE3" w14:paraId="1C1A5198" w14:textId="77777777">
      <w:pPr>
        <w:tabs>
          <w:tab w:val="left" w:pos="-720"/>
        </w:tabs>
        <w:suppressAutoHyphens/>
        <w:spacing w:line="227" w:lineRule="auto"/>
        <w:rPr>
          <w:spacing w:val="-2"/>
        </w:rPr>
      </w:pPr>
    </w:p>
    <w:p w:rsidR="004C2EE3" w:rsidP="00133F79" w14:paraId="38B8F9D4" w14:textId="58029D03">
      <w:pPr>
        <w:tabs>
          <w:tab w:val="left" w:pos="720"/>
          <w:tab w:val="right" w:pos="9360"/>
        </w:tabs>
        <w:suppressAutoHyphens/>
        <w:spacing w:line="227" w:lineRule="auto"/>
        <w:rPr>
          <w:spacing w:val="-2"/>
        </w:rPr>
      </w:pPr>
      <w:r>
        <w:rPr>
          <w:b/>
          <w:spacing w:val="-2"/>
        </w:rPr>
        <w:t xml:space="preserve">Adopted:  </w:t>
      </w:r>
      <w:r w:rsidR="00A5756F">
        <w:rPr>
          <w:b/>
          <w:spacing w:val="-2"/>
        </w:rPr>
        <w:t>January 19, 2021</w:t>
      </w:r>
      <w:bookmarkStart w:id="0" w:name="_GoBack"/>
      <w:bookmarkEnd w:id="0"/>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5756F">
        <w:rPr>
          <w:b/>
          <w:spacing w:val="-2"/>
        </w:rPr>
        <w:t>January 19, 2021</w:t>
      </w:r>
    </w:p>
    <w:p w:rsidR="00822CE0" w14:paraId="2B550A0A" w14:textId="77777777"/>
    <w:p w:rsidR="004C2EE3" w14:paraId="786EFB2B" w14:textId="295B40F3">
      <w:pPr>
        <w:rPr>
          <w:spacing w:val="-2"/>
        </w:rPr>
      </w:pPr>
      <w:r>
        <w:t xml:space="preserve">By </w:t>
      </w:r>
      <w:r w:rsidR="004E4A22">
        <w:t>the</w:t>
      </w:r>
      <w:r w:rsidR="000C0142">
        <w:t xml:space="preserve"> Chief,</w:t>
      </w:r>
      <w:r w:rsidR="002A2D2E">
        <w:t xml:space="preserve"> </w:t>
      </w:r>
      <w:r w:rsidR="00E305DF">
        <w:rPr>
          <w:spacing w:val="-2"/>
        </w:rPr>
        <w:t>Wireline Competition Bureau</w:t>
      </w:r>
      <w:r>
        <w:rPr>
          <w:spacing w:val="-2"/>
        </w:rPr>
        <w:t>:</w:t>
      </w:r>
    </w:p>
    <w:p w:rsidR="0007107C" w14:paraId="070E47B2" w14:textId="49E126F2">
      <w:pPr>
        <w:rPr>
          <w:spacing w:val="-2"/>
        </w:rPr>
      </w:pPr>
    </w:p>
    <w:p w:rsidR="00A5756F" w:rsidP="00BC2449" w14:paraId="4345EE9D" w14:textId="1248B01B">
      <w:pPr>
        <w:pStyle w:val="ParaNum"/>
      </w:pPr>
      <w:r>
        <w:t>In August 2019, the Commission adopted rules to improve transparency, predictability, and efficiency in the Rural Health Care Program’s Telecommunications Program beginning in funding year 2021.</w:t>
      </w:r>
      <w:r>
        <w:rPr>
          <w:rStyle w:val="FootnoteReference"/>
        </w:rPr>
        <w:footnoteReference w:id="3"/>
      </w:r>
      <w:r>
        <w:t xml:space="preserve">  </w:t>
      </w:r>
      <w:r w:rsidR="00B724C4">
        <w:t>The new rules introduced a database of urban and rural rates (Rates Database) i</w:t>
      </w:r>
      <w:r>
        <w:t>ntended to apply nationwide and to ease the burden of rate calculations</w:t>
      </w:r>
      <w:r w:rsidR="00B724C4">
        <w:t>.</w:t>
      </w:r>
      <w:r>
        <w:t xml:space="preserve"> </w:t>
      </w:r>
      <w:r>
        <w:t xml:space="preserve"> </w:t>
      </w:r>
      <w:r w:rsidR="00B724C4">
        <w:t xml:space="preserve">However, </w:t>
      </w:r>
      <w:r>
        <w:t xml:space="preserve">examination </w:t>
      </w:r>
      <w:r w:rsidR="00AE2E60">
        <w:t xml:space="preserve">of the Rates Database </w:t>
      </w:r>
      <w:r>
        <w:t xml:space="preserve">reveals </w:t>
      </w:r>
      <w:r>
        <w:t>significant</w:t>
      </w:r>
      <w:r>
        <w:t xml:space="preserve"> anomalies in the calculations of rural rates</w:t>
      </w:r>
      <w:r w:rsidR="00AE2E60">
        <w:t xml:space="preserve"> for the State of Alaska</w:t>
      </w:r>
      <w:r>
        <w:t xml:space="preserve"> that could potentially provide Alaskan </w:t>
      </w:r>
      <w:r w:rsidR="00AE2E60">
        <w:t>telecommunications service</w:t>
      </w:r>
      <w:r>
        <w:t xml:space="preserve"> providers with inadequate and inconsistent Telecom Program support.</w:t>
      </w:r>
      <w:r w:rsidR="001675A9">
        <w:t xml:space="preserve">  </w:t>
      </w:r>
      <w:r w:rsidR="001E400A">
        <w:t>These same anomalies are</w:t>
      </w:r>
      <w:r w:rsidR="000F0273">
        <w:t xml:space="preserve"> </w:t>
      </w:r>
      <w:r>
        <w:t>also the</w:t>
      </w:r>
      <w:r w:rsidR="000F0273">
        <w:t xml:space="preserve"> subject of petitions for reconsideration filed by </w:t>
      </w:r>
      <w:r w:rsidR="00B02947">
        <w:t xml:space="preserve">some carriers participating in the </w:t>
      </w:r>
      <w:r>
        <w:t>p</w:t>
      </w:r>
      <w:r w:rsidR="00B02947">
        <w:t>rogram in Alaska.</w:t>
      </w:r>
      <w:r>
        <w:rPr>
          <w:rStyle w:val="FootnoteReference"/>
        </w:rPr>
        <w:footnoteReference w:id="4"/>
      </w:r>
      <w:r>
        <w:t xml:space="preserve">  </w:t>
      </w:r>
    </w:p>
    <w:p w:rsidR="00761E68" w:rsidP="00BC2449" w14:paraId="7D7BD39F" w14:textId="6041C2D9">
      <w:pPr>
        <w:pStyle w:val="ParaNum"/>
      </w:pPr>
      <w:r>
        <w:t>We now take action to ensure that telecommunications service providers in Alaska will receive sufficient Telecom Program support for the next two funding years, thereby providing a reliable telecommunications marketplace for Alaskan health care providers, while the Commission further examines how to apply the Rates Database to Alaska in light of its unique and challenging geography.  Specifically</w:t>
      </w:r>
      <w:r w:rsidR="00687D76">
        <w:t xml:space="preserve">, the Wireline Competition Bureau </w:t>
      </w:r>
      <w:r w:rsidR="002A36B7">
        <w:t xml:space="preserve">(Bureau) </w:t>
      </w:r>
      <w:r w:rsidR="00197756">
        <w:t>waives</w:t>
      </w:r>
      <w:r w:rsidR="00297EAF">
        <w:t xml:space="preserve"> </w:t>
      </w:r>
      <w:r w:rsidR="00836674">
        <w:t>the</w:t>
      </w:r>
      <w:r w:rsidR="00687D76">
        <w:t xml:space="preserve"> </w:t>
      </w:r>
      <w:r w:rsidR="00836674">
        <w:t xml:space="preserve">requirement to use </w:t>
      </w:r>
      <w:r w:rsidR="00687D76">
        <w:t xml:space="preserve">the </w:t>
      </w:r>
      <w:r w:rsidR="00E50F53">
        <w:t xml:space="preserve">Telecom Program Rates Database </w:t>
      </w:r>
      <w:r w:rsidR="0073117A">
        <w:t>for determining rural rates for health care providers</w:t>
      </w:r>
      <w:r w:rsidR="008325CC">
        <w:t xml:space="preserve"> in the </w:t>
      </w:r>
      <w:r w:rsidR="00CA00AF">
        <w:t>State of Alaska</w:t>
      </w:r>
      <w:r w:rsidR="002A36B7">
        <w:t>.</w:t>
      </w:r>
      <w:r>
        <w:rPr>
          <w:rStyle w:val="FootnoteReference"/>
        </w:rPr>
        <w:footnoteReference w:id="5"/>
      </w:r>
      <w:r w:rsidR="002A36B7">
        <w:t xml:space="preserve">  </w:t>
      </w:r>
      <w:r w:rsidR="00A5756F">
        <w:t xml:space="preserve">We </w:t>
      </w:r>
      <w:r>
        <w:t xml:space="preserve">also </w:t>
      </w:r>
      <w:r w:rsidR="00A5756F">
        <w:t>provide guidance</w:t>
      </w:r>
      <w:r w:rsidR="0073117A">
        <w:t xml:space="preserve"> for calculating rural rates</w:t>
      </w:r>
      <w:r w:rsidR="00177052">
        <w:t xml:space="preserve"> for health care providers </w:t>
      </w:r>
      <w:r w:rsidR="00AF34C7">
        <w:t>in Alaska</w:t>
      </w:r>
      <w:r>
        <w:t xml:space="preserve"> in the interim</w:t>
      </w:r>
      <w:r w:rsidR="00177052">
        <w:t xml:space="preserve">.  </w:t>
      </w:r>
      <w:r w:rsidR="00DE559B">
        <w:t>We take these action</w:t>
      </w:r>
      <w:r w:rsidR="00CF581B">
        <w:t>s</w:t>
      </w:r>
      <w:r w:rsidR="00DE559B">
        <w:t xml:space="preserve"> for </w:t>
      </w:r>
      <w:r w:rsidR="0088335D">
        <w:t>funding year</w:t>
      </w:r>
      <w:r w:rsidR="003C3D0F">
        <w:t xml:space="preserve"> 2021, </w:t>
      </w:r>
      <w:r w:rsidR="00E674C6">
        <w:t>for which competitive bidding has already begun</w:t>
      </w:r>
      <w:r w:rsidR="000B5871">
        <w:t xml:space="preserve">, and for funding year 2022 unless the Commission </w:t>
      </w:r>
      <w:r w:rsidR="00DD2241">
        <w:t>has separately addressed the pending petitions for reconsideration</w:t>
      </w:r>
      <w:r w:rsidR="009031A2">
        <w:t xml:space="preserve"> </w:t>
      </w:r>
      <w:r>
        <w:t xml:space="preserve">within the year (i.e., </w:t>
      </w:r>
      <w:r w:rsidR="009031A2">
        <w:t xml:space="preserve">by </w:t>
      </w:r>
      <w:r>
        <w:t>January 19, 2022)</w:t>
      </w:r>
      <w:r w:rsidR="00DD2241">
        <w:t>.</w:t>
      </w:r>
    </w:p>
    <w:p w:rsidR="0007107C" w:rsidP="0007107C" w14:paraId="781019B6" w14:textId="171C5C93">
      <w:pPr>
        <w:pStyle w:val="Heading1"/>
      </w:pPr>
      <w:r>
        <w:t>Background</w:t>
      </w:r>
    </w:p>
    <w:p w:rsidR="00E305DF" w:rsidP="00DF71B8" w14:paraId="4C7F0916" w14:textId="2F519470">
      <w:pPr>
        <w:pStyle w:val="ParaNum"/>
        <w:widowControl/>
      </w:pPr>
      <w:r>
        <w:t xml:space="preserve">The Rural Health Care Program consists of two component </w:t>
      </w:r>
      <w:r w:rsidR="007C7739">
        <w:t>mechanisms</w:t>
      </w:r>
      <w:r>
        <w:t>: (1) the Telecom Program; and (2) the Healthcare Connect Fund Program.  The Telecom Program subsidizes the difference between the rates in the health care provider’s rural area and rates for comparable services available in urban areas within that state.</w:t>
      </w:r>
      <w:r>
        <w:rPr>
          <w:rStyle w:val="FootnoteReference"/>
        </w:rPr>
        <w:footnoteReference w:id="6"/>
      </w:r>
      <w:r>
        <w:t xml:space="preserve">  The Healthcare Connect Fund Program promote</w:t>
      </w:r>
      <w:r w:rsidR="00E91B47">
        <w:t>s</w:t>
      </w:r>
      <w:r>
        <w:t xml:space="preserve"> the use of broadband services and facilitate</w:t>
      </w:r>
      <w:r w:rsidR="00E91B47">
        <w:t>s</w:t>
      </w:r>
      <w:r>
        <w:t xml:space="preserve"> the formation of health care provider consortia that include both rural and urban </w:t>
      </w:r>
      <w:r>
        <w:t>health care providers by providing a flat 65% discount on an array of advanced telecommunications and information services.</w:t>
      </w:r>
      <w:r>
        <w:rPr>
          <w:rStyle w:val="FootnoteReference"/>
        </w:rPr>
        <w:footnoteReference w:id="7"/>
      </w:r>
      <w:r>
        <w:t xml:space="preserve">  </w:t>
      </w:r>
    </w:p>
    <w:p w:rsidR="00DD46ED" w:rsidP="00175EB7" w14:paraId="24D741D5" w14:textId="67B8657A">
      <w:pPr>
        <w:pStyle w:val="ParaNum"/>
      </w:pPr>
      <w:r>
        <w:t>Under the Commission’s rules</w:t>
      </w:r>
      <w:r w:rsidR="00CA1E2C">
        <w:t xml:space="preserve"> applicable through funding year 2020,</w:t>
      </w:r>
      <w:r w:rsidRPr="00A44CF5">
        <w:t xml:space="preserve"> three methods </w:t>
      </w:r>
      <w:r w:rsidR="00761E68">
        <w:t xml:space="preserve">can be used </w:t>
      </w:r>
      <w:r w:rsidRPr="00A44CF5">
        <w:t xml:space="preserve">for calculating the rural rates </w:t>
      </w:r>
      <w:r w:rsidR="000D0255">
        <w:t>in the Telecom Program</w:t>
      </w:r>
      <w:r w:rsidR="00761E68">
        <w:t>, depending on the circumstances</w:t>
      </w:r>
      <w:r w:rsidRPr="00A44CF5">
        <w:t>.</w:t>
      </w:r>
      <w:r>
        <w:rPr>
          <w:rStyle w:val="FootnoteReference"/>
        </w:rPr>
        <w:footnoteReference w:id="8"/>
      </w:r>
      <w:r w:rsidRPr="00A44CF5">
        <w:t xml:space="preserve">  Section 54.607 </w:t>
      </w:r>
      <w:r w:rsidR="00D61636">
        <w:t xml:space="preserve">of the Commission’s rules applicable to funding year 2020 </w:t>
      </w:r>
      <w:r w:rsidRPr="00A44CF5">
        <w:t>provides that the rural rate will be: (1)</w:t>
      </w:r>
      <w:r w:rsidR="00A5756F">
        <w:t> </w:t>
      </w:r>
      <w:r w:rsidRPr="00A44CF5">
        <w:t>the average of rates that the carrier actually charges to other non-health care provider commercial customers for the same or similar services provided in the rural area where the health care provider is located (Method 1);</w:t>
      </w:r>
      <w:r>
        <w:rPr>
          <w:vertAlign w:val="superscript"/>
        </w:rPr>
        <w:footnoteReference w:id="9"/>
      </w:r>
      <w:r w:rsidRPr="00A44CF5">
        <w:t xml:space="preserve"> (2) if the carrier does </w:t>
      </w:r>
      <w:r w:rsidR="00175EB7">
        <w:t xml:space="preserve">not </w:t>
      </w:r>
      <w:r w:rsidRPr="00A44CF5">
        <w:t xml:space="preserve">have any commercial customers in the health care provider’s rural area, the average of tariffed and other publicly available rates charged by other service providers for </w:t>
      </w:r>
      <w:r w:rsidR="00462DC8">
        <w:t xml:space="preserve">the </w:t>
      </w:r>
      <w:r w:rsidRPr="00A44CF5">
        <w:t xml:space="preserve">same or similar services provided over the same distance in the rural health care provider’s area (Method 2); or (3) if there are no such rates or the carrier reasonably </w:t>
      </w:r>
      <w:r w:rsidR="00462DC8">
        <w:t>determines that</w:t>
      </w:r>
      <w:r w:rsidRPr="00A44CF5">
        <w:t xml:space="preserve"> those rates would be unfair, a cost-based rate that is approved by the Commission for interstate services (or the relevant state commission for intrastate services) (Method 3).</w:t>
      </w:r>
      <w:r>
        <w:rPr>
          <w:vertAlign w:val="superscript"/>
        </w:rPr>
        <w:footnoteReference w:id="10"/>
      </w:r>
      <w:r w:rsidRPr="00A44CF5">
        <w:t xml:space="preserve">  A carrier seeking approval of a rural rate under Method 3 must provide “a justification of the proposed rural rate that includes an itemization of the costs </w:t>
      </w:r>
      <w:r w:rsidR="00462DC8">
        <w:t>of</w:t>
      </w:r>
      <w:r w:rsidRPr="00A44CF5">
        <w:t xml:space="preserve"> providing the requested service.”</w:t>
      </w:r>
      <w:r>
        <w:rPr>
          <w:vertAlign w:val="superscript"/>
        </w:rPr>
        <w:footnoteReference w:id="11"/>
      </w:r>
      <w:r w:rsidRPr="00A44CF5">
        <w:t xml:space="preserve">  </w:t>
      </w:r>
    </w:p>
    <w:p w:rsidR="00AB18D8" w:rsidP="00415B07" w14:paraId="34B860EC" w14:textId="6118DD55">
      <w:pPr>
        <w:pStyle w:val="ParaNum"/>
        <w:widowControl/>
      </w:pPr>
      <w:r>
        <w:t xml:space="preserve">To </w:t>
      </w:r>
      <w:r w:rsidR="00A04B5E">
        <w:t xml:space="preserve">improve transparency, predictability, and efficiency for the Telecom Program, </w:t>
      </w:r>
      <w:r>
        <w:t xml:space="preserve">in the </w:t>
      </w:r>
      <w:r w:rsidRPr="00DB3D48">
        <w:rPr>
          <w:i/>
          <w:iCs/>
        </w:rPr>
        <w:t>Promoting Telehealth Report and Order</w:t>
      </w:r>
      <w:r>
        <w:t xml:space="preserve">, </w:t>
      </w:r>
      <w:r w:rsidR="00A04B5E">
        <w:t>the Commission determined that rather than individual health care providers identifying all urban and rural rates for determining support amounts, rates would be calculated based on a publicly available database of urban and rural rates</w:t>
      </w:r>
      <w:r w:rsidR="009672C7">
        <w:t xml:space="preserve"> </w:t>
      </w:r>
      <w:r w:rsidR="00884237">
        <w:t>beginning in funding year 2021.</w:t>
      </w:r>
      <w:r>
        <w:rPr>
          <w:rStyle w:val="FootnoteReference"/>
        </w:rPr>
        <w:footnoteReference w:id="12"/>
      </w:r>
      <w:r w:rsidR="00884237">
        <w:t xml:space="preserve">  </w:t>
      </w:r>
      <w:r w:rsidR="004C6875">
        <w:t>T</w:t>
      </w:r>
      <w:r w:rsidR="00E305DF">
        <w:t>he</w:t>
      </w:r>
      <w:r w:rsidR="00BF7D78">
        <w:t xml:space="preserve"> Commission </w:t>
      </w:r>
      <w:r w:rsidR="00E305DF">
        <w:t>directed</w:t>
      </w:r>
      <w:r w:rsidRPr="00427266" w:rsidR="00E305DF">
        <w:t xml:space="preserve"> the </w:t>
      </w:r>
      <w:r w:rsidRPr="00FF7FFE" w:rsidR="00E305DF">
        <w:t xml:space="preserve">Universal Service Administrative Company (the </w:t>
      </w:r>
      <w:r w:rsidRPr="00427266" w:rsidR="00E305DF">
        <w:t>Administrator</w:t>
      </w:r>
      <w:r w:rsidRPr="00FF7FFE" w:rsidR="00E305DF">
        <w:t>)</w:t>
      </w:r>
      <w:r w:rsidRPr="00427266" w:rsidR="00E305DF">
        <w:t xml:space="preserve"> to create </w:t>
      </w:r>
      <w:r w:rsidR="00E305DF">
        <w:t xml:space="preserve">a database of </w:t>
      </w:r>
      <w:r w:rsidRPr="00427266" w:rsidR="00E305DF">
        <w:t>urban and rural rate</w:t>
      </w:r>
      <w:r w:rsidR="00E305DF">
        <w:t>s within each state</w:t>
      </w:r>
      <w:r w:rsidR="003566F8">
        <w:t>,</w:t>
      </w:r>
      <w:r>
        <w:rPr>
          <w:rStyle w:val="FootnoteReference"/>
        </w:rPr>
        <w:footnoteReference w:id="13"/>
      </w:r>
      <w:r w:rsidR="00E305DF">
        <w:t xml:space="preserve"> and determined that the urban </w:t>
      </w:r>
      <w:r w:rsidR="007134AE">
        <w:t xml:space="preserve">rate </w:t>
      </w:r>
      <w:r w:rsidR="003C023C">
        <w:t xml:space="preserve">would be the median of all </w:t>
      </w:r>
      <w:r w:rsidR="00E2658A">
        <w:t xml:space="preserve">available rates identified by the Administrator </w:t>
      </w:r>
      <w:r w:rsidR="0014212E">
        <w:t>for functionally similar services in all urbanized areas</w:t>
      </w:r>
      <w:r w:rsidR="006F0E73">
        <w:t xml:space="preserve"> of the state where the health care provided is located</w:t>
      </w:r>
      <w:r w:rsidR="001827B8">
        <w:t xml:space="preserve"> to the extent that </w:t>
      </w:r>
      <w:r w:rsidR="009C261F">
        <w:t xml:space="preserve">the </w:t>
      </w:r>
      <w:r w:rsidR="001827B8">
        <w:t>urbanized areas fall</w:t>
      </w:r>
      <w:r w:rsidR="009C261F">
        <w:t>s within the state</w:t>
      </w:r>
      <w:r>
        <w:rPr>
          <w:rStyle w:val="FootnoteReference"/>
        </w:rPr>
        <w:footnoteReference w:id="14"/>
      </w:r>
      <w:r w:rsidR="001827B8">
        <w:t xml:space="preserve"> </w:t>
      </w:r>
      <w:r w:rsidR="00E305DF">
        <w:t xml:space="preserve">and </w:t>
      </w:r>
      <w:r w:rsidR="009C261F">
        <w:t>that the</w:t>
      </w:r>
      <w:r w:rsidR="00E305DF">
        <w:t xml:space="preserve"> rural rate would be the median of all rates for functionally similar services in the relevant state in the database for functionally similar services within the health care provider’s applicable rural</w:t>
      </w:r>
      <w:r w:rsidR="00836674">
        <w:t>ity</w:t>
      </w:r>
      <w:r w:rsidR="00E305DF">
        <w:t xml:space="preserve"> </w:t>
      </w:r>
      <w:r w:rsidR="00836674">
        <w:t>tier</w:t>
      </w:r>
      <w:r w:rsidRPr="00427266" w:rsidR="00E305DF">
        <w:t>.</w:t>
      </w:r>
      <w:r>
        <w:rPr>
          <w:rStyle w:val="FootnoteReference"/>
        </w:rPr>
        <w:footnoteReference w:id="15"/>
      </w:r>
      <w:r w:rsidRPr="00427266" w:rsidR="00E305DF">
        <w:t xml:space="preserve"> </w:t>
      </w:r>
      <w:r w:rsidR="00E305DF">
        <w:t xml:space="preserve"> </w:t>
      </w:r>
      <w:r>
        <w:t xml:space="preserve">In the </w:t>
      </w:r>
      <w:r>
        <w:rPr>
          <w:i/>
          <w:iCs/>
        </w:rPr>
        <w:t>Promoting Telehealth Report and Order</w:t>
      </w:r>
      <w:r>
        <w:t xml:space="preserve">, the Commission recognized the unique importance of rural healthcare in Alaska as well as the special challenges of its geography, carving out an additional “Frontier” tier of rurality in addition to the three rurality tiers found </w:t>
      </w:r>
      <w:r>
        <w:t>in all other states.</w:t>
      </w:r>
      <w:r>
        <w:rPr>
          <w:rStyle w:val="FootnoteReference"/>
        </w:rPr>
        <w:footnoteReference w:id="16"/>
      </w:r>
      <w:r>
        <w:t xml:space="preserve">  The Commission instructed the Administrator to determine whether services are functionally similar based on a “technology-agnostic inquiry” from the perspective of the end user experience and specifically noted that rates used to determine the median rate should include rates for private carriage and information services.</w:t>
      </w:r>
      <w:r>
        <w:rPr>
          <w:rStyle w:val="FootnoteReference"/>
        </w:rPr>
        <w:footnoteReference w:id="17"/>
      </w:r>
      <w:r>
        <w:t xml:space="preserve">  Section 54.605 of the Commission’s rules directs applicants to use the lower of either the rural rate in the </w:t>
      </w:r>
      <w:r w:rsidR="00F848E6">
        <w:t>Rates D</w:t>
      </w:r>
      <w:r>
        <w:t>atabase or the rural rate included in a service agreement between the health care provider and the service provider.</w:t>
      </w:r>
      <w:r>
        <w:rPr>
          <w:rStyle w:val="FootnoteReference"/>
        </w:rPr>
        <w:footnoteReference w:id="18"/>
      </w:r>
    </w:p>
    <w:p w:rsidR="00E305DF" w:rsidP="00415B07" w14:paraId="408C7339" w14:textId="68A3C7B9">
      <w:pPr>
        <w:pStyle w:val="ParaNum"/>
        <w:widowControl/>
      </w:pPr>
      <w:r>
        <w:t xml:space="preserve">In 2019, the Commission received several petitions for reconsideration of the </w:t>
      </w:r>
      <w:r w:rsidRPr="00906725">
        <w:rPr>
          <w:i/>
          <w:iCs/>
        </w:rPr>
        <w:t>Promoting Telehealth Report and Order</w:t>
      </w:r>
      <w:r>
        <w:t xml:space="preserve"> arguing </w:t>
      </w:r>
      <w:r w:rsidR="00906725">
        <w:t xml:space="preserve">(among other things) </w:t>
      </w:r>
      <w:r>
        <w:t>that the Rates Database would not accurately reflect the diverse challenges of providing telehealth services in Alaska.</w:t>
      </w:r>
      <w:r>
        <w:rPr>
          <w:rStyle w:val="FootnoteReference"/>
        </w:rPr>
        <w:footnoteReference w:id="19"/>
      </w:r>
      <w:r w:rsidR="00906725">
        <w:t xml:space="preserve">  </w:t>
      </w:r>
      <w:r w:rsidR="00DD667D">
        <w:t>The Rates Database</w:t>
      </w:r>
      <w:r w:rsidR="00CF11C9">
        <w:t xml:space="preserve"> </w:t>
      </w:r>
      <w:r w:rsidR="00154200">
        <w:t>was made available to the public</w:t>
      </w:r>
      <w:r w:rsidR="00CF11C9">
        <w:t xml:space="preserve"> on July 1, 2020.</w:t>
      </w:r>
      <w:r>
        <w:rPr>
          <w:rStyle w:val="FootnoteReference"/>
        </w:rPr>
        <w:footnoteReference w:id="20"/>
      </w:r>
      <w:r w:rsidR="00CF11C9">
        <w:t xml:space="preserve">  </w:t>
      </w:r>
    </w:p>
    <w:p w:rsidR="00E305DF" w:rsidP="00E305DF" w14:paraId="672D3090" w14:textId="77777777">
      <w:pPr>
        <w:pStyle w:val="Heading1"/>
      </w:pPr>
      <w:r>
        <w:t>Discussion</w:t>
      </w:r>
    </w:p>
    <w:p w:rsidR="002B46BB" w:rsidP="002B46BB" w14:paraId="6ABC55DC" w14:textId="5AA7AEF7">
      <w:pPr>
        <w:pStyle w:val="ParaNum"/>
      </w:pPr>
      <w:r w:rsidRPr="00F91221">
        <w:t>Generally, the Commission’s rules may be waived</w:t>
      </w:r>
      <w:r w:rsidR="00F94E59">
        <w:t xml:space="preserve"> or suspended</w:t>
      </w:r>
      <w:r w:rsidRPr="00F91221">
        <w:t xml:space="preserve"> for good cause shown.</w:t>
      </w:r>
      <w:r>
        <w:rPr>
          <w:vertAlign w:val="superscript"/>
        </w:rPr>
        <w:footnoteReference w:id="21"/>
      </w:r>
      <w:r w:rsidRPr="00F91221">
        <w:t xml:space="preserve">  The Commission may exercise its discretion to waive a rule where the particular facts make strict compliance inconsistent with the public interest.</w:t>
      </w:r>
      <w:r>
        <w:rPr>
          <w:vertAlign w:val="superscript"/>
        </w:rPr>
        <w:footnoteReference w:id="22"/>
      </w:r>
      <w:r w:rsidRPr="00F91221">
        <w:t xml:space="preserve">  In addition, the Commission may take into account considerations of hardship, equity, or more effective implementation of overall policy on an individual basis.</w:t>
      </w:r>
      <w:r>
        <w:rPr>
          <w:vertAlign w:val="superscript"/>
        </w:rPr>
        <w:footnoteReference w:id="23"/>
      </w:r>
      <w:r w:rsidRPr="00F91221">
        <w:t xml:space="preserve">  Waiver of the Commission’s rules is appropriate only if both (1) special circumstances warrant a deviation from the general rule, and (2) such deviation will serve the public interest.</w:t>
      </w:r>
      <w:r>
        <w:rPr>
          <w:vertAlign w:val="superscript"/>
        </w:rPr>
        <w:footnoteReference w:id="24"/>
      </w:r>
    </w:p>
    <w:p w:rsidR="004C55CE" w:rsidP="00A00D93" w14:paraId="240259F1" w14:textId="11EFEC02">
      <w:pPr>
        <w:pStyle w:val="ParaNum"/>
      </w:pPr>
      <w:r>
        <w:t xml:space="preserve">Examination of the Rates Database reveals </w:t>
      </w:r>
      <w:r w:rsidR="00906725">
        <w:t>significant</w:t>
      </w:r>
      <w:r w:rsidR="00DC3BC7">
        <w:t xml:space="preserve"> </w:t>
      </w:r>
      <w:r w:rsidR="004E6B21">
        <w:t>anomalies</w:t>
      </w:r>
      <w:r w:rsidR="00DC3BC7">
        <w:t xml:space="preserve"> in</w:t>
      </w:r>
      <w:r w:rsidR="004E6B21">
        <w:t xml:space="preserve"> </w:t>
      </w:r>
      <w:r w:rsidR="00C5219F">
        <w:t>the calculations of rural rates in the</w:t>
      </w:r>
      <w:r>
        <w:t xml:space="preserve"> </w:t>
      </w:r>
      <w:r w:rsidR="00906725">
        <w:t>Rates D</w:t>
      </w:r>
      <w:r>
        <w:t>atabase</w:t>
      </w:r>
      <w:r w:rsidR="00A2793E">
        <w:t xml:space="preserve"> </w:t>
      </w:r>
      <w:r w:rsidR="00906725">
        <w:t xml:space="preserve">for Alaska </w:t>
      </w:r>
      <w:r w:rsidR="004E6B21">
        <w:t xml:space="preserve">that could </w:t>
      </w:r>
      <w:r w:rsidR="005C6529">
        <w:t>potentially provide Alaska</w:t>
      </w:r>
      <w:r w:rsidR="00424A26">
        <w:t>n</w:t>
      </w:r>
      <w:r w:rsidR="005C6529">
        <w:t xml:space="preserve"> health care pro</w:t>
      </w:r>
      <w:r w:rsidR="00E219D0">
        <w:t xml:space="preserve">viders with </w:t>
      </w:r>
      <w:r w:rsidR="002F2150">
        <w:t xml:space="preserve">inadequate </w:t>
      </w:r>
      <w:r w:rsidR="000C35C1">
        <w:t xml:space="preserve">and inconsistent </w:t>
      </w:r>
      <w:r w:rsidR="002F2150">
        <w:t xml:space="preserve">Telecom Program support.  </w:t>
      </w:r>
      <w:r w:rsidR="002C5302">
        <w:t>The Rates Database</w:t>
      </w:r>
      <w:r w:rsidRPr="002C5302" w:rsidR="002C5302">
        <w:t xml:space="preserve"> approach to rate determination </w:t>
      </w:r>
      <w:r>
        <w:t>i</w:t>
      </w:r>
      <w:r w:rsidRPr="002C5302">
        <w:t xml:space="preserve">s </w:t>
      </w:r>
      <w:r w:rsidRPr="002C5302" w:rsidR="002C5302">
        <w:t xml:space="preserve">based on </w:t>
      </w:r>
      <w:r w:rsidR="00A908F3">
        <w:t>the notion</w:t>
      </w:r>
      <w:r w:rsidR="00591A80">
        <w:t>s</w:t>
      </w:r>
      <w:r w:rsidR="00A908F3">
        <w:t xml:space="preserve"> that</w:t>
      </w:r>
      <w:r w:rsidR="00761E68">
        <w:t>,</w:t>
      </w:r>
      <w:r w:rsidR="00A908F3">
        <w:t xml:space="preserve"> </w:t>
      </w:r>
      <w:r w:rsidR="00761E68">
        <w:t xml:space="preserve">in </w:t>
      </w:r>
      <w:r w:rsidR="00CF3996">
        <w:t>general</w:t>
      </w:r>
      <w:r w:rsidR="00761E68">
        <w:t>,</w:t>
      </w:r>
      <w:r w:rsidR="00A908F3">
        <w:t xml:space="preserve"> the cost to provide services increases as </w:t>
      </w:r>
      <w:r w:rsidR="00C72610">
        <w:t xml:space="preserve">the level of rurality </w:t>
      </w:r>
      <w:r w:rsidR="00A908F3">
        <w:t>increases</w:t>
      </w:r>
      <w:r w:rsidRPr="002C5302" w:rsidR="005623E0">
        <w:t xml:space="preserve"> </w:t>
      </w:r>
      <w:r w:rsidR="005623E0">
        <w:t>and</w:t>
      </w:r>
      <w:r w:rsidRPr="002C5302" w:rsidR="002C5302">
        <w:t xml:space="preserve"> </w:t>
      </w:r>
      <w:r w:rsidR="00906725">
        <w:t xml:space="preserve">overall </w:t>
      </w:r>
      <w:r w:rsidRPr="002C5302" w:rsidR="002C5302">
        <w:t xml:space="preserve">rates tend to increase </w:t>
      </w:r>
      <w:r w:rsidR="00906725">
        <w:t xml:space="preserve">(while rates per megabit per second tend to decrease) </w:t>
      </w:r>
      <w:r w:rsidRPr="002C5302" w:rsidR="002C5302">
        <w:t>as bandwidth increases.</w:t>
      </w:r>
      <w:r>
        <w:rPr>
          <w:vertAlign w:val="superscript"/>
        </w:rPr>
        <w:footnoteReference w:id="25"/>
      </w:r>
      <w:r w:rsidRPr="002C5302" w:rsidR="002C5302">
        <w:t xml:space="preserve"> </w:t>
      </w:r>
      <w:r w:rsidR="005623E0">
        <w:t xml:space="preserve"> </w:t>
      </w:r>
      <w:r>
        <w:t>I</w:t>
      </w:r>
      <w:r>
        <w:t>n Alaska</w:t>
      </w:r>
      <w:r w:rsidR="005623E0">
        <w:t xml:space="preserve">, however, the </w:t>
      </w:r>
      <w:r>
        <w:t>Rates D</w:t>
      </w:r>
      <w:r w:rsidR="00F97432">
        <w:t xml:space="preserve">atabase </w:t>
      </w:r>
      <w:r>
        <w:t xml:space="preserve">all too often </w:t>
      </w:r>
      <w:r w:rsidR="00F97432">
        <w:t xml:space="preserve">provides a lower rural rate </w:t>
      </w:r>
      <w:r w:rsidR="00F97432">
        <w:t xml:space="preserve">for more remote health care providers and </w:t>
      </w:r>
      <w:r w:rsidR="00B05BBE">
        <w:t xml:space="preserve">higher bandwidths.  </w:t>
      </w:r>
      <w:r w:rsidR="00D060A0">
        <w:t xml:space="preserve">In </w:t>
      </w:r>
      <w:r w:rsidR="004455B0">
        <w:t>fact</w:t>
      </w:r>
      <w:r w:rsidR="00D060A0">
        <w:t>, rates calculated in the Rates Database for the Rural Tier in Alaska are consistently higher than rates in the Extremely Rural Tier.</w:t>
      </w:r>
      <w:r>
        <w:rPr>
          <w:rStyle w:val="FootnoteReference"/>
        </w:rPr>
        <w:footnoteReference w:id="26"/>
      </w:r>
      <w:r w:rsidR="00D060A0">
        <w:t xml:space="preserve">  </w:t>
      </w:r>
      <w:r w:rsidR="004F56BF">
        <w:t>To illustrate</w:t>
      </w:r>
      <w:r w:rsidR="00B05BBE">
        <w:t xml:space="preserve">, </w:t>
      </w:r>
      <w:r w:rsidR="0035569C">
        <w:t>the rural rate</w:t>
      </w:r>
      <w:r w:rsidR="00C61AA0">
        <w:t xml:space="preserve"> in the Rates Database</w:t>
      </w:r>
      <w:r w:rsidR="0035569C">
        <w:t xml:space="preserve"> for a </w:t>
      </w:r>
      <w:r w:rsidR="00F2508A">
        <w:t>15 Mbps dedica</w:t>
      </w:r>
      <w:r w:rsidR="00270031">
        <w:t xml:space="preserve">ted </w:t>
      </w:r>
      <w:r w:rsidR="0028670A">
        <w:t xml:space="preserve">service data </w:t>
      </w:r>
      <w:r w:rsidR="00DD2803">
        <w:t>connection in Alaska</w:t>
      </w:r>
      <w:r w:rsidR="00B03465">
        <w:t xml:space="preserve"> is currently $16,042</w:t>
      </w:r>
      <w:r w:rsidR="00BF6CD3">
        <w:t xml:space="preserve"> for the Rural </w:t>
      </w:r>
      <w:r w:rsidR="005D6208">
        <w:t>T</w:t>
      </w:r>
      <w:r w:rsidR="00BF6CD3">
        <w:t xml:space="preserve">ier but $4,165 for the Extremely Rural </w:t>
      </w:r>
      <w:r w:rsidR="005D6208">
        <w:t>T</w:t>
      </w:r>
      <w:r w:rsidR="00BF6CD3">
        <w:t>ier.</w:t>
      </w:r>
      <w:r>
        <w:rPr>
          <w:rStyle w:val="FootnoteReference"/>
        </w:rPr>
        <w:footnoteReference w:id="27"/>
      </w:r>
      <w:r w:rsidR="00D01B2C">
        <w:t xml:space="preserve">  </w:t>
      </w:r>
      <w:r w:rsidR="00435D86">
        <w:t>In other instances</w:t>
      </w:r>
      <w:r w:rsidR="00255891">
        <w:t xml:space="preserve">, </w:t>
      </w:r>
      <w:r w:rsidR="006755FA">
        <w:t>the Rates Database provide</w:t>
      </w:r>
      <w:r w:rsidR="00AB6F4B">
        <w:t>s</w:t>
      </w:r>
      <w:r w:rsidR="006755FA">
        <w:t xml:space="preserve"> </w:t>
      </w:r>
      <w:r w:rsidR="001C546A">
        <w:t>higher median rat</w:t>
      </w:r>
      <w:r w:rsidR="007F50A6">
        <w:t xml:space="preserve">es </w:t>
      </w:r>
      <w:r w:rsidR="000E278A">
        <w:t xml:space="preserve">for lower bandwidths.  </w:t>
      </w:r>
      <w:r w:rsidR="00F8399B">
        <w:t xml:space="preserve">Within the Frontier </w:t>
      </w:r>
      <w:r w:rsidR="005D6208">
        <w:t>T</w:t>
      </w:r>
      <w:r w:rsidR="00F8399B">
        <w:t>ier</w:t>
      </w:r>
      <w:r w:rsidR="00FE75D6">
        <w:t xml:space="preserve">, </w:t>
      </w:r>
      <w:r w:rsidR="00857BCF">
        <w:t>the median monthly rate in the Rates Database for a</w:t>
      </w:r>
      <w:r w:rsidR="008A3867">
        <w:t xml:space="preserve"> 20 Mbps </w:t>
      </w:r>
      <w:r w:rsidR="001D2C3D">
        <w:t xml:space="preserve">dedicated service data connection is </w:t>
      </w:r>
      <w:r w:rsidR="00B43D63">
        <w:t>$47,536</w:t>
      </w:r>
      <w:r w:rsidR="002A2B41">
        <w:t xml:space="preserve"> </w:t>
      </w:r>
      <w:r w:rsidR="002C06E0">
        <w:t xml:space="preserve">but the median rate for </w:t>
      </w:r>
      <w:r w:rsidR="004F69CA">
        <w:t xml:space="preserve">a 50 Mbps </w:t>
      </w:r>
      <w:r w:rsidR="001B681C">
        <w:t xml:space="preserve">dedicated </w:t>
      </w:r>
      <w:r w:rsidR="004F69CA">
        <w:t>service is $21,333.</w:t>
      </w:r>
      <w:r>
        <w:rPr>
          <w:rStyle w:val="FootnoteReference"/>
        </w:rPr>
        <w:footnoteReference w:id="28"/>
      </w:r>
    </w:p>
    <w:p w:rsidR="009B295C" w:rsidP="00A00D93" w14:paraId="14DE935A" w14:textId="3C3DD24F">
      <w:pPr>
        <w:pStyle w:val="ParaNum"/>
      </w:pPr>
      <w:r>
        <w:t>Additionally</w:t>
      </w:r>
      <w:r w:rsidR="00527E9A">
        <w:t>,</w:t>
      </w:r>
      <w:r w:rsidR="005479E3">
        <w:t xml:space="preserve"> </w:t>
      </w:r>
      <w:r w:rsidR="009A4F95">
        <w:t xml:space="preserve">certain rural rates </w:t>
      </w:r>
      <w:r w:rsidR="00527E9A">
        <w:t>available in the Rates Database</w:t>
      </w:r>
      <w:r w:rsidR="009A4F95">
        <w:t xml:space="preserve"> vary so significantly from some</w:t>
      </w:r>
      <w:r w:rsidR="005479E3">
        <w:t xml:space="preserve"> </w:t>
      </w:r>
      <w:r w:rsidR="004C55CE">
        <w:t xml:space="preserve">of the </w:t>
      </w:r>
      <w:r w:rsidR="009A4F95">
        <w:t>rural rates calculated under the prior rules that they raise</w:t>
      </w:r>
      <w:r w:rsidR="004B37EB">
        <w:t xml:space="preserve"> questions about</w:t>
      </w:r>
      <w:r w:rsidR="009A4F95">
        <w:t xml:space="preserve"> whether</w:t>
      </w:r>
      <w:r w:rsidR="00C803F2">
        <w:t xml:space="preserve"> telecommunications </w:t>
      </w:r>
      <w:r w:rsidR="004C55CE">
        <w:t>carriers</w:t>
      </w:r>
      <w:r w:rsidR="00C803F2">
        <w:t xml:space="preserve"> in Alaska will receive adequate support to provide critical services to</w:t>
      </w:r>
      <w:r w:rsidR="00596C47">
        <w:t xml:space="preserve"> certain</w:t>
      </w:r>
      <w:r w:rsidR="00E42944">
        <w:t xml:space="preserve"> Alaskan</w:t>
      </w:r>
      <w:r w:rsidR="00596C47">
        <w:t xml:space="preserve"> health care providers</w:t>
      </w:r>
      <w:r w:rsidR="00710127">
        <w:t xml:space="preserve">.  </w:t>
      </w:r>
      <w:r w:rsidR="00942922">
        <w:t>For example</w:t>
      </w:r>
      <w:r w:rsidR="00662CF7">
        <w:t xml:space="preserve">, </w:t>
      </w:r>
      <w:r w:rsidR="00542AE7">
        <w:t>t</w:t>
      </w:r>
      <w:r w:rsidR="005757FF">
        <w:t xml:space="preserve">he </w:t>
      </w:r>
      <w:r w:rsidR="001A1158">
        <w:t xml:space="preserve">rural rate </w:t>
      </w:r>
      <w:r w:rsidR="008C4433">
        <w:t xml:space="preserve">for a 10 Mbps connection in the Frontier </w:t>
      </w:r>
      <w:r w:rsidR="002E555B">
        <w:t>T</w:t>
      </w:r>
      <w:r w:rsidR="008C4433">
        <w:t xml:space="preserve">ier under the </w:t>
      </w:r>
      <w:r w:rsidR="0028750F">
        <w:t>Rates Database is</w:t>
      </w:r>
      <w:r w:rsidR="009A4F95">
        <w:t xml:space="preserve"> in some cases</w:t>
      </w:r>
      <w:r w:rsidR="007130CA">
        <w:t xml:space="preserve"> approximately</w:t>
      </w:r>
      <w:r w:rsidR="009A4F95">
        <w:t xml:space="preserve"> 37</w:t>
      </w:r>
      <w:r w:rsidR="00B3316B">
        <w:t>%</w:t>
      </w:r>
      <w:r w:rsidR="009A4F95">
        <w:t xml:space="preserve"> of</w:t>
      </w:r>
      <w:r w:rsidR="0032543B">
        <w:t xml:space="preserve"> the approved </w:t>
      </w:r>
      <w:r w:rsidR="00472752">
        <w:t xml:space="preserve">funding year 2019 </w:t>
      </w:r>
      <w:r w:rsidR="001A1158">
        <w:t xml:space="preserve">rural </w:t>
      </w:r>
      <w:r w:rsidR="0032543B">
        <w:t>rate</w:t>
      </w:r>
      <w:r w:rsidR="00472752">
        <w:t xml:space="preserve"> for a 10 Mbps connection</w:t>
      </w:r>
      <w:r w:rsidR="0032543B">
        <w:t xml:space="preserve"> for</w:t>
      </w:r>
      <w:r w:rsidR="00A80F8D">
        <w:t xml:space="preserve"> some </w:t>
      </w:r>
      <w:r w:rsidR="000F0ADB">
        <w:t xml:space="preserve">Alaskan </w:t>
      </w:r>
      <w:r w:rsidR="00A80F8D">
        <w:t xml:space="preserve">health care providers </w:t>
      </w:r>
      <w:r w:rsidR="00472752">
        <w:t xml:space="preserve">that are located in the Frontier </w:t>
      </w:r>
      <w:r w:rsidR="002E555B">
        <w:t>T</w:t>
      </w:r>
      <w:r w:rsidR="00472752">
        <w:t>ier</w:t>
      </w:r>
      <w:r w:rsidR="00166E7F">
        <w:t>.</w:t>
      </w:r>
      <w:r>
        <w:rPr>
          <w:rStyle w:val="FootnoteReference"/>
        </w:rPr>
        <w:footnoteReference w:id="29"/>
      </w:r>
    </w:p>
    <w:p w:rsidR="002B46BB" w:rsidP="009679D2" w14:paraId="56E6F160" w14:textId="46AD22AF">
      <w:pPr>
        <w:pStyle w:val="ParaNum"/>
        <w:widowControl/>
      </w:pPr>
      <w:r>
        <w:t xml:space="preserve">These anomalies </w:t>
      </w:r>
      <w:r w:rsidR="00FF087E">
        <w:t xml:space="preserve">appear related to the </w:t>
      </w:r>
      <w:r w:rsidR="007C4B55">
        <w:t xml:space="preserve">extreme </w:t>
      </w:r>
      <w:r w:rsidR="00C471B5">
        <w:t>geographic diversity unique to Alaska</w:t>
      </w:r>
      <w:r w:rsidR="001A25A4">
        <w:t>.</w:t>
      </w:r>
      <w:r w:rsidR="00D7208A">
        <w:t xml:space="preserve">  </w:t>
      </w:r>
      <w:r w:rsidR="00570152">
        <w:t xml:space="preserve">Alaska covers </w:t>
      </w:r>
      <w:r w:rsidR="00272089">
        <w:t>663,000 square miles, about</w:t>
      </w:r>
      <w:r w:rsidR="006D76CB">
        <w:t xml:space="preserve"> </w:t>
      </w:r>
      <w:r w:rsidR="00272089">
        <w:t>two and a half times</w:t>
      </w:r>
      <w:r w:rsidR="006D76CB">
        <w:t xml:space="preserve"> the size of </w:t>
      </w:r>
      <w:r w:rsidR="00272089">
        <w:t>Texas,</w:t>
      </w:r>
      <w:r>
        <w:rPr>
          <w:rStyle w:val="FootnoteReference"/>
        </w:rPr>
        <w:footnoteReference w:id="30"/>
      </w:r>
      <w:r w:rsidR="00C94361">
        <w:t xml:space="preserve"> with a statewide population of </w:t>
      </w:r>
      <w:r w:rsidR="00CA0CA4">
        <w:t xml:space="preserve">730,000 </w:t>
      </w:r>
      <w:r w:rsidR="000A5614">
        <w:t>and</w:t>
      </w:r>
      <w:r w:rsidR="00CA0CA4">
        <w:t xml:space="preserve"> </w:t>
      </w:r>
      <w:r w:rsidR="00AA2F30">
        <w:t xml:space="preserve">almost half </w:t>
      </w:r>
      <w:r w:rsidR="000F0ADB">
        <w:t xml:space="preserve">that </w:t>
      </w:r>
      <w:r w:rsidR="00AA2F30">
        <w:t xml:space="preserve">population living in the Anchorage </w:t>
      </w:r>
      <w:r w:rsidR="00E21C0C">
        <w:t>municipality</w:t>
      </w:r>
      <w:r w:rsidR="00281EF7">
        <w:t>.</w:t>
      </w:r>
      <w:r>
        <w:rPr>
          <w:rStyle w:val="FootnoteReference"/>
        </w:rPr>
        <w:footnoteReference w:id="31"/>
      </w:r>
      <w:r w:rsidR="00281EF7">
        <w:t xml:space="preserve">  Many Alaska communities are not connected by road and are only accessible by plane or boat.</w:t>
      </w:r>
      <w:r>
        <w:rPr>
          <w:rStyle w:val="FootnoteReference"/>
        </w:rPr>
        <w:footnoteReference w:id="32"/>
      </w:r>
      <w:r w:rsidR="00281EF7">
        <w:t xml:space="preserve">  </w:t>
      </w:r>
      <w:r w:rsidR="000C2C23">
        <w:t xml:space="preserve">The </w:t>
      </w:r>
      <w:r w:rsidR="000F0ADB">
        <w:t xml:space="preserve">outputs </w:t>
      </w:r>
      <w:r w:rsidR="000C2C23">
        <w:t xml:space="preserve">of </w:t>
      </w:r>
      <w:r w:rsidR="000C2C23">
        <w:t xml:space="preserve">the </w:t>
      </w:r>
      <w:r w:rsidR="00371B5D">
        <w:t>Rates Database</w:t>
      </w:r>
      <w:r w:rsidR="000F04EF">
        <w:t xml:space="preserve"> suggest that factors other than population density</w:t>
      </w:r>
      <w:r w:rsidR="004D6CAC">
        <w:t>, e.g</w:t>
      </w:r>
      <w:r w:rsidR="00F0493B">
        <w:t>.</w:t>
      </w:r>
      <w:r w:rsidR="004D6CAC">
        <w:t>, the existence of communications infra</w:t>
      </w:r>
      <w:r w:rsidR="001C4D09">
        <w:t>structure</w:t>
      </w:r>
      <w:r w:rsidR="00F454D3">
        <w:t xml:space="preserve"> near communities</w:t>
      </w:r>
      <w:r w:rsidR="00270E66">
        <w:t xml:space="preserve">, may </w:t>
      </w:r>
      <w:r w:rsidR="00C55DAA">
        <w:t xml:space="preserve">significantly </w:t>
      </w:r>
      <w:r w:rsidR="00270E66">
        <w:t xml:space="preserve">affect the prices available </w:t>
      </w:r>
      <w:r w:rsidR="00194173">
        <w:t>in</w:t>
      </w:r>
      <w:r w:rsidR="00C06AFC">
        <w:t xml:space="preserve"> Al</w:t>
      </w:r>
      <w:r w:rsidR="00C55DAA">
        <w:t>as</w:t>
      </w:r>
      <w:r w:rsidR="00C06AFC">
        <w:t>ka</w:t>
      </w:r>
      <w:r w:rsidR="00270E66">
        <w:t xml:space="preserve"> to end users in </w:t>
      </w:r>
      <w:r w:rsidR="00CE1550">
        <w:t xml:space="preserve">remote </w:t>
      </w:r>
      <w:r w:rsidR="00C06AFC">
        <w:t>rural areas</w:t>
      </w:r>
      <w:r w:rsidR="0096199E">
        <w:t>.</w:t>
      </w:r>
      <w:r>
        <w:rPr>
          <w:rStyle w:val="FootnoteReference"/>
        </w:rPr>
        <w:footnoteReference w:id="33"/>
      </w:r>
      <w:r w:rsidR="008F5ECF">
        <w:t xml:space="preserve">  </w:t>
      </w:r>
      <w:r w:rsidR="007D4FC4">
        <w:t xml:space="preserve">The inconsistencies in the Rates Database and </w:t>
      </w:r>
      <w:r w:rsidR="005C183C">
        <w:t xml:space="preserve">the significant </w:t>
      </w:r>
      <w:r w:rsidR="007D4FC4">
        <w:t>reductions in levels of support caused by Alaska’s unique</w:t>
      </w:r>
      <w:r w:rsidR="0042217E">
        <w:t xml:space="preserve">ly challenging geography </w:t>
      </w:r>
      <w:r w:rsidR="00AF32E6">
        <w:t xml:space="preserve">qualify as special </w:t>
      </w:r>
      <w:r w:rsidR="00D24EB9">
        <w:t>circumstances meriting a waiver</w:t>
      </w:r>
      <w:r w:rsidR="00177C76">
        <w:t xml:space="preserve"> </w:t>
      </w:r>
      <w:r w:rsidR="004C55CE">
        <w:t>to give</w:t>
      </w:r>
      <w:r w:rsidR="00177C76">
        <w:t xml:space="preserve"> the Commission time to examine the causes of these anomalies and make adjustments to the </w:t>
      </w:r>
      <w:r w:rsidR="00761E68">
        <w:t>R</w:t>
      </w:r>
      <w:r w:rsidR="00177C76">
        <w:t xml:space="preserve">ates </w:t>
      </w:r>
      <w:r w:rsidR="00761E68">
        <w:t>D</w:t>
      </w:r>
      <w:r w:rsidR="00177C76">
        <w:t>atabase model if needed</w:t>
      </w:r>
      <w:r w:rsidR="00D24EB9">
        <w:t xml:space="preserve">.  </w:t>
      </w:r>
      <w:r w:rsidR="00196E99">
        <w:t xml:space="preserve">In the interim, as </w:t>
      </w:r>
      <w:r w:rsidR="00275A57">
        <w:t xml:space="preserve">the Commission </w:t>
      </w:r>
      <w:r w:rsidR="00602E27">
        <w:t xml:space="preserve">works to </w:t>
      </w:r>
      <w:r w:rsidR="00F72B58">
        <w:t xml:space="preserve">improve the reliability </w:t>
      </w:r>
      <w:r w:rsidR="00C679F4">
        <w:t xml:space="preserve">of the Rates Database, we conclude that no service provider </w:t>
      </w:r>
      <w:r w:rsidR="00A64569">
        <w:t xml:space="preserve">in Alaska </w:t>
      </w:r>
      <w:r w:rsidR="00C679F4">
        <w:t xml:space="preserve">should </w:t>
      </w:r>
      <w:r w:rsidR="00394AFB">
        <w:t>make use of</w:t>
      </w:r>
      <w:r w:rsidR="00C679F4">
        <w:t xml:space="preserve"> the</w:t>
      </w:r>
      <w:r w:rsidR="00394AFB">
        <w:t xml:space="preserve"> rural</w:t>
      </w:r>
      <w:r w:rsidR="00C679F4">
        <w:t xml:space="preserve"> rates available in the Rates Database.  </w:t>
      </w:r>
    </w:p>
    <w:p w:rsidR="004C55CE" w:rsidP="002B46BB" w14:paraId="6C52EC90" w14:textId="3A65C29D">
      <w:pPr>
        <w:pStyle w:val="ParaNum"/>
      </w:pPr>
      <w:r>
        <w:t xml:space="preserve">The public interest will be served by </w:t>
      </w:r>
      <w:r>
        <w:t>waiving the requirement to</w:t>
      </w:r>
      <w:r w:rsidR="00DE0E3D">
        <w:t xml:space="preserve"> use the </w:t>
      </w:r>
      <w:r w:rsidR="00954627">
        <w:t xml:space="preserve">Rates Database </w:t>
      </w:r>
      <w:r w:rsidR="008A6671">
        <w:t>for determining rural rates in Alaska</w:t>
      </w:r>
      <w:r w:rsidR="002D73DB">
        <w:t xml:space="preserve"> </w:t>
      </w:r>
      <w:r>
        <w:t xml:space="preserve">for funding year 2021, for which competitive bidding has already begun.  And in the interest of providing </w:t>
      </w:r>
      <w:r w:rsidR="00154F43">
        <w:t xml:space="preserve">the </w:t>
      </w:r>
      <w:r>
        <w:t xml:space="preserve">“predictability” </w:t>
      </w:r>
      <w:r w:rsidR="00154F43">
        <w:t xml:space="preserve">required by section 254 of the Communications Act </w:t>
      </w:r>
      <w:r>
        <w:t>to applicants and participating telecommunications carriers</w:t>
      </w:r>
      <w:r w:rsidR="00154F43">
        <w:t>,</w:t>
      </w:r>
      <w:r>
        <w:rPr>
          <w:rStyle w:val="FootnoteReference"/>
        </w:rPr>
        <w:footnoteReference w:id="34"/>
      </w:r>
      <w:r w:rsidR="00154F43">
        <w:t xml:space="preserve"> the public interest will be best served by extending that waiver through funding year 2022 unless the Commission has separately addressed the pending petitions for reconsideration within the year (i.e., by January 19, 2022).  This action ensures that Alaska rural telecommunications service providers will receive levels of support on par with the support they received through funding year 2020, preserving the status quo while the Commission examines questions surrounding the support available to Alaska service providers providing critically important telecommunications services to Alaska health care providers.  </w:t>
      </w:r>
    </w:p>
    <w:p w:rsidR="00154F43" w:rsidP="00B84DE6" w14:paraId="72F5521F" w14:textId="508E1787">
      <w:pPr>
        <w:pStyle w:val="ParaNum"/>
      </w:pPr>
      <w:r>
        <w:t>In light of</w:t>
      </w:r>
      <w:r>
        <w:t xml:space="preserve"> our decision to waive the</w:t>
      </w:r>
      <w:r w:rsidR="00717012">
        <w:t xml:space="preserve"> use of the</w:t>
      </w:r>
      <w:r>
        <w:t xml:space="preserve"> Rates Database</w:t>
      </w:r>
      <w:r w:rsidR="00717012">
        <w:t xml:space="preserve"> to calculate rural rates in Alaska</w:t>
      </w:r>
      <w:r>
        <w:t xml:space="preserve">, we next address how applicants and participating telecommunications carriers should establish their rural rates.  We believe it most appropriate for such applicants and providers to rely on the preexisting rules for determining rural rates as a default—as such, </w:t>
      </w:r>
      <w:r w:rsidR="00C20765">
        <w:t>health care providers in Alaska an</w:t>
      </w:r>
      <w:r w:rsidR="008C03EC">
        <w:t>d their service provi</w:t>
      </w:r>
      <w:r w:rsidR="002E6E31">
        <w:t>d</w:t>
      </w:r>
      <w:r w:rsidR="008C03EC">
        <w:t xml:space="preserve">ers </w:t>
      </w:r>
      <w:r>
        <w:t>may</w:t>
      </w:r>
      <w:r w:rsidR="00B17E9B">
        <w:t xml:space="preserve"> continue to use Method 1, Method 2, or Method 3 </w:t>
      </w:r>
      <w:r w:rsidR="008C03EC">
        <w:t>to calculate rural rates</w:t>
      </w:r>
      <w:r w:rsidR="00761E68">
        <w:t>,</w:t>
      </w:r>
      <w:r w:rsidR="00A62EFE">
        <w:t xml:space="preserve"> using the same processes</w:t>
      </w:r>
      <w:r w:rsidR="008A6CA5">
        <w:t xml:space="preserve"> for submission </w:t>
      </w:r>
      <w:r w:rsidR="00BE478A">
        <w:t>and review</w:t>
      </w:r>
      <w:r w:rsidR="00D12325">
        <w:t xml:space="preserve"> </w:t>
      </w:r>
      <w:r w:rsidR="008A6CA5">
        <w:t>of rates that applied for funding year 2020</w:t>
      </w:r>
      <w:r w:rsidR="00771F40">
        <w:t>.</w:t>
      </w:r>
      <w:r w:rsidR="00F55987">
        <w:t xml:space="preserve">  </w:t>
      </w:r>
      <w:r>
        <w:t>As a reminder, these</w:t>
      </w:r>
      <w:r w:rsidRPr="00662881">
        <w:t xml:space="preserve"> methods for calculating the rural rate are sequential.  Method 1 must be used unless the carrier is not actually charging non-health care provider customers rates for the same or similar services in the rural area where the health care provider is located.</w:t>
      </w:r>
      <w:r>
        <w:rPr>
          <w:rStyle w:val="FootnoteReference"/>
        </w:rPr>
        <w:footnoteReference w:id="35"/>
      </w:r>
      <w:r>
        <w:t xml:space="preserve">  </w:t>
      </w:r>
      <w:r w:rsidRPr="003A49FC">
        <w:t>Method 2 generally must be used if Method 1 cannot be used.</w:t>
      </w:r>
      <w:r>
        <w:rPr>
          <w:rStyle w:val="FootnoteReference"/>
        </w:rPr>
        <w:footnoteReference w:id="36"/>
      </w:r>
      <w:r>
        <w:t xml:space="preserve">  </w:t>
      </w:r>
      <w:r w:rsidRPr="00261B97">
        <w:t>Finally, where there are no tariffed or other publicly available rates charged by other carriers for same or similar services in the rural area where the health care provider is located, or if the carrier reasonably determines that the rural rate calculated under Method 2 is unfair, then the carrier may seek approval of a cost-based rural rate under Method 3.</w:t>
      </w:r>
      <w:r>
        <w:rPr>
          <w:rStyle w:val="FootnoteReference"/>
        </w:rPr>
        <w:footnoteReference w:id="37"/>
      </w:r>
    </w:p>
    <w:p w:rsidR="00154F43" w:rsidP="00640292" w14:paraId="4C9E16DA" w14:textId="1A36F46F">
      <w:pPr>
        <w:pStyle w:val="ParaNum"/>
      </w:pPr>
      <w:r>
        <w:t xml:space="preserve">Nonetheless, we recognize that </w:t>
      </w:r>
      <w:r w:rsidR="00640292">
        <w:t xml:space="preserve">relying on the prior methods </w:t>
      </w:r>
      <w:r w:rsidR="00E7655D">
        <w:t xml:space="preserve">alone </w:t>
      </w:r>
      <w:r w:rsidR="00640292">
        <w:t xml:space="preserve">is not ideal.  As the Commission recognized in the </w:t>
      </w:r>
      <w:r w:rsidRPr="00640292" w:rsidR="00640292">
        <w:rPr>
          <w:i/>
          <w:iCs/>
        </w:rPr>
        <w:t>Promoting Telehealth Report and Order</w:t>
      </w:r>
      <w:r w:rsidR="00640292">
        <w:t>, “the rural rate has proven to be difficult for health care and service providers to calculate and is susceptible to manipulation.”</w:t>
      </w:r>
      <w:r>
        <w:rPr>
          <w:rStyle w:val="FootnoteReference"/>
        </w:rPr>
        <w:footnoteReference w:id="38"/>
      </w:r>
      <w:r w:rsidR="00640292">
        <w:t xml:space="preserve">  Indeed, the Commission noted that these methods all too often “lead to rural rates inconsistently calculated, artificially inflated, and difficult to verify against public data sources.  It also results in review process </w:t>
      </w:r>
      <w:r w:rsidR="00640292">
        <w:t xml:space="preserve">delays that understandably tax the patience of </w:t>
      </w:r>
      <w:r w:rsidR="00640292">
        <w:t>RHC</w:t>
      </w:r>
      <w:r w:rsidR="00640292">
        <w:t xml:space="preserve"> Program participants waiting for final support determinations and funding commitments.  Inefficiency and waste of this type is especially problematic now given the extreme demands on limited </w:t>
      </w:r>
      <w:r w:rsidR="00640292">
        <w:t>RHC</w:t>
      </w:r>
      <w:r w:rsidR="00640292">
        <w:t xml:space="preserve"> Program funds.”</w:t>
      </w:r>
      <w:r>
        <w:rPr>
          <w:rStyle w:val="FootnoteReference"/>
        </w:rPr>
        <w:footnoteReference w:id="39"/>
      </w:r>
      <w:r w:rsidR="00CC42EF">
        <w:t xml:space="preserve">  We accordingly draw on this guidance to provide a more efficient option for rural healthcare providers and participating carriers in Alaska to determine rural rates until the Rates Database </w:t>
      </w:r>
      <w:r w:rsidR="00717012">
        <w:t>is used</w:t>
      </w:r>
      <w:r w:rsidR="00CC42EF">
        <w:t xml:space="preserve">.  Specifically, we recognize that </w:t>
      </w:r>
      <w:r w:rsidR="006427AA">
        <w:t xml:space="preserve">for the past three years the Commission and Administrator have already intensely reviewed and approved numerous rural rates that comply with our prior rules.  As such, we find it in the public interest to allow the use of a rural rate that has been approved for the same service at the same facility within the past three funding years.  To minimize potential gamesmanship, if more than one such rate has been approved, the rural rate must be the most recently approved rate for that facility/service combination.  </w:t>
      </w:r>
      <w:r w:rsidR="00235CDC">
        <w:t xml:space="preserve">The Commission also recognized in the </w:t>
      </w:r>
      <w:r w:rsidRPr="00640292" w:rsidR="00235CDC">
        <w:rPr>
          <w:i/>
          <w:iCs/>
        </w:rPr>
        <w:t>Promoting Telehealth Report and Order</w:t>
      </w:r>
      <w:r w:rsidR="00235CDC">
        <w:t xml:space="preserve"> that rural rates for services similar to those requested by a particular applicant (including rates in the same geographic area) are good evidence of the appropriate rural rate for a particular service at a particular facility.</w:t>
      </w:r>
      <w:r>
        <w:rPr>
          <w:rStyle w:val="FootnoteReference"/>
        </w:rPr>
        <w:footnoteReference w:id="40"/>
      </w:r>
      <w:r w:rsidR="00235CDC">
        <w:t xml:space="preserve">  As such, if there is no approved rate for a particular facility/service combination, the health care provider and </w:t>
      </w:r>
      <w:r w:rsidR="00BC6789">
        <w:t xml:space="preserve">its </w:t>
      </w:r>
      <w:r w:rsidR="00235CDC">
        <w:t xml:space="preserve">carrier may use rural rates approved for the same or similar services to </w:t>
      </w:r>
      <w:r w:rsidR="00717012">
        <w:t xml:space="preserve">the </w:t>
      </w:r>
      <w:r w:rsidR="00235CDC">
        <w:t xml:space="preserve">facility with the same or similar geographic characteristics.  The health care provider or service provider should submit these rural rates to the Administrator with documentation showing that the rural rates were previously approved.  And if no such </w:t>
      </w:r>
      <w:r w:rsidR="00235CDC">
        <w:t>comparables</w:t>
      </w:r>
      <w:r w:rsidR="00235CDC">
        <w:t xml:space="preserve"> are available, the rural rate must be established using one of the preexisting methods.</w:t>
      </w:r>
    </w:p>
    <w:p w:rsidR="00C20765" w:rsidP="00B84DE6" w14:paraId="66467B5E" w14:textId="494C0F01">
      <w:pPr>
        <w:pStyle w:val="ParaNum"/>
      </w:pPr>
      <w:r>
        <w:t xml:space="preserve">This waiver does not apply to urban rate calculations.  Applicants in Alaska </w:t>
      </w:r>
      <w:r w:rsidR="008519CA">
        <w:t>must still</w:t>
      </w:r>
      <w:r>
        <w:t xml:space="preserve"> use the Rates Database to determine urban rates for health care providers.</w:t>
      </w:r>
      <w:r>
        <w:rPr>
          <w:rStyle w:val="FootnoteReference"/>
        </w:rPr>
        <w:footnoteReference w:id="41"/>
      </w:r>
      <w:r>
        <w:t xml:space="preserve">  Our analysis</w:t>
      </w:r>
      <w:r w:rsidR="000F0ADB">
        <w:t xml:space="preserve"> of the Rates Database</w:t>
      </w:r>
      <w:r>
        <w:t xml:space="preserve"> </w:t>
      </w:r>
      <w:r w:rsidR="000F0ADB">
        <w:t>indicates</w:t>
      </w:r>
      <w:r>
        <w:t xml:space="preserve"> that there are not persistent anomalies with Alaskan urban rates in the Rates Database comparable to the anomalies in rural rates discussed above.  </w:t>
      </w:r>
      <w:r w:rsidR="000F0ADB">
        <w:t>Furthermore, c</w:t>
      </w:r>
      <w:r>
        <w:t xml:space="preserve">ontinued </w:t>
      </w:r>
      <w:r w:rsidR="000F0ADB">
        <w:t xml:space="preserve">use </w:t>
      </w:r>
      <w:r>
        <w:t>of the urban rates in the Rates Database will reduce administrative burdens on rural health care providers and service providers by removing the onus for determining median urban rates and assigning that responsibility to the Administrator.</w:t>
      </w:r>
      <w:r>
        <w:rPr>
          <w:rStyle w:val="FootnoteReference"/>
        </w:rPr>
        <w:footnoteReference w:id="42"/>
      </w:r>
      <w:r w:rsidR="00771F40">
        <w:t xml:space="preserve"> </w:t>
      </w:r>
      <w:r>
        <w:t xml:space="preserve"> </w:t>
      </w:r>
    </w:p>
    <w:p w:rsidR="002E7908" w:rsidP="002E7908" w14:paraId="243D2855" w14:textId="7301E0AA">
      <w:pPr>
        <w:pStyle w:val="ParaNum"/>
      </w:pPr>
      <w:r>
        <w:t>The current version of the FCC Form 466 (</w:t>
      </w:r>
      <w:r w:rsidR="00014EFB">
        <w:t xml:space="preserve">Funding Request Form) </w:t>
      </w:r>
      <w:r w:rsidR="00115967">
        <w:t>automatically populates</w:t>
      </w:r>
      <w:r w:rsidR="0085104E">
        <w:t xml:space="preserve"> </w:t>
      </w:r>
      <w:r>
        <w:t>the median</w:t>
      </w:r>
      <w:r w:rsidR="00A82679">
        <w:t xml:space="preserve"> rural rate calculated </w:t>
      </w:r>
      <w:r w:rsidR="005F1394">
        <w:t>in</w:t>
      </w:r>
      <w:r w:rsidR="00A82679">
        <w:t xml:space="preserve"> the Rates Database</w:t>
      </w:r>
      <w:r w:rsidR="00227EBE">
        <w:t xml:space="preserve"> and does not allow for hea</w:t>
      </w:r>
      <w:r w:rsidR="00ED2697">
        <w:t xml:space="preserve">lth care providers to change this rate.  As result of today’s waiver, the rural rate that </w:t>
      </w:r>
      <w:r w:rsidR="00D71407">
        <w:t xml:space="preserve">automatically </w:t>
      </w:r>
      <w:r w:rsidR="00ED2697">
        <w:t xml:space="preserve">appears on </w:t>
      </w:r>
      <w:r w:rsidR="001602B7">
        <w:t>a health care provider’s FCC Form 466</w:t>
      </w:r>
      <w:r w:rsidR="002A1959">
        <w:t xml:space="preserve">, and the </w:t>
      </w:r>
      <w:r w:rsidR="00000466">
        <w:t>requested</w:t>
      </w:r>
      <w:r w:rsidR="002A1959">
        <w:t xml:space="preserve"> funding commitment listed on the FCC Form 466</w:t>
      </w:r>
      <w:r w:rsidR="005C044F">
        <w:t xml:space="preserve">, will </w:t>
      </w:r>
      <w:r w:rsidR="00DB0642">
        <w:t xml:space="preserve">no longer be accurate </w:t>
      </w:r>
      <w:r>
        <w:t xml:space="preserve">for health care providers in Alaska </w:t>
      </w:r>
      <w:r w:rsidR="00DB0642">
        <w:t xml:space="preserve">because </w:t>
      </w:r>
      <w:r w:rsidR="006959EF">
        <w:t>that rate</w:t>
      </w:r>
      <w:r w:rsidR="00DB0642">
        <w:t xml:space="preserve"> will </w:t>
      </w:r>
      <w:r w:rsidR="001A14AC">
        <w:t>be</w:t>
      </w:r>
      <w:r w:rsidR="00916314">
        <w:t xml:space="preserve"> generated by the Rates </w:t>
      </w:r>
      <w:r w:rsidR="00C9538C">
        <w:t>Database</w:t>
      </w:r>
      <w:r w:rsidR="00EB324B">
        <w:t xml:space="preserve"> rather than </w:t>
      </w:r>
      <w:r>
        <w:t xml:space="preserve">by one of </w:t>
      </w:r>
      <w:r w:rsidR="00EB324B">
        <w:t xml:space="preserve">the </w:t>
      </w:r>
      <w:r w:rsidR="00BB390A">
        <w:t xml:space="preserve">methods for determining </w:t>
      </w:r>
      <w:r w:rsidR="00E7655D">
        <w:t xml:space="preserve">rural </w:t>
      </w:r>
      <w:r w:rsidR="00BB390A">
        <w:t>rates</w:t>
      </w:r>
      <w:r w:rsidR="005E4423">
        <w:t xml:space="preserve"> </w:t>
      </w:r>
      <w:r w:rsidR="00BA0E90">
        <w:t xml:space="preserve">that will </w:t>
      </w:r>
      <w:r w:rsidR="00E7655D">
        <w:t xml:space="preserve">apply </w:t>
      </w:r>
      <w:r w:rsidR="00431F80">
        <w:t>pursuant to thi</w:t>
      </w:r>
      <w:r w:rsidR="00510191">
        <w:t>s order</w:t>
      </w:r>
      <w:r w:rsidR="001466FB">
        <w:t xml:space="preserve">.  </w:t>
      </w:r>
      <w:r>
        <w:t xml:space="preserve">If a service provider is able to provide applicants with </w:t>
      </w:r>
      <w:r w:rsidR="00E7655D">
        <w:t>an appropriate rural rate as determined by the contours of this order</w:t>
      </w:r>
      <w:r w:rsidR="008D0AFE">
        <w:t xml:space="preserve"> </w:t>
      </w:r>
      <w:r>
        <w:t xml:space="preserve">before the filing of an FCC Form 466, we encourage the health care provider to enter that rural rate into Line 33 (rural rate per month per service agreement) of the application and upload supporting documentation.  If the applicant does not enter </w:t>
      </w:r>
      <w:r w:rsidR="00E7655D">
        <w:t>such a rural rate</w:t>
      </w:r>
      <w:r>
        <w:t xml:space="preserve">, we direct the Administrator to conduct outreach to determine that rural rate.  </w:t>
      </w:r>
    </w:p>
    <w:p w:rsidR="005B68AB" w:rsidRPr="005B68AB" w:rsidP="005B68AB" w14:paraId="2613987F" w14:textId="79B079CC">
      <w:pPr>
        <w:pStyle w:val="ParaNum"/>
      </w:pPr>
      <w:r>
        <w:t>We recognize that some health care providers</w:t>
      </w:r>
      <w:r w:rsidR="00206769">
        <w:t xml:space="preserve"> may have already completed the competitive bidding process </w:t>
      </w:r>
      <w:r w:rsidR="00284212">
        <w:t xml:space="preserve">for funding year 2021 </w:t>
      </w:r>
      <w:r w:rsidR="00206769">
        <w:t xml:space="preserve">using </w:t>
      </w:r>
      <w:r w:rsidR="00284212">
        <w:t xml:space="preserve">bids based on </w:t>
      </w:r>
      <w:r w:rsidR="0017181B">
        <w:t xml:space="preserve">rates generated by the Rates Database.  </w:t>
      </w:r>
      <w:r w:rsidR="00176C11">
        <w:t xml:space="preserve">To the extent necessary, we waive our competitive bidding rules to permit any health care provider </w:t>
      </w:r>
      <w:r w:rsidR="00533C78">
        <w:t xml:space="preserve">in Alaska </w:t>
      </w:r>
      <w:r w:rsidR="00FB6903">
        <w:t>that has completed the competitive bidding process to re-initiate</w:t>
      </w:r>
      <w:r w:rsidR="00E842FF">
        <w:t xml:space="preserve"> a new competitive bidding process </w:t>
      </w:r>
      <w:r w:rsidR="004B0827">
        <w:t xml:space="preserve">at its discretion </w:t>
      </w:r>
      <w:r w:rsidR="00E842FF">
        <w:t>in light of today’s changes to the level of support available.</w:t>
      </w:r>
      <w:r>
        <w:rPr>
          <w:rStyle w:val="FootnoteReference"/>
        </w:rPr>
        <w:footnoteReference w:id="43"/>
      </w:r>
      <w:r w:rsidR="00E842FF">
        <w:t xml:space="preserve">  </w:t>
      </w:r>
      <w:r w:rsidR="008C4AF7">
        <w:t xml:space="preserve">Additionally, </w:t>
      </w:r>
      <w:r w:rsidR="00AB69DD">
        <w:t>to the extent necessary</w:t>
      </w:r>
      <w:r w:rsidR="008C4AF7">
        <w:t xml:space="preserve">, we waive program rules to permit service providers </w:t>
      </w:r>
      <w:r w:rsidR="00E05E60">
        <w:t xml:space="preserve">who submitted </w:t>
      </w:r>
      <w:r w:rsidR="00E05E60">
        <w:t xml:space="preserve">bids </w:t>
      </w:r>
      <w:r w:rsidR="00C87013">
        <w:t xml:space="preserve">based on rates available in the Rates Database </w:t>
      </w:r>
      <w:r w:rsidR="00E05E60">
        <w:t xml:space="preserve">in response to Requests for Services </w:t>
      </w:r>
      <w:r w:rsidR="00E72E44">
        <w:t>issue</w:t>
      </w:r>
      <w:r w:rsidR="00C87013">
        <w:t>d</w:t>
      </w:r>
      <w:r w:rsidR="00E72E44">
        <w:t xml:space="preserve"> by health care providers</w:t>
      </w:r>
      <w:r w:rsidR="000F0ADB">
        <w:t xml:space="preserve"> in Alaska</w:t>
      </w:r>
      <w:r w:rsidR="00E72E44">
        <w:t xml:space="preserve"> for funding year 2021 to </w:t>
      </w:r>
      <w:r w:rsidR="00C87013">
        <w:t>submit new bids.</w:t>
      </w:r>
      <w:r>
        <w:rPr>
          <w:rStyle w:val="FootnoteReference"/>
        </w:rPr>
        <w:footnoteReference w:id="44"/>
      </w:r>
      <w:r w:rsidR="00C87013">
        <w:t xml:space="preserve"> </w:t>
      </w:r>
      <w:r w:rsidR="0057769A">
        <w:t xml:space="preserve"> </w:t>
      </w:r>
      <w:r w:rsidR="00B355A6">
        <w:t>Absent a competitive bidding exemption, health care provide</w:t>
      </w:r>
      <w:r w:rsidR="00F375D7">
        <w:t xml:space="preserve">rs must comply with all other competitive bidding requirements, including </w:t>
      </w:r>
      <w:r w:rsidR="005320DF">
        <w:t>conduc</w:t>
      </w:r>
      <w:r w:rsidR="00293D0F">
        <w:t>t</w:t>
      </w:r>
      <w:r w:rsidR="005320DF">
        <w:t xml:space="preserve">ing a fair and open competitive bidding process, </w:t>
      </w:r>
      <w:r w:rsidR="00491BA8">
        <w:t xml:space="preserve">waiting 28 days </w:t>
      </w:r>
      <w:r w:rsidR="00861966">
        <w:t>after pos</w:t>
      </w:r>
      <w:r w:rsidR="00CA0D0D">
        <w:t xml:space="preserve">ting </w:t>
      </w:r>
      <w:r w:rsidR="006864DA">
        <w:t xml:space="preserve">a </w:t>
      </w:r>
      <w:r w:rsidR="00B52D3A">
        <w:t xml:space="preserve">Request for Services to make a bid selection, and </w:t>
      </w:r>
      <w:r w:rsidR="0077439A">
        <w:t xml:space="preserve">selecting </w:t>
      </w:r>
      <w:r w:rsidR="00D936CB">
        <w:t>the most cost-effective me</w:t>
      </w:r>
      <w:r w:rsidR="004046C5">
        <w:t xml:space="preserve">ans of meeting its </w:t>
      </w:r>
      <w:r w:rsidR="0098020A">
        <w:t>specific health care needs</w:t>
      </w:r>
      <w:r w:rsidR="00125CA7">
        <w:t>.</w:t>
      </w:r>
      <w:r>
        <w:rPr>
          <w:rStyle w:val="FootnoteReference"/>
        </w:rPr>
        <w:footnoteReference w:id="45"/>
      </w:r>
    </w:p>
    <w:p w:rsidR="003D23BC" w:rsidRPr="003D23BC" w:rsidP="00DF71B8" w14:paraId="47E20715" w14:textId="31C82498">
      <w:pPr>
        <w:pStyle w:val="ParaNum"/>
      </w:pPr>
      <w:r>
        <w:t>We are committed to guarding against waste, fraud, and abuse in the U</w:t>
      </w:r>
      <w:r w:rsidR="009C26ED">
        <w:t xml:space="preserve">niversal </w:t>
      </w:r>
      <w:r w:rsidR="00010FCF">
        <w:t>Service Fund</w:t>
      </w:r>
      <w:r w:rsidR="009C26ED">
        <w:t xml:space="preserve"> (</w:t>
      </w:r>
      <w:r>
        <w:t>USF</w:t>
      </w:r>
      <w:r w:rsidR="009C26ED">
        <w:t>)</w:t>
      </w:r>
      <w:r>
        <w:t xml:space="preserve"> programs</w:t>
      </w:r>
      <w:r w:rsidR="00F10636">
        <w:t>, including the Rural Health Care Program</w:t>
      </w:r>
      <w:r>
        <w:t xml:space="preserve">.  Although we grant the limited waivers described herein, program participants and service providers remain otherwise subject to audits and investigations to determine compliance with USF program rules and requirements.  We will require </w:t>
      </w:r>
      <w:r w:rsidR="00845EC6">
        <w:t>the Administrator</w:t>
      </w:r>
      <w:r>
        <w:t xml:space="preserve"> to recover funds through its normal process that we discover were not used properly.  We emphasize that we retain the discretion to evaluate the uses of monies disbursed through the USF programs and to determine on a case-by-case basis that waste, fraud, or abuse of program funds occurred, and that recovery is warranted.  Additionally, in the event we discover any improper activity resulting from our action today, we will subject the offending party to all available penalties at our disposal, and will direct </w:t>
      </w:r>
      <w:r w:rsidR="0004374D">
        <w:t>the Administrator</w:t>
      </w:r>
      <w:r>
        <w:t xml:space="preserve"> to recover funds, assess retroactive fees and/or interest, or both.  We remain committed to ensuring the integrity of the </w:t>
      </w:r>
      <w:r w:rsidR="00E27CB7">
        <w:t>Rural Health Care P</w:t>
      </w:r>
      <w:r>
        <w:t>rogram and will continue to aggressively pursue instances of waste, fraud, or abuse under our own procedures and in cooperation with law enforcement agencies.</w:t>
      </w:r>
    </w:p>
    <w:p w:rsidR="00412FC5" w:rsidP="00C36B4C" w14:paraId="17CDAC78" w14:textId="453682E6">
      <w:pPr>
        <w:pStyle w:val="Heading1"/>
      </w:pPr>
      <w:r>
        <w:t>ordering clauses</w:t>
      </w:r>
    </w:p>
    <w:p w:rsidR="00047101" w:rsidP="00047101" w14:paraId="5F6F2784" w14:textId="2D705FAA">
      <w:pPr>
        <w:pStyle w:val="ParaNum"/>
      </w:pPr>
      <w:r>
        <w:t>ACCORDINGLY, IT IS ORDERED that pursuant to the authority in sections 1-4 and 254 of the Communications Act of 1934, as amended, 47 U.S.C. §§ 151-154 and 254, and pursuant to sections 0.91, 0.291, and 1.3 of the Commission’s rules, 47 CFR §§ 0.91, 0.291, and 1.3, that section</w:t>
      </w:r>
      <w:r w:rsidR="00E03D7C">
        <w:t>s</w:t>
      </w:r>
      <w:r>
        <w:t xml:space="preserve"> 54.605(a)</w:t>
      </w:r>
      <w:r w:rsidR="00A71D3A">
        <w:t xml:space="preserve"> and 54.</w:t>
      </w:r>
      <w:r w:rsidR="00E03D7C">
        <w:t>622</w:t>
      </w:r>
      <w:r>
        <w:t xml:space="preserve"> of the Commission’s rules, 47 CFR </w:t>
      </w:r>
      <w:r w:rsidR="00D80518">
        <w:t>§</w:t>
      </w:r>
      <w:r>
        <w:t xml:space="preserve">§ 54.605(a) </w:t>
      </w:r>
      <w:r w:rsidR="00D80518">
        <w:t>and 54.622</w:t>
      </w:r>
      <w:r>
        <w:t xml:space="preserve"> </w:t>
      </w:r>
      <w:r w:rsidR="00D80518">
        <w:t xml:space="preserve">ARE </w:t>
      </w:r>
      <w:r>
        <w:t>WAIVED to the extent provided herein.</w:t>
      </w:r>
    </w:p>
    <w:p w:rsidR="00047101" w:rsidP="00047101" w14:paraId="686911F9" w14:textId="16214683">
      <w:pPr>
        <w:pStyle w:val="ParaNum"/>
      </w:pPr>
      <w:r>
        <w:t xml:space="preserve">IT IS FURTHER ORDERED that, pursuant to section 1.102(b)(1) of the Commission’s rules, 47 CFR § 1.102(b)(1), this order SHALL BE EFFECTIVE </w:t>
      </w:r>
      <w:r w:rsidR="00A80B20">
        <w:t>upon release</w:t>
      </w:r>
      <w:r>
        <w:t>.</w:t>
      </w:r>
    </w:p>
    <w:p w:rsidR="005E0396" w:rsidP="00047101" w14:paraId="4EFE84E6" w14:textId="77777777">
      <w:r>
        <w:tab/>
      </w:r>
      <w:r>
        <w:tab/>
      </w:r>
      <w:r>
        <w:tab/>
      </w:r>
      <w:r>
        <w:tab/>
      </w:r>
      <w:r>
        <w:tab/>
      </w:r>
      <w:r>
        <w:tab/>
      </w:r>
    </w:p>
    <w:p w:rsidR="00047101" w:rsidP="00DF71B8" w14:paraId="21E35FEA" w14:textId="2F078823">
      <w:pPr>
        <w:ind w:left="3600" w:firstLine="720"/>
      </w:pPr>
      <w:r>
        <w:t>FEDERAL COMMUNICATIONS COMMISSION</w:t>
      </w:r>
    </w:p>
    <w:p w:rsidR="00047101" w:rsidP="00047101" w14:paraId="2AE36169" w14:textId="77777777"/>
    <w:p w:rsidR="00047101" w:rsidP="00047101" w14:paraId="701CC4F8" w14:textId="77777777"/>
    <w:p w:rsidR="00047101" w:rsidP="00047101" w14:paraId="1ABD5768" w14:textId="77777777"/>
    <w:p w:rsidR="00047101" w:rsidP="00047101" w14:paraId="6CCEE740" w14:textId="77777777"/>
    <w:p w:rsidR="00047101" w:rsidP="00047101" w14:paraId="588A8479" w14:textId="77777777">
      <w:pPr>
        <w:pStyle w:val="ParaNum"/>
        <w:numPr>
          <w:ilvl w:val="0"/>
          <w:numId w:val="0"/>
        </w:numPr>
        <w:spacing w:after="0"/>
        <w:ind w:left="3600" w:firstLine="720"/>
      </w:pPr>
      <w:r>
        <w:t>Kris Anne Monteith</w:t>
      </w:r>
    </w:p>
    <w:p w:rsidR="00047101" w:rsidP="00047101" w14:paraId="55090A78" w14:textId="77777777">
      <w:pPr>
        <w:pStyle w:val="ParaNum"/>
        <w:numPr>
          <w:ilvl w:val="0"/>
          <w:numId w:val="0"/>
        </w:numPr>
        <w:spacing w:after="0"/>
        <w:ind w:left="3600" w:firstLine="720"/>
      </w:pPr>
      <w:r>
        <w:t>Chief</w:t>
      </w:r>
    </w:p>
    <w:p w:rsidR="001C6FC0" w:rsidRPr="001C6FC0" w:rsidP="00047101" w14:paraId="56C0D538" w14:textId="56E388BD">
      <w:pPr>
        <w:pStyle w:val="ParaNum"/>
        <w:numPr>
          <w:ilvl w:val="0"/>
          <w:numId w:val="0"/>
        </w:numPr>
        <w:ind w:left="3600" w:firstLine="720"/>
      </w:pPr>
      <w: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FF465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C39CE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D2F97" w14:paraId="040B40F3" w14:textId="6985BE4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51E2CD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6DE9" w14:paraId="5FD5A1C3" w14:textId="77777777">
      <w:r>
        <w:separator/>
      </w:r>
    </w:p>
  </w:footnote>
  <w:footnote w:type="continuationSeparator" w:id="1">
    <w:p w:rsidR="00C16DE9" w:rsidP="00C721AC" w14:paraId="521AA530" w14:textId="77777777">
      <w:pPr>
        <w:spacing w:before="120"/>
        <w:rPr>
          <w:sz w:val="20"/>
        </w:rPr>
      </w:pPr>
      <w:r>
        <w:rPr>
          <w:sz w:val="20"/>
        </w:rPr>
        <w:t xml:space="preserve">(Continued from previous page)  </w:t>
      </w:r>
      <w:r>
        <w:rPr>
          <w:sz w:val="20"/>
        </w:rPr>
        <w:separator/>
      </w:r>
    </w:p>
  </w:footnote>
  <w:footnote w:type="continuationNotice" w:id="2">
    <w:p w:rsidR="00C16DE9" w:rsidP="00C721AC" w14:paraId="280BC97C" w14:textId="77777777">
      <w:pPr>
        <w:jc w:val="right"/>
        <w:rPr>
          <w:sz w:val="20"/>
        </w:rPr>
      </w:pPr>
      <w:r>
        <w:rPr>
          <w:sz w:val="20"/>
        </w:rPr>
        <w:t>(continued….)</w:t>
      </w:r>
    </w:p>
  </w:footnote>
  <w:footnote w:id="3">
    <w:p w:rsidR="00761E68" w:rsidP="00761E68" w14:paraId="5561C2BC" w14:textId="49BBE300">
      <w:pPr>
        <w:pStyle w:val="FootnoteText"/>
      </w:pPr>
      <w:r>
        <w:rPr>
          <w:rStyle w:val="FootnoteReference"/>
        </w:rPr>
        <w:footnoteRef/>
      </w:r>
      <w:r>
        <w:t xml:space="preserve"> </w:t>
      </w:r>
      <w:r>
        <w:rPr>
          <w:i/>
          <w:iCs/>
        </w:rPr>
        <w:t>See Promoting Telehealth in Rural America</w:t>
      </w:r>
      <w:r>
        <w:t>, WC Docket No. 17-310, Report and Order, 34 FCC Rcd 7335 (2019) (</w:t>
      </w:r>
      <w:r>
        <w:rPr>
          <w:i/>
          <w:iCs/>
        </w:rPr>
        <w:t>Promoting Telehealth Report and Order</w:t>
      </w:r>
      <w:r w:rsidRPr="00FE2291">
        <w:t>)</w:t>
      </w:r>
      <w:r w:rsidRPr="0056232E">
        <w:t>.</w:t>
      </w:r>
    </w:p>
  </w:footnote>
  <w:footnote w:id="4">
    <w:p w:rsidR="00B02947" w14:paraId="312BE355" w14:textId="3EE3860B">
      <w:pPr>
        <w:pStyle w:val="FootnoteText"/>
      </w:pPr>
      <w:r>
        <w:rPr>
          <w:rStyle w:val="FootnoteReference"/>
        </w:rPr>
        <w:footnoteRef/>
      </w:r>
      <w:r>
        <w:t xml:space="preserve"> </w:t>
      </w:r>
      <w:r w:rsidRPr="00A5756F" w:rsidR="00A5756F">
        <w:rPr>
          <w:i/>
          <w:iCs/>
        </w:rPr>
        <w:t>See, e.g.</w:t>
      </w:r>
      <w:r w:rsidR="00A5756F">
        <w:t>, Alaska Communications</w:t>
      </w:r>
      <w:r w:rsidRPr="008E6467" w:rsidR="00A5756F">
        <w:t xml:space="preserve"> Petition </w:t>
      </w:r>
      <w:r w:rsidR="00A5756F">
        <w:t>for Reconsideration, WC Docket No. 17-310</w:t>
      </w:r>
      <w:r w:rsidR="00AB18D8">
        <w:t xml:space="preserve"> </w:t>
      </w:r>
      <w:r w:rsidR="00A5756F">
        <w:t>(filed Nov. 12, 2019)</w:t>
      </w:r>
      <w:r w:rsidR="00AB18D8">
        <w:t xml:space="preserve"> (Alaska Communications</w:t>
      </w:r>
      <w:r w:rsidRPr="008E6467" w:rsidR="00AB18D8">
        <w:t xml:space="preserve"> </w:t>
      </w:r>
      <w:r w:rsidR="00AB18D8">
        <w:t>Petition)</w:t>
      </w:r>
      <w:r w:rsidR="00A5756F">
        <w:t>; State of Alaska, Office of the Governor Petition for Reconsideration, WC Docket No. 17-310</w:t>
      </w:r>
      <w:r w:rsidR="00AB18D8">
        <w:t xml:space="preserve"> </w:t>
      </w:r>
      <w:r w:rsidR="00A5756F">
        <w:t>(filed Nov. 12, 2019) (Alaskan Governor Petition).</w:t>
      </w:r>
    </w:p>
  </w:footnote>
  <w:footnote w:id="5">
    <w:p w:rsidR="004952D8" w:rsidRPr="005457EE" w14:paraId="034EFF1B" w14:textId="2047FC12">
      <w:pPr>
        <w:pStyle w:val="FootnoteText"/>
        <w:rPr>
          <w:u w:val="single"/>
        </w:rPr>
      </w:pPr>
      <w:r>
        <w:rPr>
          <w:rStyle w:val="FootnoteReference"/>
        </w:rPr>
        <w:footnoteRef/>
      </w:r>
      <w:r>
        <w:t xml:space="preserve"> </w:t>
      </w:r>
      <w:r>
        <w:rPr>
          <w:i/>
          <w:iCs/>
        </w:rPr>
        <w:t xml:space="preserve">See </w:t>
      </w:r>
      <w:r>
        <w:t xml:space="preserve">47 CFR § </w:t>
      </w:r>
      <w:r w:rsidR="002A65E8">
        <w:t>54.60</w:t>
      </w:r>
      <w:r w:rsidR="00543576">
        <w:t>5(a) (</w:t>
      </w:r>
      <w:r w:rsidR="00C36939">
        <w:t xml:space="preserve">requiring an applicant to </w:t>
      </w:r>
      <w:r w:rsidR="00617FD8">
        <w:t>use the lower of the applicable rural rate available in the Rates Database or the rural rate</w:t>
      </w:r>
      <w:r w:rsidR="00F433BD">
        <w:t xml:space="preserve"> included in the service agreement that the health care provider</w:t>
      </w:r>
      <w:r w:rsidR="00AA5F11">
        <w:t xml:space="preserve"> </w:t>
      </w:r>
      <w:r w:rsidR="00AA5F11">
        <w:t>enters into</w:t>
      </w:r>
      <w:r w:rsidR="00AA5F11">
        <w:t xml:space="preserve"> with the service </w:t>
      </w:r>
      <w:r w:rsidR="008A12EB">
        <w:t>provided when requesting funding).</w:t>
      </w:r>
      <w:r w:rsidR="00793BCB">
        <w:t xml:space="preserve">  </w:t>
      </w:r>
    </w:p>
  </w:footnote>
  <w:footnote w:id="6">
    <w:p w:rsidR="00E305DF" w:rsidRPr="008E6467" w:rsidP="00E305DF" w14:paraId="58CE1302" w14:textId="0FBA7FDE">
      <w:pPr>
        <w:pStyle w:val="FootnoteText"/>
      </w:pPr>
      <w:r w:rsidRPr="008E6467">
        <w:rPr>
          <w:rStyle w:val="FootnoteReference"/>
        </w:rPr>
        <w:footnoteRef/>
      </w:r>
      <w:r w:rsidRPr="008E6467">
        <w:t xml:space="preserve"> </w:t>
      </w:r>
      <w:r w:rsidRPr="008E6467">
        <w:rPr>
          <w:i/>
          <w:iCs/>
        </w:rPr>
        <w:t xml:space="preserve">See </w:t>
      </w:r>
      <w:r w:rsidRPr="008E6467">
        <w:t xml:space="preserve">47 U.S.C. § 254(h)(1)(A); </w:t>
      </w:r>
      <w:r w:rsidRPr="008E6467">
        <w:rPr>
          <w:i/>
          <w:iCs/>
        </w:rPr>
        <w:t>Federal-State Joint Board on Universal Service</w:t>
      </w:r>
      <w:r w:rsidRPr="008E6467">
        <w:t>, CC Docket No. 96</w:t>
      </w:r>
      <w:r>
        <w:t>-</w:t>
      </w:r>
      <w:r w:rsidRPr="008E6467">
        <w:t>45, Report and Order, 12 FCC Rcd 8776, 9093-161, paras. 608-749 (1997)</w:t>
      </w:r>
      <w:r w:rsidR="005E24F8">
        <w:t xml:space="preserve"> (</w:t>
      </w:r>
      <w:r w:rsidRPr="00046E09" w:rsidR="005E24F8">
        <w:rPr>
          <w:i/>
        </w:rPr>
        <w:t>Universal Service First Report and Order</w:t>
      </w:r>
      <w:r w:rsidRPr="00120425" w:rsidR="00377C58">
        <w:rPr>
          <w:iCs/>
        </w:rPr>
        <w:t>)</w:t>
      </w:r>
      <w:r w:rsidRPr="008E6467">
        <w:t>.</w:t>
      </w:r>
    </w:p>
  </w:footnote>
  <w:footnote w:id="7">
    <w:p w:rsidR="00E305DF" w:rsidRPr="008E6467" w:rsidP="00E305DF" w14:paraId="6CC60C54" w14:textId="3AE11394">
      <w:pPr>
        <w:pStyle w:val="FootnoteText"/>
      </w:pPr>
      <w:r w:rsidRPr="008E6467">
        <w:rPr>
          <w:rStyle w:val="FootnoteReference"/>
        </w:rPr>
        <w:footnoteRef/>
      </w:r>
      <w:r w:rsidRPr="008E6467">
        <w:t xml:space="preserve"> </w:t>
      </w:r>
      <w:r w:rsidRPr="008E6467">
        <w:rPr>
          <w:i/>
          <w:iCs/>
        </w:rPr>
        <w:t xml:space="preserve">See </w:t>
      </w:r>
      <w:r w:rsidRPr="008E6467">
        <w:t xml:space="preserve">47 U.S.C. § 254(h)(2)(A); 47 CFR </w:t>
      </w:r>
      <w:r w:rsidR="00462DC8">
        <w:t>§</w:t>
      </w:r>
      <w:r w:rsidRPr="008E6467">
        <w:t>§ 54.6</w:t>
      </w:r>
      <w:r>
        <w:t>11</w:t>
      </w:r>
      <w:r w:rsidR="00462DC8">
        <w:t>, 54.612</w:t>
      </w:r>
      <w:r w:rsidRPr="008E6467">
        <w:t xml:space="preserve">; </w:t>
      </w:r>
      <w:r w:rsidRPr="008E6467" w:rsidR="00906725">
        <w:rPr>
          <w:i/>
          <w:iCs/>
        </w:rPr>
        <w:t>Rural Health Care Support Mechanism</w:t>
      </w:r>
      <w:r w:rsidRPr="008E6467" w:rsidR="00906725">
        <w:t>, WC Docket No. 02-60, Report and Order, 27 FCC Rcd 16678, 16680-81, paras. 1-3 (2012) (</w:t>
      </w:r>
      <w:r w:rsidRPr="008E6467" w:rsidR="00906725">
        <w:rPr>
          <w:i/>
          <w:iCs/>
        </w:rPr>
        <w:t>Healthcare Connect Fund Order</w:t>
      </w:r>
      <w:r w:rsidRPr="008E6467" w:rsidR="00906725">
        <w:t>)</w:t>
      </w:r>
      <w:r w:rsidRPr="008E6467">
        <w:t>.</w:t>
      </w:r>
    </w:p>
  </w:footnote>
  <w:footnote w:id="8">
    <w:p w:rsidR="00EF0E72" w14:paraId="314C15D6" w14:textId="58EEC6EF">
      <w:pPr>
        <w:pStyle w:val="FootnoteText"/>
      </w:pPr>
      <w:r>
        <w:rPr>
          <w:rStyle w:val="FootnoteReference"/>
        </w:rPr>
        <w:footnoteRef/>
      </w:r>
      <w:r>
        <w:t xml:space="preserve"> </w:t>
      </w:r>
      <w:r>
        <w:rPr>
          <w:i/>
          <w:iCs/>
        </w:rPr>
        <w:t xml:space="preserve">See </w:t>
      </w:r>
      <w:r>
        <w:t xml:space="preserve">47 CFR § 54.607 (2019).  All references herein to section 54.607 refer to this version of the rule and its subparts as set forth in the Commission’s rules prior to the effective date of the Rural Health Care Program reforms adopted in 2019.  Except as otherwise provided in this Order, section 54.607 remains in effect through the end of Funding Year 2020.  </w:t>
      </w:r>
      <w:r>
        <w:rPr>
          <w:i/>
          <w:iCs/>
        </w:rPr>
        <w:t>See Wireline Competition Bureau Provides Guidance on the Implementation Schedule for Reforms Adopted by the Rural Health Care Program Promoting Telehealth Report and Order</w:t>
      </w:r>
      <w:r>
        <w:t>, WC Docket No. 17-310, Public Notice, 34 FCC Rcd 11983, 11985 (WCB 2019) (</w:t>
      </w:r>
      <w:r>
        <w:rPr>
          <w:i/>
          <w:iCs/>
        </w:rPr>
        <w:t>Promoting Telehealth Implementation Public Notice</w:t>
      </w:r>
      <w:r w:rsidRPr="00EF0E72">
        <w:t xml:space="preserve">) </w:t>
      </w:r>
      <w:r>
        <w:t>(announcing the effective date of section 54.605(a), which replaces section 54.607 as the means for determining rural rates, at the beginning of the funding year 2021 competitive bidding period).</w:t>
      </w:r>
    </w:p>
  </w:footnote>
  <w:footnote w:id="9">
    <w:p w:rsidR="00A44CF5" w:rsidP="00A44CF5" w14:paraId="0AF74B5F" w14:textId="1784A8E8">
      <w:pPr>
        <w:pStyle w:val="FootnoteText"/>
      </w:pPr>
      <w:r>
        <w:rPr>
          <w:rStyle w:val="FootnoteReference"/>
        </w:rPr>
        <w:footnoteRef/>
      </w:r>
      <w:r>
        <w:t xml:space="preserve"> For the purposes of </w:t>
      </w:r>
      <w:r w:rsidR="00B4475C">
        <w:t>s</w:t>
      </w:r>
      <w:r>
        <w:t>ection 254 of the Communications Act, a</w:t>
      </w:r>
      <w:r w:rsidRPr="00206A46">
        <w:t xml:space="preserve"> “rate” </w:t>
      </w:r>
      <w:r>
        <w:t>is</w:t>
      </w:r>
      <w:r w:rsidRPr="003E4B27">
        <w:t xml:space="preserve"> a single rate for</w:t>
      </w:r>
      <w:r>
        <w:t xml:space="preserve"> a</w:t>
      </w:r>
      <w:r w:rsidRPr="003E4B27">
        <w:t xml:space="preserve"> complete end-to-end service</w:t>
      </w:r>
      <w:r>
        <w:t>, and not rates for components of a service</w:t>
      </w:r>
      <w:r w:rsidRPr="003E4B27">
        <w:t xml:space="preserve">. </w:t>
      </w:r>
      <w:r w:rsidRPr="00206A46">
        <w:t xml:space="preserve"> </w:t>
      </w:r>
      <w:r w:rsidRPr="006F3BC7">
        <w:rPr>
          <w:i/>
        </w:rPr>
        <w:t xml:space="preserve">See </w:t>
      </w:r>
      <w:r w:rsidRPr="00046E09">
        <w:rPr>
          <w:i/>
        </w:rPr>
        <w:t>Universal Service First Report and Order</w:t>
      </w:r>
      <w:r w:rsidRPr="003E4B27">
        <w:t>, 12 FCC Rcd at 9128, paras. 674-75.</w:t>
      </w:r>
    </w:p>
  </w:footnote>
  <w:footnote w:id="10">
    <w:p w:rsidR="00A44CF5" w:rsidRPr="00951132" w:rsidP="00A44CF5" w14:paraId="4C1320FA" w14:textId="7EDAA99A">
      <w:pPr>
        <w:pStyle w:val="FootnoteText"/>
      </w:pPr>
      <w:r w:rsidRPr="00951132">
        <w:rPr>
          <w:rStyle w:val="FootnoteReference"/>
        </w:rPr>
        <w:footnoteRef/>
      </w:r>
      <w:r w:rsidRPr="00951132">
        <w:t xml:space="preserve"> 47 CFR § 54.607(a), (b)</w:t>
      </w:r>
      <w:r w:rsidR="00D74B39">
        <w:t xml:space="preserve"> (2019)</w:t>
      </w:r>
      <w:r w:rsidRPr="00951132">
        <w:t>.</w:t>
      </w:r>
    </w:p>
  </w:footnote>
  <w:footnote w:id="11">
    <w:p w:rsidR="00A44CF5" w:rsidRPr="00951132" w:rsidP="00A44CF5" w14:paraId="14E4E9C5" w14:textId="6DF0E29D">
      <w:pPr>
        <w:pStyle w:val="FootnoteText"/>
      </w:pPr>
      <w:r w:rsidRPr="00951132">
        <w:rPr>
          <w:rStyle w:val="FootnoteReference"/>
        </w:rPr>
        <w:footnoteRef/>
      </w:r>
      <w:r w:rsidRPr="00951132">
        <w:t xml:space="preserve"> 47 CFR § 54.607(b)(1)</w:t>
      </w:r>
      <w:r w:rsidR="00D74B39">
        <w:t xml:space="preserve"> (2019)</w:t>
      </w:r>
      <w:r w:rsidRPr="00951132">
        <w:t xml:space="preserve">. </w:t>
      </w:r>
    </w:p>
  </w:footnote>
  <w:footnote w:id="12">
    <w:p w:rsidR="0056232E" w14:paraId="79D04037" w14:textId="36429FEC">
      <w:pPr>
        <w:pStyle w:val="FootnoteText"/>
      </w:pPr>
      <w:r>
        <w:rPr>
          <w:rStyle w:val="FootnoteReference"/>
        </w:rPr>
        <w:footnoteRef/>
      </w:r>
      <w:r>
        <w:t xml:space="preserve"> </w:t>
      </w:r>
      <w:r w:rsidRPr="0056232E">
        <w:rPr>
          <w:i/>
          <w:iCs/>
        </w:rPr>
        <w:t>Promoting Telehealth Report and Order</w:t>
      </w:r>
      <w:r w:rsidRPr="0056232E">
        <w:t>, 34 FCC Rcd at 7372-73, para. 78.</w:t>
      </w:r>
    </w:p>
  </w:footnote>
  <w:footnote w:id="13">
    <w:p w:rsidR="001705C5" w14:paraId="295D16C4" w14:textId="66D78BF5">
      <w:pPr>
        <w:pStyle w:val="FootnoteText"/>
      </w:pPr>
      <w:r>
        <w:rPr>
          <w:rStyle w:val="FootnoteReference"/>
        </w:rPr>
        <w:footnoteRef/>
      </w:r>
      <w:r>
        <w:t xml:space="preserve"> </w:t>
      </w:r>
      <w:r w:rsidRPr="008E6467" w:rsidR="008A33E8">
        <w:rPr>
          <w:i/>
        </w:rPr>
        <w:t>See</w:t>
      </w:r>
      <w:r w:rsidRPr="008E6467" w:rsidR="008A33E8">
        <w:t xml:space="preserve"> </w:t>
      </w:r>
      <w:r w:rsidR="00033DB1">
        <w:rPr>
          <w:i/>
        </w:rPr>
        <w:t>id.</w:t>
      </w:r>
      <w:r w:rsidR="008A33E8">
        <w:t>;</w:t>
      </w:r>
      <w:r>
        <w:t xml:space="preserve"> </w:t>
      </w:r>
      <w:r w:rsidR="00262676">
        <w:t>47 CFR §§ 54.</w:t>
      </w:r>
      <w:r w:rsidR="002F64B5">
        <w:t>604</w:t>
      </w:r>
      <w:r w:rsidR="00F63CD0">
        <w:t xml:space="preserve">(b) (urban rate database); </w:t>
      </w:r>
      <w:r w:rsidR="0096312E">
        <w:t>54.</w:t>
      </w:r>
      <w:r w:rsidR="00D2350A">
        <w:t>605(b) (rural rate database).</w:t>
      </w:r>
    </w:p>
  </w:footnote>
  <w:footnote w:id="14">
    <w:p w:rsidR="006D58B3" w14:paraId="3AB3E77F" w14:textId="0992D598">
      <w:pPr>
        <w:pStyle w:val="FootnoteText"/>
      </w:pPr>
      <w:r>
        <w:rPr>
          <w:rStyle w:val="FootnoteReference"/>
        </w:rPr>
        <w:footnoteRef/>
      </w:r>
      <w:r w:rsidR="008A33E8">
        <w:t xml:space="preserve"> </w:t>
      </w:r>
      <w:r w:rsidR="0002159B">
        <w:t>47 CFR § 54.</w:t>
      </w:r>
      <w:r w:rsidR="00BC2D66">
        <w:t>604(a).</w:t>
      </w:r>
    </w:p>
  </w:footnote>
  <w:footnote w:id="15">
    <w:p w:rsidR="00E305DF" w:rsidRPr="008E6467" w:rsidP="00E305DF" w14:paraId="50DCDC8F" w14:textId="2E9C4AA1">
      <w:pPr>
        <w:pStyle w:val="FootnoteText"/>
      </w:pPr>
      <w:r w:rsidRPr="008E6467">
        <w:rPr>
          <w:rStyle w:val="FootnoteReference"/>
        </w:rPr>
        <w:footnoteRef/>
      </w:r>
      <w:r w:rsidRPr="008E6467">
        <w:t xml:space="preserve"> 47 CFR § 54.605(</w:t>
      </w:r>
      <w:r>
        <w:t>a</w:t>
      </w:r>
      <w:r w:rsidRPr="008E6467">
        <w:t xml:space="preserve">).  </w:t>
      </w:r>
    </w:p>
  </w:footnote>
  <w:footnote w:id="16">
    <w:p w:rsidR="00AB18D8" w:rsidP="00AB18D8" w14:paraId="1D51567E" w14:textId="77777777">
      <w:pPr>
        <w:pStyle w:val="FootnoteText"/>
      </w:pPr>
      <w:r>
        <w:rPr>
          <w:rStyle w:val="FootnoteReference"/>
        </w:rPr>
        <w:footnoteRef/>
      </w:r>
      <w:r>
        <w:t xml:space="preserve"> </w:t>
      </w:r>
      <w:r w:rsidRPr="008E6467">
        <w:t xml:space="preserve">Under the Commission’s rules, the rurality tiers </w:t>
      </w:r>
      <w:r>
        <w:t>in Alaska</w:t>
      </w:r>
      <w:r w:rsidRPr="008E6467">
        <w:t xml:space="preserve"> are defined as Less Rural, Rural, Extremely Rural, and Frontier.  Less Rural areas are those that contain an urban area with a population of 25,000 or greater but are within a specific census tract that itself does not contain any part of a Place or Urban Area with a population of greater than 25,000.  Rural areas are those that are within a Core Based Statistical Area that does not have an Urban Area with a population of 25,000 or greater.  Extremely Rural areas are those that are entirely outside of a Core Based Statistical Area.  Frontier areas </w:t>
      </w:r>
      <w:r w:rsidRPr="008E6467">
        <w:t>are located in</w:t>
      </w:r>
      <w:r w:rsidRPr="008E6467">
        <w:t xml:space="preserve"> Alaska only, in areas outside of a Core Based Statistical Area that are inaccessible by road as determined by the Alaska Department of Commerce, Community, and Economic Development, Division of Community and Regional Affairs.  47 CFR § 54.605(a)(1)-(</w:t>
      </w:r>
      <w:r>
        <w:t>4</w:t>
      </w:r>
      <w:r w:rsidRPr="008E6467">
        <w:t>).</w:t>
      </w:r>
    </w:p>
  </w:footnote>
  <w:footnote w:id="17">
    <w:p w:rsidR="00AB18D8" w14:paraId="31085E1A" w14:textId="6B28A21F">
      <w:pPr>
        <w:pStyle w:val="FootnoteText"/>
      </w:pPr>
      <w:r>
        <w:rPr>
          <w:rStyle w:val="FootnoteReference"/>
        </w:rPr>
        <w:footnoteRef/>
      </w:r>
      <w:r>
        <w:t xml:space="preserve"> </w:t>
      </w:r>
      <w:r>
        <w:rPr>
          <w:i/>
          <w:iCs/>
        </w:rPr>
        <w:t>Promoting Telehealth Report and Order</w:t>
      </w:r>
      <w:r>
        <w:t xml:space="preserve">, 34 FCC Rcd at 7345, para. 18.  </w:t>
      </w:r>
    </w:p>
  </w:footnote>
  <w:footnote w:id="18">
    <w:p w:rsidR="00AB18D8" w14:paraId="2B9BA35B" w14:textId="6F4169AA">
      <w:pPr>
        <w:pStyle w:val="FootnoteText"/>
      </w:pPr>
      <w:r>
        <w:rPr>
          <w:rStyle w:val="FootnoteReference"/>
        </w:rPr>
        <w:footnoteRef/>
      </w:r>
      <w:r>
        <w:t xml:space="preserve"> 47 CFR § 54.605(a).</w:t>
      </w:r>
    </w:p>
  </w:footnote>
  <w:footnote w:id="19">
    <w:p w:rsidR="00AB18D8" w14:paraId="7538D827" w14:textId="2AC043E1">
      <w:pPr>
        <w:pStyle w:val="FootnoteText"/>
      </w:pPr>
      <w:r>
        <w:rPr>
          <w:rStyle w:val="FootnoteReference"/>
        </w:rPr>
        <w:footnoteRef/>
      </w:r>
      <w:r>
        <w:t xml:space="preserve"> </w:t>
      </w:r>
      <w:r w:rsidRPr="00A5756F">
        <w:rPr>
          <w:i/>
          <w:iCs/>
        </w:rPr>
        <w:t>See, e.g.</w:t>
      </w:r>
      <w:r>
        <w:t>, Alaska Communications</w:t>
      </w:r>
      <w:r w:rsidRPr="008E6467">
        <w:t xml:space="preserve"> </w:t>
      </w:r>
      <w:r>
        <w:t xml:space="preserve">Petition </w:t>
      </w:r>
      <w:r w:rsidRPr="008E6467">
        <w:t>at 4</w:t>
      </w:r>
      <w:r>
        <w:t xml:space="preserve"> (raising concerns that the Rates Database did not provide sufficient funding for the most remote health care providers in Alaska); Alaskan Governor Petition at 4-5 (noting geographic challenges to serving Alaska health care providers related to resources and infrastructure).</w:t>
      </w:r>
    </w:p>
  </w:footnote>
  <w:footnote w:id="20">
    <w:p w:rsidR="00CF11C9" w:rsidRPr="00CF11C9" w14:paraId="6D8BE79D" w14:textId="0FF1410B">
      <w:pPr>
        <w:pStyle w:val="FootnoteText"/>
        <w:rPr>
          <w:i/>
          <w:iCs/>
        </w:rPr>
      </w:pPr>
      <w:r>
        <w:rPr>
          <w:rStyle w:val="FootnoteReference"/>
        </w:rPr>
        <w:footnoteRef/>
      </w:r>
      <w:r>
        <w:t xml:space="preserve"> </w:t>
      </w:r>
      <w:r>
        <w:rPr>
          <w:i/>
          <w:iCs/>
        </w:rPr>
        <w:t xml:space="preserve">See </w:t>
      </w:r>
      <w:r w:rsidR="002C57F7">
        <w:rPr>
          <w:i/>
          <w:iCs/>
        </w:rPr>
        <w:t xml:space="preserve">Promoting Telehealth </w:t>
      </w:r>
      <w:r w:rsidR="006468B3">
        <w:rPr>
          <w:i/>
          <w:iCs/>
        </w:rPr>
        <w:t>Implementation</w:t>
      </w:r>
      <w:r>
        <w:rPr>
          <w:i/>
          <w:iCs/>
        </w:rPr>
        <w:t xml:space="preserve"> </w:t>
      </w:r>
      <w:r w:rsidR="00836674">
        <w:rPr>
          <w:i/>
          <w:iCs/>
        </w:rPr>
        <w:t>P</w:t>
      </w:r>
      <w:r w:rsidR="00761E68">
        <w:rPr>
          <w:i/>
          <w:iCs/>
        </w:rPr>
        <w:t xml:space="preserve">ublic </w:t>
      </w:r>
      <w:r w:rsidR="00836674">
        <w:rPr>
          <w:i/>
          <w:iCs/>
        </w:rPr>
        <w:t>N</w:t>
      </w:r>
      <w:r w:rsidR="00761E68">
        <w:rPr>
          <w:i/>
          <w:iCs/>
        </w:rPr>
        <w:t>otice</w:t>
      </w:r>
      <w:r w:rsidR="00021E59">
        <w:t xml:space="preserve">, </w:t>
      </w:r>
      <w:r w:rsidR="00A4504F">
        <w:t xml:space="preserve">34 FCC Rcd at </w:t>
      </w:r>
      <w:r w:rsidR="00ED026E">
        <w:t>11985</w:t>
      </w:r>
      <w:r w:rsidR="00990487">
        <w:rPr>
          <w:i/>
          <w:iCs/>
        </w:rPr>
        <w:t>.</w:t>
      </w:r>
    </w:p>
  </w:footnote>
  <w:footnote w:id="21">
    <w:p w:rsidR="00F91221" w:rsidP="00F91221" w14:paraId="7477D8F9" w14:textId="60224D01">
      <w:pPr>
        <w:pStyle w:val="FootnoteText"/>
      </w:pPr>
      <w:r>
        <w:rPr>
          <w:rStyle w:val="FootnoteReference"/>
        </w:rPr>
        <w:footnoteRef/>
      </w:r>
      <w:r>
        <w:t xml:space="preserve"> 47 CFR § 1.3.</w:t>
      </w:r>
    </w:p>
  </w:footnote>
  <w:footnote w:id="22">
    <w:p w:rsidR="00F91221" w:rsidP="00F91221" w14:paraId="34CBC524" w14:textId="77777777">
      <w:pPr>
        <w:pStyle w:val="FootnoteText"/>
      </w:pPr>
      <w:r>
        <w:rPr>
          <w:rStyle w:val="FootnoteReference"/>
        </w:rPr>
        <w:footnoteRef/>
      </w:r>
      <w:r>
        <w:t xml:space="preserve"> </w:t>
      </w:r>
      <w:r>
        <w:rPr>
          <w:i/>
        </w:rPr>
        <w:t>Northeast Cellular Telephone Co. v. FCC</w:t>
      </w:r>
      <w:r>
        <w:t xml:space="preserve">, 897 </w:t>
      </w:r>
      <w:r>
        <w:t>F.2d</w:t>
      </w:r>
      <w:r>
        <w:t xml:space="preserve"> 1164, 1166 (D.C. Cir. 1990) (</w:t>
      </w:r>
      <w:r>
        <w:rPr>
          <w:i/>
        </w:rPr>
        <w:t>Northeast Cellular</w:t>
      </w:r>
      <w:r>
        <w:t xml:space="preserve">). </w:t>
      </w:r>
    </w:p>
  </w:footnote>
  <w:footnote w:id="23">
    <w:p w:rsidR="00F91221" w:rsidP="00F91221" w14:paraId="0856B326" w14:textId="77777777">
      <w:pPr>
        <w:pStyle w:val="FootnoteText"/>
      </w:pPr>
      <w:r>
        <w:rPr>
          <w:rStyle w:val="FootnoteReference"/>
        </w:rPr>
        <w:footnoteRef/>
      </w:r>
      <w:r>
        <w:t xml:space="preserve"> </w:t>
      </w:r>
      <w:r>
        <w:rPr>
          <w:i/>
        </w:rPr>
        <w:t>WAIT Radio v. FCC</w:t>
      </w:r>
      <w:r>
        <w:t xml:space="preserve">, 418 </w:t>
      </w:r>
      <w:r>
        <w:t>F.2d</w:t>
      </w:r>
      <w:r>
        <w:t xml:space="preserve"> 1153, 1159 (D.C. Cir. 1969); </w:t>
      </w:r>
      <w:r>
        <w:rPr>
          <w:i/>
        </w:rPr>
        <w:t>Northeast Cellular</w:t>
      </w:r>
      <w:r>
        <w:t xml:space="preserve">, 897 </w:t>
      </w:r>
      <w:r>
        <w:t>F.2d</w:t>
      </w:r>
      <w:r>
        <w:t xml:space="preserve"> at 1166.</w:t>
      </w:r>
    </w:p>
  </w:footnote>
  <w:footnote w:id="24">
    <w:p w:rsidR="00F91221" w:rsidP="00F91221" w14:paraId="01236DB5" w14:textId="77777777">
      <w:pPr>
        <w:pStyle w:val="FootnoteText"/>
      </w:pPr>
      <w:r>
        <w:rPr>
          <w:rStyle w:val="FootnoteReference"/>
        </w:rPr>
        <w:footnoteRef/>
      </w:r>
      <w:r>
        <w:t xml:space="preserve"> </w:t>
      </w:r>
      <w:r>
        <w:rPr>
          <w:i/>
        </w:rPr>
        <w:t>Northeast Cellular</w:t>
      </w:r>
      <w:r>
        <w:t xml:space="preserve">, 897 </w:t>
      </w:r>
      <w:r>
        <w:t>F.2d</w:t>
      </w:r>
      <w:r>
        <w:t xml:space="preserve"> at 1166.</w:t>
      </w:r>
    </w:p>
  </w:footnote>
  <w:footnote w:id="25">
    <w:p w:rsidR="00120425" w:rsidRPr="00E76737" w:rsidP="00120425" w14:paraId="5737929D" w14:textId="67B8EC48">
      <w:pPr>
        <w:pStyle w:val="FootnoteText"/>
        <w:rPr>
          <w:i/>
        </w:rPr>
      </w:pPr>
      <w:r w:rsidRPr="008E6467">
        <w:rPr>
          <w:rStyle w:val="FootnoteReference"/>
        </w:rPr>
        <w:footnoteRef/>
      </w:r>
      <w:r w:rsidRPr="008E6467">
        <w:t xml:space="preserve"> </w:t>
      </w:r>
      <w:r>
        <w:rPr>
          <w:i/>
          <w:iCs/>
        </w:rPr>
        <w:t>Promoting Telehealth Report and Order</w:t>
      </w:r>
      <w:r>
        <w:t>, 34 FCC Rcd</w:t>
      </w:r>
      <w:r w:rsidRPr="008E020B">
        <w:rPr>
          <w:i/>
          <w:iCs/>
        </w:rPr>
        <w:t xml:space="preserve"> </w:t>
      </w:r>
      <w:r w:rsidRPr="00DF71B8">
        <w:t>at 7351, para. 33;</w:t>
      </w:r>
      <w:r>
        <w:rPr>
          <w:i/>
          <w:iCs/>
        </w:rPr>
        <w:t xml:space="preserve"> see also</w:t>
      </w:r>
      <w:r>
        <w:t xml:space="preserve"> </w:t>
      </w:r>
      <w:r w:rsidRPr="00B45BC7">
        <w:rPr>
          <w:i/>
        </w:rPr>
        <w:t>Connect America Fund, et al.</w:t>
      </w:r>
      <w:r>
        <w:t xml:space="preserve">, WC Docket No. 10-90, et al., Report and Order and Further Notice of Proposed Rulemaking, 26 FCC Rcd 17663, 17717 </w:t>
      </w:r>
      <w:r>
        <w:t>n.220</w:t>
      </w:r>
      <w:r>
        <w:t xml:space="preserve"> (2011) (noting that the same characteristics, such as lack of density, that make it expensive to provide voice service make it expensive to provide broadband service as well); Federal Communications Commission, </w:t>
      </w:r>
      <w:r>
        <w:rPr>
          <w:i/>
          <w:iCs/>
        </w:rPr>
        <w:t>Connecting America: The National Broadband Plan</w:t>
      </w:r>
      <w:r w:rsidRPr="00AC3C5E">
        <w:t>, at 136 (rel. Mar. 1</w:t>
      </w:r>
      <w:r>
        <w:t>6</w:t>
      </w:r>
      <w:r w:rsidRPr="00AC3C5E">
        <w:t>, 2010)</w:t>
      </w:r>
      <w:r>
        <w:t xml:space="preserve">, </w:t>
      </w:r>
      <w:hyperlink r:id="rId1" w:history="1">
        <w:r w:rsidRPr="001830DF">
          <w:rPr>
            <w:rStyle w:val="Hyperlink"/>
          </w:rPr>
          <w:t>www.broadband.gov/download-plan</w:t>
        </w:r>
      </w:hyperlink>
      <w:r>
        <w:t xml:space="preserve"> (last visited Jan. 11, 2021)</w:t>
      </w:r>
      <w:r>
        <w:rPr>
          <w:i/>
        </w:rPr>
        <w:t xml:space="preserve"> </w:t>
      </w:r>
      <w:r>
        <w:t>(observing that “[b]</w:t>
      </w:r>
      <w:r>
        <w:t>ecause</w:t>
      </w:r>
      <w:r>
        <w:t xml:space="preserve"> service providers in these [areas with low population density] cannot earn enough revenue to cover the costs of deploying and operating broadband networks, including expected returns on capital, there is no business case to offer broadband services in these areas”).</w:t>
      </w:r>
    </w:p>
  </w:footnote>
  <w:footnote w:id="26">
    <w:p w:rsidR="00D060A0" w:rsidP="00D060A0" w14:paraId="122A2422" w14:textId="3C4D65FD">
      <w:pPr>
        <w:pStyle w:val="FootnoteText"/>
      </w:pPr>
      <w:r>
        <w:rPr>
          <w:rStyle w:val="FootnoteReference"/>
        </w:rPr>
        <w:footnoteRef/>
      </w:r>
      <w:r w:rsidR="000F4CDD">
        <w:t xml:space="preserve"> </w:t>
      </w:r>
      <w:r w:rsidR="000F4CDD">
        <w:rPr>
          <w:snapToGrid w:val="0"/>
        </w:rPr>
        <w:t xml:space="preserve">Most of Alaska is considered rural under the Commission’s rules except for those census tracts falling within the Anchorage and Fairbanks Urbanized Areas.  </w:t>
      </w:r>
      <w:r w:rsidR="000F4CDD">
        <w:rPr>
          <w:i/>
          <w:iCs/>
        </w:rPr>
        <w:t>See</w:t>
      </w:r>
      <w:r w:rsidR="000F4CDD">
        <w:t xml:space="preserve"> 47 CFR § 54.600(e); Census Bureau, </w:t>
      </w:r>
      <w:hyperlink r:id="rId2" w:history="1">
        <w:r w:rsidR="000F4CDD">
          <w:rPr>
            <w:rStyle w:val="Hyperlink"/>
          </w:rPr>
          <w:t>https://www2.census.gov/geo/maps/metroarea/stcbsa_pg/Feb2013/cbsa2013_AK.pdf</w:t>
        </w:r>
      </w:hyperlink>
      <w:r w:rsidR="000F4CDD">
        <w:t xml:space="preserve"> (last visited Jan. 13, 2021); Census Bureau, </w:t>
      </w:r>
      <w:hyperlink r:id="rId3" w:history="1">
        <w:r w:rsidR="000F4CDD">
          <w:rPr>
            <w:rStyle w:val="Hyperlink"/>
          </w:rPr>
          <w:t>https://www.census.gov/geographies/reference-files/time-series/demo/metro-micro/delineation-files.html</w:t>
        </w:r>
      </w:hyperlink>
      <w:r w:rsidR="000F4CDD">
        <w:t xml:space="preserve"> (Delineation Files, last visited Jan. 13, 2021).  </w:t>
      </w:r>
      <w:r w:rsidR="000F4CDD">
        <w:rPr>
          <w:snapToGrid w:val="0"/>
        </w:rPr>
        <w:t xml:space="preserve">For purposes of calculating rural rates, only those areas within the Juneau and Ketchikan </w:t>
      </w:r>
      <w:r w:rsidR="00F95B7F">
        <w:rPr>
          <w:snapToGrid w:val="0"/>
        </w:rPr>
        <w:t xml:space="preserve">Core Based Statistical Areas </w:t>
      </w:r>
      <w:r w:rsidR="000F4CDD">
        <w:rPr>
          <w:snapToGrid w:val="0"/>
        </w:rPr>
        <w:t xml:space="preserve">are considered within the “Rural” rate tier under the Telecom Program rules because they do not contain any Urban Area with a population of 25,000 or greater.  </w:t>
      </w:r>
      <w:r w:rsidR="000F4CDD">
        <w:rPr>
          <w:i/>
          <w:iCs/>
          <w:snapToGrid w:val="0"/>
        </w:rPr>
        <w:t>See</w:t>
      </w:r>
      <w:r w:rsidR="000F4CDD">
        <w:rPr>
          <w:snapToGrid w:val="0"/>
        </w:rPr>
        <w:t xml:space="preserve"> </w:t>
      </w:r>
      <w:r w:rsidR="000F4CDD">
        <w:rPr>
          <w:i/>
          <w:iCs/>
          <w:snapToGrid w:val="0"/>
        </w:rPr>
        <w:t>id</w:t>
      </w:r>
      <w:r w:rsidR="000F4CDD">
        <w:rPr>
          <w:snapToGrid w:val="0"/>
        </w:rPr>
        <w:t>., 47 CFR § 54.605(a)(1)(ii).</w:t>
      </w:r>
      <w:r w:rsidR="004C55CE">
        <w:rPr>
          <w:snapToGrid w:val="0"/>
        </w:rPr>
        <w:t xml:space="preserve"> </w:t>
      </w:r>
      <w:r w:rsidR="000F4CDD">
        <w:rPr>
          <w:snapToGrid w:val="0"/>
        </w:rPr>
        <w:t xml:space="preserve"> However, these areas are isolated in the southeast portion of Alaska, are not necessarily connected by roads despite being located in a C</w:t>
      </w:r>
      <w:r w:rsidR="00761E68">
        <w:rPr>
          <w:snapToGrid w:val="0"/>
        </w:rPr>
        <w:t xml:space="preserve">ore </w:t>
      </w:r>
      <w:r w:rsidR="000F4CDD">
        <w:rPr>
          <w:snapToGrid w:val="0"/>
        </w:rPr>
        <w:t>B</w:t>
      </w:r>
      <w:r w:rsidR="00761E68">
        <w:rPr>
          <w:snapToGrid w:val="0"/>
        </w:rPr>
        <w:t xml:space="preserve">ased </w:t>
      </w:r>
      <w:r w:rsidR="000F4CDD">
        <w:rPr>
          <w:snapToGrid w:val="0"/>
        </w:rPr>
        <w:t>S</w:t>
      </w:r>
      <w:r w:rsidR="00761E68">
        <w:rPr>
          <w:snapToGrid w:val="0"/>
        </w:rPr>
        <w:t xml:space="preserve">tatistical </w:t>
      </w:r>
      <w:r w:rsidR="000F4CDD">
        <w:rPr>
          <w:snapToGrid w:val="0"/>
        </w:rPr>
        <w:t>A</w:t>
      </w:r>
      <w:r w:rsidR="00761E68">
        <w:rPr>
          <w:snapToGrid w:val="0"/>
        </w:rPr>
        <w:t>rea</w:t>
      </w:r>
      <w:r w:rsidR="000F4CDD">
        <w:rPr>
          <w:snapToGrid w:val="0"/>
        </w:rPr>
        <w:t>, and are therefore relatively expensive to serve compared to locations that are designated Extremely Rural because they fall outside of a C</w:t>
      </w:r>
      <w:r w:rsidR="00761E68">
        <w:rPr>
          <w:snapToGrid w:val="0"/>
        </w:rPr>
        <w:t xml:space="preserve">ore </w:t>
      </w:r>
      <w:r w:rsidR="000F4CDD">
        <w:rPr>
          <w:snapToGrid w:val="0"/>
        </w:rPr>
        <w:t>B</w:t>
      </w:r>
      <w:r w:rsidR="00761E68">
        <w:rPr>
          <w:snapToGrid w:val="0"/>
        </w:rPr>
        <w:t xml:space="preserve">ased </w:t>
      </w:r>
      <w:r w:rsidR="000F4CDD">
        <w:rPr>
          <w:snapToGrid w:val="0"/>
        </w:rPr>
        <w:t>S</w:t>
      </w:r>
      <w:r w:rsidR="00761E68">
        <w:rPr>
          <w:snapToGrid w:val="0"/>
        </w:rPr>
        <w:t xml:space="preserve">tatistical </w:t>
      </w:r>
      <w:r w:rsidR="000F4CDD">
        <w:rPr>
          <w:snapToGrid w:val="0"/>
        </w:rPr>
        <w:t>A</w:t>
      </w:r>
      <w:r w:rsidR="00761E68">
        <w:rPr>
          <w:snapToGrid w:val="0"/>
        </w:rPr>
        <w:t>rea</w:t>
      </w:r>
      <w:r w:rsidR="000F4CDD">
        <w:rPr>
          <w:snapToGrid w:val="0"/>
        </w:rPr>
        <w:t xml:space="preserve"> but are located near roads and fiber deployments.  </w:t>
      </w:r>
      <w:r>
        <w:t xml:space="preserve"> </w:t>
      </w:r>
    </w:p>
  </w:footnote>
  <w:footnote w:id="27">
    <w:p w:rsidR="004E13A5" w:rsidRPr="002124F3" w14:paraId="71BC3B3A" w14:textId="7F176585">
      <w:pPr>
        <w:pStyle w:val="FootnoteText"/>
      </w:pPr>
      <w:r>
        <w:rPr>
          <w:rStyle w:val="FootnoteReference"/>
        </w:rPr>
        <w:footnoteRef/>
      </w:r>
      <w:r>
        <w:t xml:space="preserve"> </w:t>
      </w:r>
      <w:r w:rsidR="002124F3">
        <w:rPr>
          <w:i/>
          <w:iCs/>
        </w:rPr>
        <w:t>See</w:t>
      </w:r>
      <w:r w:rsidRPr="00120425" w:rsidR="002124F3">
        <w:t xml:space="preserve"> </w:t>
      </w:r>
      <w:r w:rsidR="00AF0952">
        <w:t xml:space="preserve">USAC Rural Health Care Telecom Program Rates Database, </w:t>
      </w:r>
      <w:hyperlink r:id="rId4" w:anchor="/ratesSearch" w:history="1">
        <w:r w:rsidRPr="00DC0858" w:rsidR="0091472E">
          <w:rPr>
            <w:rStyle w:val="Hyperlink"/>
          </w:rPr>
          <w:t>https://rhc.usac.org/ratesdb/#/ratesSearch</w:t>
        </w:r>
      </w:hyperlink>
      <w:r w:rsidR="0091472E">
        <w:t xml:space="preserve"> </w:t>
      </w:r>
      <w:r w:rsidRPr="002D438E" w:rsidR="009B5993">
        <w:t>(last visited January 11, 2021).</w:t>
      </w:r>
    </w:p>
  </w:footnote>
  <w:footnote w:id="28">
    <w:p w:rsidR="004F69CA" w:rsidRPr="002D438E" w14:paraId="301F6E30" w14:textId="77C6308B">
      <w:pPr>
        <w:pStyle w:val="FootnoteText"/>
        <w:rPr>
          <w:i/>
          <w:iCs/>
        </w:rPr>
      </w:pPr>
      <w:r>
        <w:rPr>
          <w:rStyle w:val="FootnoteReference"/>
        </w:rPr>
        <w:footnoteRef/>
      </w:r>
      <w:r>
        <w:t xml:space="preserve"> </w:t>
      </w:r>
      <w:r w:rsidR="005C10C7">
        <w:rPr>
          <w:i/>
          <w:iCs/>
        </w:rPr>
        <w:t>Id.</w:t>
      </w:r>
    </w:p>
  </w:footnote>
  <w:footnote w:id="29">
    <w:p w:rsidR="005E3188" w:rsidRPr="00D77B8E" w:rsidP="00605787" w14:paraId="346E0DB1" w14:textId="56907640">
      <w:pPr>
        <w:pStyle w:val="FootnoteText"/>
      </w:pPr>
      <w:r>
        <w:rPr>
          <w:rStyle w:val="FootnoteReference"/>
        </w:rPr>
        <w:footnoteRef/>
      </w:r>
      <w:r>
        <w:t xml:space="preserve"> The level of support for a 10 Mbps connection in the</w:t>
      </w:r>
      <w:r w:rsidR="00DB43D8">
        <w:t xml:space="preserve"> Frontier tier in the</w:t>
      </w:r>
      <w:r>
        <w:t xml:space="preserve"> Rates Database</w:t>
      </w:r>
      <w:r w:rsidR="00DB43D8">
        <w:t xml:space="preserve"> is $27,129.  </w:t>
      </w:r>
      <w:r w:rsidR="004C3AF3">
        <w:t xml:space="preserve">Some approved rates for </w:t>
      </w:r>
      <w:r w:rsidR="00BB1A7D">
        <w:t xml:space="preserve">health care providers in that tier were as high as </w:t>
      </w:r>
      <w:r w:rsidRPr="00D77B8E" w:rsidR="00D77B8E">
        <w:t>$73,119</w:t>
      </w:r>
      <w:r w:rsidR="006A1FFF">
        <w:t xml:space="preserve"> per month</w:t>
      </w:r>
      <w:r w:rsidR="001C6A85">
        <w:t xml:space="preserve"> for Funding Year 2019</w:t>
      </w:r>
      <w:r w:rsidR="00D77B8E">
        <w:t xml:space="preserve">.  </w:t>
      </w:r>
      <w:r w:rsidR="00D77B8E">
        <w:rPr>
          <w:i/>
          <w:iCs/>
        </w:rPr>
        <w:t>See, e.g.</w:t>
      </w:r>
      <w:r w:rsidR="00D77B8E">
        <w:t>,</w:t>
      </w:r>
      <w:r w:rsidR="00D765D8">
        <w:t xml:space="preserve"> </w:t>
      </w:r>
      <w:r w:rsidR="0079343C">
        <w:t>Rural Health Care Commitments</w:t>
      </w:r>
      <w:r w:rsidR="00D765D8">
        <w:t xml:space="preserve"> and </w:t>
      </w:r>
      <w:r w:rsidR="0079343C">
        <w:t xml:space="preserve">Disbursements </w:t>
      </w:r>
      <w:r w:rsidR="00DB4ADA">
        <w:t>for</w:t>
      </w:r>
      <w:r w:rsidR="00294134">
        <w:t xml:space="preserve"> </w:t>
      </w:r>
      <w:r w:rsidR="00B30B4B">
        <w:t>Ouzinkie</w:t>
      </w:r>
      <w:r w:rsidR="00B30B4B">
        <w:t xml:space="preserve"> Clinic</w:t>
      </w:r>
      <w:r w:rsidR="006A01F3">
        <w:t xml:space="preserve">, </w:t>
      </w:r>
      <w:r w:rsidR="003C4242">
        <w:t>F</w:t>
      </w:r>
      <w:r w:rsidR="00771FCF">
        <w:t xml:space="preserve">unding </w:t>
      </w:r>
      <w:r w:rsidR="003C4242">
        <w:t>R</w:t>
      </w:r>
      <w:r w:rsidR="00771FCF">
        <w:t xml:space="preserve">equest </w:t>
      </w:r>
      <w:r w:rsidR="003C4242">
        <w:t>N</w:t>
      </w:r>
      <w:r w:rsidR="00771FCF">
        <w:t xml:space="preserve">umber </w:t>
      </w:r>
      <w:r w:rsidR="006A01F3">
        <w:t>(</w:t>
      </w:r>
      <w:r w:rsidR="006A01F3">
        <w:t>FRN</w:t>
      </w:r>
      <w:r w:rsidR="006A01F3">
        <w:t xml:space="preserve">) </w:t>
      </w:r>
      <w:r w:rsidR="000C6497">
        <w:t>195</w:t>
      </w:r>
      <w:r w:rsidR="00C42AD3">
        <w:t>7791</w:t>
      </w:r>
      <w:r w:rsidR="00BD4B32">
        <w:t>;</w:t>
      </w:r>
      <w:r w:rsidR="00580B3F">
        <w:t xml:space="preserve"> </w:t>
      </w:r>
      <w:r w:rsidR="004B4470">
        <w:t>Port Lions</w:t>
      </w:r>
      <w:r w:rsidR="00194847">
        <w:t xml:space="preserve"> Clinic, </w:t>
      </w:r>
      <w:r w:rsidR="00194847">
        <w:t>FRN</w:t>
      </w:r>
      <w:r w:rsidR="00194847">
        <w:t xml:space="preserve"> 19577</w:t>
      </w:r>
      <w:r w:rsidR="006A6043">
        <w:t>86</w:t>
      </w:r>
      <w:r w:rsidR="00973CB4">
        <w:t xml:space="preserve">; </w:t>
      </w:r>
      <w:r w:rsidR="009456F3">
        <w:t>Akhiok</w:t>
      </w:r>
      <w:r w:rsidR="009456F3">
        <w:t xml:space="preserve"> Clinic</w:t>
      </w:r>
      <w:r w:rsidR="008D0449">
        <w:t xml:space="preserve">, </w:t>
      </w:r>
      <w:r w:rsidR="008D0449">
        <w:t>FRN</w:t>
      </w:r>
      <w:r w:rsidR="008D0449">
        <w:t xml:space="preserve"> 195</w:t>
      </w:r>
      <w:r w:rsidR="00F04816">
        <w:t xml:space="preserve">7649; </w:t>
      </w:r>
      <w:r w:rsidR="00572FF4">
        <w:t xml:space="preserve">Larsen Bay Clinic, </w:t>
      </w:r>
      <w:r w:rsidR="00572FF4">
        <w:t>FRN</w:t>
      </w:r>
      <w:r w:rsidR="00572FF4">
        <w:t xml:space="preserve"> 195</w:t>
      </w:r>
      <w:r w:rsidR="00480210">
        <w:t>7645</w:t>
      </w:r>
      <w:r w:rsidR="00DA30C6">
        <w:t xml:space="preserve">; and </w:t>
      </w:r>
      <w:r w:rsidR="006909D8">
        <w:t xml:space="preserve">Old Harbor Health Clinic, </w:t>
      </w:r>
      <w:r w:rsidR="006909D8">
        <w:t>FRN</w:t>
      </w:r>
      <w:r w:rsidR="006909D8">
        <w:t xml:space="preserve"> 19</w:t>
      </w:r>
      <w:r w:rsidR="00BD023B">
        <w:t>56984</w:t>
      </w:r>
      <w:r w:rsidR="00172D1E">
        <w:t xml:space="preserve">, </w:t>
      </w:r>
      <w:r w:rsidRPr="00F213BD" w:rsidR="0069467B">
        <w:t>RHC</w:t>
      </w:r>
      <w:r w:rsidRPr="00F213BD" w:rsidR="00580B3F">
        <w:t xml:space="preserve"> </w:t>
      </w:r>
      <w:r w:rsidRPr="00F213BD" w:rsidR="00F213BD">
        <w:t>Program Open Data Platform</w:t>
      </w:r>
      <w:r w:rsidR="000F7E6E">
        <w:t xml:space="preserve">, </w:t>
      </w:r>
      <w:hyperlink r:id="rId5" w:history="1">
        <w:r w:rsidRPr="00F40DE7" w:rsidR="003369BE">
          <w:rPr>
            <w:rStyle w:val="Hyperlink"/>
          </w:rPr>
          <w:t>https://opendata.usac.org/stories/s/Rural-Health-Care-Tools/qi66-q66c/</w:t>
        </w:r>
      </w:hyperlink>
      <w:r w:rsidR="003369BE">
        <w:t xml:space="preserve"> (last visited Jan. 1</w:t>
      </w:r>
      <w:r w:rsidR="004C55CE">
        <w:t>9</w:t>
      </w:r>
      <w:r w:rsidR="003369BE">
        <w:t>, 2021)</w:t>
      </w:r>
      <w:r w:rsidR="00120425">
        <w:t>;</w:t>
      </w:r>
      <w:r w:rsidR="00D77B8E">
        <w:t xml:space="preserve"> </w:t>
      </w:r>
      <w:r w:rsidR="00120425">
        <w:rPr>
          <w:i/>
          <w:iCs/>
        </w:rPr>
        <w:t>s</w:t>
      </w:r>
      <w:r w:rsidRPr="008E6467" w:rsidR="00542AE7">
        <w:rPr>
          <w:i/>
          <w:iCs/>
        </w:rPr>
        <w:t>ee</w:t>
      </w:r>
      <w:r w:rsidR="00542AE7">
        <w:rPr>
          <w:i/>
          <w:iCs/>
        </w:rPr>
        <w:t xml:space="preserve"> also</w:t>
      </w:r>
      <w:r w:rsidRPr="008E6467" w:rsidR="00542AE7">
        <w:t xml:space="preserve"> </w:t>
      </w:r>
      <w:r w:rsidR="00542AE7">
        <w:t>Alaska Communications</w:t>
      </w:r>
      <w:r w:rsidRPr="008E6467" w:rsidR="00542AE7">
        <w:t xml:space="preserve"> Petition at 4</w:t>
      </w:r>
      <w:r w:rsidR="004C55CE">
        <w:t xml:space="preserve"> </w:t>
      </w:r>
      <w:r w:rsidR="00542AE7">
        <w:t xml:space="preserve">(raising concerns that the </w:t>
      </w:r>
      <w:r w:rsidR="00761E68">
        <w:t>R</w:t>
      </w:r>
      <w:r w:rsidR="00542AE7">
        <w:t xml:space="preserve">ates </w:t>
      </w:r>
      <w:r w:rsidR="00761E68">
        <w:t>D</w:t>
      </w:r>
      <w:r w:rsidR="00542AE7">
        <w:t xml:space="preserve">atabase </w:t>
      </w:r>
      <w:r w:rsidR="004C55CE">
        <w:t>would</w:t>
      </w:r>
      <w:r w:rsidR="00542AE7">
        <w:t xml:space="preserve"> not provide sufficient funding for the most remo</w:t>
      </w:r>
      <w:r w:rsidR="002D4CB5">
        <w:t>t</w:t>
      </w:r>
      <w:r w:rsidR="00542AE7">
        <w:t xml:space="preserve">e health care providers in Alaska).  </w:t>
      </w:r>
    </w:p>
  </w:footnote>
  <w:footnote w:id="30">
    <w:p w:rsidR="00E92052" w14:paraId="62DDC6C4" w14:textId="0C521B3A">
      <w:pPr>
        <w:pStyle w:val="FootnoteText"/>
      </w:pPr>
      <w:r>
        <w:rPr>
          <w:rStyle w:val="FootnoteReference"/>
        </w:rPr>
        <w:footnoteRef/>
      </w:r>
      <w:r>
        <w:t xml:space="preserve"> </w:t>
      </w:r>
      <w:r w:rsidRPr="006B2E22" w:rsidR="00C50458">
        <w:rPr>
          <w:i/>
        </w:rPr>
        <w:t>See</w:t>
      </w:r>
      <w:r w:rsidR="00C50458">
        <w:t xml:space="preserve"> </w:t>
      </w:r>
      <w:r w:rsidR="008762B1">
        <w:t xml:space="preserve">Brian </w:t>
      </w:r>
      <w:r w:rsidR="006B2E22">
        <w:t>Shreckengast</w:t>
      </w:r>
      <w:r w:rsidR="008762B1">
        <w:t xml:space="preserve">, </w:t>
      </w:r>
      <w:r w:rsidRPr="006B2E22" w:rsidR="008762B1">
        <w:rPr>
          <w:i/>
        </w:rPr>
        <w:t>How Big is Alaska?</w:t>
      </w:r>
      <w:r w:rsidR="008762B1">
        <w:t>,</w:t>
      </w:r>
      <w:r w:rsidR="00C50458">
        <w:t xml:space="preserve"> Alaska Business, </w:t>
      </w:r>
      <w:hyperlink r:id="rId6" w:anchor=":~:text=At%20663%2C300%20square%20miles%2C%20Alaska,looks%20much%20larger%20than%20that" w:history="1">
        <w:r w:rsidRPr="00E94DAC" w:rsidR="008C60AB">
          <w:rPr>
            <w:rStyle w:val="Hyperlink"/>
          </w:rPr>
          <w:t>https://www.akbizmag.com/industry/education/how-big-is-alaska/#:~:text=At%20663%2C300%20square%20miles%2C%20Alaska,looks%20much%20larger%20than%20that</w:t>
        </w:r>
      </w:hyperlink>
      <w:r w:rsidR="008C60AB">
        <w:t xml:space="preserve"> (</w:t>
      </w:r>
      <w:r w:rsidR="008762B1">
        <w:t>Apr. 4, 2016).</w:t>
      </w:r>
    </w:p>
  </w:footnote>
  <w:footnote w:id="31">
    <w:p w:rsidR="00374B79" w14:paraId="0F6D6C13" w14:textId="1BA61DB3">
      <w:pPr>
        <w:pStyle w:val="FootnoteText"/>
      </w:pPr>
      <w:r>
        <w:rPr>
          <w:rStyle w:val="FootnoteReference"/>
        </w:rPr>
        <w:footnoteRef/>
      </w:r>
      <w:r>
        <w:t xml:space="preserve"> </w:t>
      </w:r>
      <w:r w:rsidRPr="002D438E" w:rsidR="00FA3A16">
        <w:rPr>
          <w:i/>
          <w:iCs/>
        </w:rPr>
        <w:t>See</w:t>
      </w:r>
      <w:r w:rsidR="00FA3A16">
        <w:t xml:space="preserve"> </w:t>
      </w:r>
      <w:r w:rsidR="00D54191">
        <w:t xml:space="preserve">Census Bureau, </w:t>
      </w:r>
      <w:hyperlink r:id="rId7" w:history="1">
        <w:r w:rsidRPr="00E94DAC" w:rsidR="00FA3A16">
          <w:rPr>
            <w:rStyle w:val="Hyperlink"/>
          </w:rPr>
          <w:t>https://www.census.gov/quickfacts/fact/table/anchoragemunicipalityalaska,AK/PST045219</w:t>
        </w:r>
      </w:hyperlink>
      <w:r w:rsidR="00FA3A16">
        <w:t xml:space="preserve"> (last visited Jan. 11, 2021).</w:t>
      </w:r>
    </w:p>
  </w:footnote>
  <w:footnote w:id="32">
    <w:p w:rsidR="00281EF7" w:rsidRPr="00F52DAD" w:rsidP="00281EF7" w14:paraId="58B19006" w14:textId="77777777">
      <w:pPr>
        <w:pStyle w:val="FootnoteText"/>
      </w:pPr>
      <w:r>
        <w:rPr>
          <w:rStyle w:val="FootnoteReference"/>
        </w:rPr>
        <w:footnoteRef/>
      </w:r>
      <w:r>
        <w:t xml:space="preserve"> </w:t>
      </w:r>
      <w:r>
        <w:rPr>
          <w:i/>
          <w:iCs/>
        </w:rPr>
        <w:t xml:space="preserve">See Promoting Telehealth Report and </w:t>
      </w:r>
      <w:r w:rsidRPr="00A56BFC">
        <w:rPr>
          <w:i/>
          <w:iCs/>
        </w:rPr>
        <w:t>Order</w:t>
      </w:r>
      <w:r>
        <w:t xml:space="preserve">, 34 FCC Rcd at 7353, para. 34.  </w:t>
      </w:r>
    </w:p>
  </w:footnote>
  <w:footnote w:id="33">
    <w:p w:rsidR="008F5ECF" w14:paraId="06B857B4" w14:textId="4BD674C2">
      <w:pPr>
        <w:pStyle w:val="FootnoteText"/>
      </w:pPr>
      <w:r>
        <w:rPr>
          <w:rStyle w:val="FootnoteReference"/>
        </w:rPr>
        <w:footnoteRef/>
      </w:r>
      <w:r>
        <w:t xml:space="preserve"> </w:t>
      </w:r>
      <w:r w:rsidRPr="00F35F2E">
        <w:rPr>
          <w:i/>
          <w:iCs/>
        </w:rPr>
        <w:t>See</w:t>
      </w:r>
      <w:r>
        <w:rPr>
          <w:i/>
          <w:iCs/>
        </w:rPr>
        <w:t xml:space="preserve"> </w:t>
      </w:r>
      <w:r w:rsidR="00B43798">
        <w:t>Alaskan Governor Petition</w:t>
      </w:r>
      <w:r w:rsidR="00DD3BE8">
        <w:t xml:space="preserve"> </w:t>
      </w:r>
      <w:r>
        <w:t xml:space="preserve">at 4-5.  </w:t>
      </w:r>
    </w:p>
  </w:footnote>
  <w:footnote w:id="34">
    <w:p w:rsidR="00154F43" w14:paraId="66045B28" w14:textId="2A444D5D">
      <w:pPr>
        <w:pStyle w:val="FootnoteText"/>
      </w:pPr>
      <w:r>
        <w:rPr>
          <w:rStyle w:val="FootnoteReference"/>
        </w:rPr>
        <w:footnoteRef/>
      </w:r>
      <w:r>
        <w:t xml:space="preserve"> 47 U.S.C. § 254(b)(5).</w:t>
      </w:r>
    </w:p>
  </w:footnote>
  <w:footnote w:id="35">
    <w:p w:rsidR="00154F43" w14:paraId="3313354F" w14:textId="62BC1EBC">
      <w:pPr>
        <w:pStyle w:val="FootnoteText"/>
      </w:pPr>
      <w:r>
        <w:rPr>
          <w:rStyle w:val="FootnoteReference"/>
        </w:rPr>
        <w:footnoteRef/>
      </w:r>
      <w:r>
        <w:t xml:space="preserve"> </w:t>
      </w:r>
      <w:r w:rsidRPr="004F7D4D">
        <w:rPr>
          <w:i/>
        </w:rPr>
        <w:t>See</w:t>
      </w:r>
      <w:r w:rsidRPr="004F7D4D">
        <w:t xml:space="preserve"> 47 CFR § 54.607(a).</w:t>
      </w:r>
      <w:r>
        <w:t xml:space="preserve">  </w:t>
      </w:r>
    </w:p>
  </w:footnote>
  <w:footnote w:id="36">
    <w:p w:rsidR="00154F43" w14:paraId="6C64D3A6" w14:textId="6EBC684E">
      <w:pPr>
        <w:pStyle w:val="FootnoteText"/>
      </w:pPr>
      <w:r>
        <w:rPr>
          <w:rStyle w:val="FootnoteReference"/>
        </w:rPr>
        <w:footnoteRef/>
      </w:r>
      <w:r>
        <w:t xml:space="preserve"> </w:t>
      </w:r>
      <w:r w:rsidRPr="00766DD1">
        <w:rPr>
          <w:i/>
        </w:rPr>
        <w:t>See</w:t>
      </w:r>
      <w:r w:rsidRPr="00766DD1">
        <w:t xml:space="preserve"> 47 CFR § 54.607(b) (“If the telecommunications carrier serving the health care provider is not providing identical or similar services in the rural area, then the rural rate shall be the average of tariffed and other publicly available rates, not including any rates reduced by universal service programs, charged for the same or similar services in that rural area over the same distance as the eligible service by other carriers.”).</w:t>
      </w:r>
      <w:r>
        <w:t xml:space="preserve">  </w:t>
      </w:r>
    </w:p>
  </w:footnote>
  <w:footnote w:id="37">
    <w:p w:rsidR="00154F43" w:rsidP="00154F43" w14:paraId="076EE505" w14:textId="77777777">
      <w:pPr>
        <w:pStyle w:val="FootnoteText"/>
      </w:pPr>
      <w:r>
        <w:rPr>
          <w:rStyle w:val="FootnoteReference"/>
        </w:rPr>
        <w:footnoteRef/>
      </w:r>
      <w:r>
        <w:t xml:space="preserve"> </w:t>
      </w:r>
      <w:r w:rsidRPr="00454779">
        <w:rPr>
          <w:i/>
        </w:rPr>
        <w:t>See</w:t>
      </w:r>
      <w:r w:rsidRPr="00454779">
        <w:t xml:space="preserve"> 47 CFR § 54.607(b) (“If there are no tariffed or publicly available rates for such services in that rural area, or if the carrier reasonably determines that this method for calculating the rural rate is unfair, then the carrier shall submit for the state commission’s approval, for intrastate rates, or the Commission’s approval, for interstate rates, a cost-based rate for the provision of the service in the most economically efficient, reasonably available manner.”). </w:t>
      </w:r>
      <w:r>
        <w:t xml:space="preserve"> </w:t>
      </w:r>
    </w:p>
  </w:footnote>
  <w:footnote w:id="38">
    <w:p w:rsidR="00640292" w14:paraId="74E36099" w14:textId="09B483E8">
      <w:pPr>
        <w:pStyle w:val="FootnoteText"/>
      </w:pPr>
      <w:r>
        <w:rPr>
          <w:rStyle w:val="FootnoteReference"/>
        </w:rPr>
        <w:footnoteRef/>
      </w:r>
      <w:r>
        <w:t xml:space="preserve"> </w:t>
      </w:r>
      <w:r>
        <w:rPr>
          <w:i/>
          <w:iCs/>
        </w:rPr>
        <w:t xml:space="preserve">Promoting Telehealth Report and </w:t>
      </w:r>
      <w:r w:rsidRPr="00A56BFC">
        <w:rPr>
          <w:i/>
          <w:iCs/>
        </w:rPr>
        <w:t>Order</w:t>
      </w:r>
      <w:r>
        <w:t>, 34 FCC Rcd at 7363, para. 55.</w:t>
      </w:r>
    </w:p>
  </w:footnote>
  <w:footnote w:id="39">
    <w:p w:rsidR="00640292" w:rsidRPr="00640292" w14:paraId="541B7168" w14:textId="27949F2E">
      <w:pPr>
        <w:pStyle w:val="FootnoteText"/>
      </w:pPr>
      <w:r>
        <w:rPr>
          <w:rStyle w:val="FootnoteReference"/>
        </w:rPr>
        <w:footnoteRef/>
      </w:r>
      <w:r>
        <w:t xml:space="preserve"> </w:t>
      </w:r>
      <w:r>
        <w:rPr>
          <w:i/>
          <w:iCs/>
        </w:rPr>
        <w:t>Id.</w:t>
      </w:r>
      <w:r>
        <w:t xml:space="preserve"> at 7364–65, para. 58 (footnote omitted).</w:t>
      </w:r>
    </w:p>
  </w:footnote>
  <w:footnote w:id="40">
    <w:p w:rsidR="00235CDC" w:rsidRPr="00235CDC" w:rsidP="00E7655D" w14:paraId="541EA3BC" w14:textId="051758B3">
      <w:pPr>
        <w:pStyle w:val="FootnoteText"/>
      </w:pPr>
      <w:r>
        <w:rPr>
          <w:rStyle w:val="FootnoteReference"/>
        </w:rPr>
        <w:footnoteRef/>
      </w:r>
      <w:r>
        <w:t xml:space="preserve"> </w:t>
      </w:r>
      <w:r>
        <w:rPr>
          <w:i/>
          <w:iCs/>
        </w:rPr>
        <w:t>Id.</w:t>
      </w:r>
      <w:r>
        <w:t xml:space="preserve"> at 7343–46, 7349–54, paras. 14–20, 29–37</w:t>
      </w:r>
      <w:r w:rsidR="00E7655D">
        <w:t xml:space="preserve">; </w:t>
      </w:r>
      <w:r w:rsidR="00E7655D">
        <w:rPr>
          <w:i/>
          <w:iCs/>
        </w:rPr>
        <w:t>see</w:t>
      </w:r>
      <w:r w:rsidR="00E7655D">
        <w:t xml:space="preserve"> </w:t>
      </w:r>
      <w:r w:rsidR="00E7655D">
        <w:rPr>
          <w:i/>
          <w:iCs/>
        </w:rPr>
        <w:t>id.</w:t>
      </w:r>
      <w:r w:rsidR="00E7655D">
        <w:t xml:space="preserve"> at 7344, para. 16 (“[W]e </w:t>
      </w:r>
      <w:r w:rsidR="00E7655D">
        <w:t>anticipate</w:t>
      </w:r>
      <w:r w:rsidR="00E7655D">
        <w:t xml:space="preserve"> a 30% range will provide a sufficiently large range of functionally similar services to enable reasonable rate comparisons</w:t>
      </w:r>
      <w:r>
        <w:t>.</w:t>
      </w:r>
      <w:r w:rsidR="00E7655D">
        <w:t>”).</w:t>
      </w:r>
    </w:p>
  </w:footnote>
  <w:footnote w:id="41">
    <w:p w:rsidR="008441E9" w:rsidP="008441E9" w14:paraId="48D02D54" w14:textId="6AD1935F">
      <w:pPr>
        <w:pStyle w:val="FootnoteText"/>
      </w:pPr>
      <w:r>
        <w:rPr>
          <w:rStyle w:val="FootnoteReference"/>
        </w:rPr>
        <w:footnoteRef/>
      </w:r>
      <w:r>
        <w:t xml:space="preserve"> </w:t>
      </w:r>
      <w:r>
        <w:rPr>
          <w:i/>
          <w:iCs/>
        </w:rPr>
        <w:t xml:space="preserve">See </w:t>
      </w:r>
      <w:r>
        <w:t>47 CFR § 54.604(a)</w:t>
      </w:r>
      <w:r w:rsidR="00982113">
        <w:t>.</w:t>
      </w:r>
    </w:p>
  </w:footnote>
  <w:footnote w:id="42">
    <w:p w:rsidR="008441E9" w:rsidRPr="00FE1781" w:rsidP="008441E9" w14:paraId="7567BC8A" w14:textId="77777777">
      <w:pPr>
        <w:pStyle w:val="FootnoteText"/>
      </w:pPr>
      <w:r>
        <w:rPr>
          <w:rStyle w:val="FootnoteReference"/>
        </w:rPr>
        <w:footnoteRef/>
      </w:r>
      <w:r>
        <w:t xml:space="preserve"> </w:t>
      </w:r>
      <w:r>
        <w:rPr>
          <w:i/>
          <w:iCs/>
        </w:rPr>
        <w:t>See Promoting Telehealth Report and Order</w:t>
      </w:r>
      <w:r>
        <w:t>, 34 FCC Rcd at 7372-73, para. 81.</w:t>
      </w:r>
    </w:p>
  </w:footnote>
  <w:footnote w:id="43">
    <w:p w:rsidR="0072591D" w14:paraId="4AC35FA2" w14:textId="5D3051BA">
      <w:pPr>
        <w:pStyle w:val="FootnoteText"/>
      </w:pPr>
      <w:r>
        <w:rPr>
          <w:rStyle w:val="FootnoteReference"/>
        </w:rPr>
        <w:footnoteRef/>
      </w:r>
      <w:r>
        <w:t xml:space="preserve"> </w:t>
      </w:r>
      <w:r w:rsidR="000F39C0">
        <w:rPr>
          <w:i/>
          <w:iCs/>
        </w:rPr>
        <w:t xml:space="preserve">See </w:t>
      </w:r>
      <w:r w:rsidR="000F39C0">
        <w:t xml:space="preserve">47 CFR </w:t>
      </w:r>
      <w:r w:rsidR="00F51D7B">
        <w:t xml:space="preserve">§ </w:t>
      </w:r>
      <w:r w:rsidR="000F39C0">
        <w:t>54.622 (</w:t>
      </w:r>
      <w:r w:rsidR="00CC1878">
        <w:t>competitive bidding requirements and e</w:t>
      </w:r>
      <w:r w:rsidR="00E54EE7">
        <w:t>xemptions).</w:t>
      </w:r>
    </w:p>
  </w:footnote>
  <w:footnote w:id="44">
    <w:p w:rsidR="004D5F61" w:rsidRPr="00B53A2C" w14:paraId="78114069" w14:textId="513927BC">
      <w:pPr>
        <w:pStyle w:val="FootnoteText"/>
        <w:rPr>
          <w:i/>
        </w:rPr>
      </w:pPr>
      <w:r>
        <w:rPr>
          <w:rStyle w:val="FootnoteReference"/>
        </w:rPr>
        <w:footnoteRef/>
      </w:r>
      <w:r>
        <w:t xml:space="preserve"> </w:t>
      </w:r>
      <w:r w:rsidR="00ED700E">
        <w:rPr>
          <w:i/>
          <w:iCs/>
        </w:rPr>
        <w:t>Id</w:t>
      </w:r>
      <w:r w:rsidR="00ED700E">
        <w:t>.</w:t>
      </w:r>
      <w:r w:rsidR="00F43D45">
        <w:rPr>
          <w:i/>
          <w:iCs/>
        </w:rPr>
        <w:t xml:space="preserve"> </w:t>
      </w:r>
    </w:p>
  </w:footnote>
  <w:footnote w:id="45">
    <w:p w:rsidR="00125CA7" w:rsidRPr="0079227D" w14:paraId="61502927" w14:textId="4D9EAF13">
      <w:pPr>
        <w:pStyle w:val="FootnoteText"/>
      </w:pPr>
      <w:r>
        <w:rPr>
          <w:rStyle w:val="FootnoteReference"/>
        </w:rPr>
        <w:footnoteRef/>
      </w:r>
      <w:r>
        <w:t xml:space="preserve"> </w:t>
      </w:r>
      <w:r w:rsidR="0079227D">
        <w:rPr>
          <w:i/>
          <w:iCs/>
        </w:rPr>
        <w:t>Se</w:t>
      </w:r>
      <w:r w:rsidR="0007265C">
        <w:rPr>
          <w:i/>
          <w:iCs/>
        </w:rPr>
        <w:t xml:space="preserve">e 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6AB0AB" w14:textId="3D65BBA8">
    <w:pPr>
      <w:pStyle w:val="Header"/>
      <w:rPr>
        <w:b w:val="0"/>
      </w:rPr>
    </w:pPr>
    <w:r>
      <w:tab/>
      <w:t>Federal Communications Commission</w:t>
    </w:r>
    <w:r>
      <w:tab/>
    </w:r>
    <w:r w:rsidR="00A5756F">
      <w:t>DA 21-</w:t>
    </w:r>
    <w:r w:rsidR="006D2F97">
      <w:t>83</w:t>
    </w:r>
  </w:p>
  <w:p w:rsidR="00D25FB5" w14:paraId="65086D41" w14:textId="4C4595C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F544E5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4F2345" w14:textId="4524EDF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5756F">
      <w:rPr>
        <w:spacing w:val="-2"/>
      </w:rPr>
      <w:t>DA 21-</w:t>
    </w:r>
    <w:r w:rsidR="006D2F97">
      <w:rPr>
        <w:spacing w:val="-2"/>
      </w:rPr>
      <w:t>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6685655"/>
    <w:multiLevelType w:val="hybridMultilevel"/>
    <w:tmpl w:val="513A750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DF"/>
    <w:rsid w:val="00000466"/>
    <w:rsid w:val="00002957"/>
    <w:rsid w:val="00004B27"/>
    <w:rsid w:val="0000674D"/>
    <w:rsid w:val="000074FD"/>
    <w:rsid w:val="000076A6"/>
    <w:rsid w:val="00010BBD"/>
    <w:rsid w:val="00010FCF"/>
    <w:rsid w:val="000136F7"/>
    <w:rsid w:val="000147B3"/>
    <w:rsid w:val="000148E1"/>
    <w:rsid w:val="00014EFB"/>
    <w:rsid w:val="00015C0C"/>
    <w:rsid w:val="00016F5F"/>
    <w:rsid w:val="00017787"/>
    <w:rsid w:val="0002159B"/>
    <w:rsid w:val="00021E59"/>
    <w:rsid w:val="000234C2"/>
    <w:rsid w:val="00023915"/>
    <w:rsid w:val="00024B9F"/>
    <w:rsid w:val="00025106"/>
    <w:rsid w:val="00025C44"/>
    <w:rsid w:val="0002775A"/>
    <w:rsid w:val="00030F09"/>
    <w:rsid w:val="0003106E"/>
    <w:rsid w:val="0003163C"/>
    <w:rsid w:val="00032FDB"/>
    <w:rsid w:val="00033DB1"/>
    <w:rsid w:val="000355BD"/>
    <w:rsid w:val="00036039"/>
    <w:rsid w:val="00036BEA"/>
    <w:rsid w:val="00037F90"/>
    <w:rsid w:val="000424C5"/>
    <w:rsid w:val="00042660"/>
    <w:rsid w:val="0004374D"/>
    <w:rsid w:val="00044AE0"/>
    <w:rsid w:val="00045FAE"/>
    <w:rsid w:val="00046E09"/>
    <w:rsid w:val="00046FE5"/>
    <w:rsid w:val="00047101"/>
    <w:rsid w:val="00050239"/>
    <w:rsid w:val="000520DE"/>
    <w:rsid w:val="00052797"/>
    <w:rsid w:val="00052866"/>
    <w:rsid w:val="000542B7"/>
    <w:rsid w:val="00054CD1"/>
    <w:rsid w:val="00055226"/>
    <w:rsid w:val="0005665D"/>
    <w:rsid w:val="00056F0A"/>
    <w:rsid w:val="00057991"/>
    <w:rsid w:val="0006019F"/>
    <w:rsid w:val="00061CF8"/>
    <w:rsid w:val="00061F68"/>
    <w:rsid w:val="00061FBF"/>
    <w:rsid w:val="00065702"/>
    <w:rsid w:val="00065909"/>
    <w:rsid w:val="00065A17"/>
    <w:rsid w:val="00065A84"/>
    <w:rsid w:val="00066415"/>
    <w:rsid w:val="00066590"/>
    <w:rsid w:val="000666ED"/>
    <w:rsid w:val="00066C06"/>
    <w:rsid w:val="00067C82"/>
    <w:rsid w:val="00070285"/>
    <w:rsid w:val="00070FE1"/>
    <w:rsid w:val="0007107C"/>
    <w:rsid w:val="000719E0"/>
    <w:rsid w:val="00072363"/>
    <w:rsid w:val="0007265C"/>
    <w:rsid w:val="000744C5"/>
    <w:rsid w:val="0007456A"/>
    <w:rsid w:val="00074621"/>
    <w:rsid w:val="00074904"/>
    <w:rsid w:val="00075D4A"/>
    <w:rsid w:val="000763AF"/>
    <w:rsid w:val="00076566"/>
    <w:rsid w:val="00076B91"/>
    <w:rsid w:val="0008091D"/>
    <w:rsid w:val="00081098"/>
    <w:rsid w:val="000821C1"/>
    <w:rsid w:val="00082697"/>
    <w:rsid w:val="00083B8A"/>
    <w:rsid w:val="000842C6"/>
    <w:rsid w:val="0008476F"/>
    <w:rsid w:val="00084DF5"/>
    <w:rsid w:val="000865F4"/>
    <w:rsid w:val="000875BF"/>
    <w:rsid w:val="000919FF"/>
    <w:rsid w:val="000926F8"/>
    <w:rsid w:val="00093C38"/>
    <w:rsid w:val="000947EE"/>
    <w:rsid w:val="000956AA"/>
    <w:rsid w:val="00095C7C"/>
    <w:rsid w:val="00096263"/>
    <w:rsid w:val="000964D6"/>
    <w:rsid w:val="00096D8C"/>
    <w:rsid w:val="00097533"/>
    <w:rsid w:val="00097E1B"/>
    <w:rsid w:val="000A0638"/>
    <w:rsid w:val="000A164A"/>
    <w:rsid w:val="000A16BD"/>
    <w:rsid w:val="000A1FC8"/>
    <w:rsid w:val="000A3B86"/>
    <w:rsid w:val="000A4972"/>
    <w:rsid w:val="000A536B"/>
    <w:rsid w:val="000A5614"/>
    <w:rsid w:val="000A5759"/>
    <w:rsid w:val="000A67D0"/>
    <w:rsid w:val="000A6997"/>
    <w:rsid w:val="000A6A76"/>
    <w:rsid w:val="000A797D"/>
    <w:rsid w:val="000B00E1"/>
    <w:rsid w:val="000B1F94"/>
    <w:rsid w:val="000B219D"/>
    <w:rsid w:val="000B251E"/>
    <w:rsid w:val="000B2816"/>
    <w:rsid w:val="000B35A4"/>
    <w:rsid w:val="000B4937"/>
    <w:rsid w:val="000B5871"/>
    <w:rsid w:val="000B64A2"/>
    <w:rsid w:val="000B6553"/>
    <w:rsid w:val="000B662C"/>
    <w:rsid w:val="000B6E3D"/>
    <w:rsid w:val="000B6E4B"/>
    <w:rsid w:val="000B6F78"/>
    <w:rsid w:val="000B7804"/>
    <w:rsid w:val="000C0142"/>
    <w:rsid w:val="000C0A85"/>
    <w:rsid w:val="000C0B65"/>
    <w:rsid w:val="000C0D26"/>
    <w:rsid w:val="000C2C23"/>
    <w:rsid w:val="000C32E5"/>
    <w:rsid w:val="000C3445"/>
    <w:rsid w:val="000C344F"/>
    <w:rsid w:val="000C35C1"/>
    <w:rsid w:val="000C35FF"/>
    <w:rsid w:val="000C4D0E"/>
    <w:rsid w:val="000C60F7"/>
    <w:rsid w:val="000C6497"/>
    <w:rsid w:val="000C6870"/>
    <w:rsid w:val="000C6D8D"/>
    <w:rsid w:val="000C7A9F"/>
    <w:rsid w:val="000D0255"/>
    <w:rsid w:val="000D06B0"/>
    <w:rsid w:val="000D0B73"/>
    <w:rsid w:val="000D105D"/>
    <w:rsid w:val="000D25A8"/>
    <w:rsid w:val="000D275B"/>
    <w:rsid w:val="000D32C8"/>
    <w:rsid w:val="000D36CD"/>
    <w:rsid w:val="000D3731"/>
    <w:rsid w:val="000D3FB3"/>
    <w:rsid w:val="000D4360"/>
    <w:rsid w:val="000D4848"/>
    <w:rsid w:val="000D50D5"/>
    <w:rsid w:val="000D6E11"/>
    <w:rsid w:val="000E05FE"/>
    <w:rsid w:val="000E0B21"/>
    <w:rsid w:val="000E278A"/>
    <w:rsid w:val="000E2A66"/>
    <w:rsid w:val="000E3D42"/>
    <w:rsid w:val="000E486D"/>
    <w:rsid w:val="000E59C2"/>
    <w:rsid w:val="000F0273"/>
    <w:rsid w:val="000F04EF"/>
    <w:rsid w:val="000F0500"/>
    <w:rsid w:val="000F0669"/>
    <w:rsid w:val="000F0ADB"/>
    <w:rsid w:val="000F0E4A"/>
    <w:rsid w:val="000F1E87"/>
    <w:rsid w:val="000F233D"/>
    <w:rsid w:val="000F3644"/>
    <w:rsid w:val="000F39C0"/>
    <w:rsid w:val="000F42DC"/>
    <w:rsid w:val="000F4CDD"/>
    <w:rsid w:val="000F5480"/>
    <w:rsid w:val="000F7015"/>
    <w:rsid w:val="000F7E6E"/>
    <w:rsid w:val="00102217"/>
    <w:rsid w:val="00103012"/>
    <w:rsid w:val="001049DD"/>
    <w:rsid w:val="001064C4"/>
    <w:rsid w:val="00106CFD"/>
    <w:rsid w:val="00111CE7"/>
    <w:rsid w:val="001120E6"/>
    <w:rsid w:val="00113519"/>
    <w:rsid w:val="00114906"/>
    <w:rsid w:val="00115967"/>
    <w:rsid w:val="001202D5"/>
    <w:rsid w:val="00120425"/>
    <w:rsid w:val="0012046A"/>
    <w:rsid w:val="0012091B"/>
    <w:rsid w:val="001212E7"/>
    <w:rsid w:val="00121E8B"/>
    <w:rsid w:val="001223D3"/>
    <w:rsid w:val="00122BD5"/>
    <w:rsid w:val="00122C83"/>
    <w:rsid w:val="00122F16"/>
    <w:rsid w:val="00123232"/>
    <w:rsid w:val="00124243"/>
    <w:rsid w:val="0012483A"/>
    <w:rsid w:val="0012486B"/>
    <w:rsid w:val="00125CA7"/>
    <w:rsid w:val="00126CB1"/>
    <w:rsid w:val="00126E43"/>
    <w:rsid w:val="00127CCB"/>
    <w:rsid w:val="00130124"/>
    <w:rsid w:val="00131573"/>
    <w:rsid w:val="00133527"/>
    <w:rsid w:val="00133E75"/>
    <w:rsid w:val="00133F79"/>
    <w:rsid w:val="00135B00"/>
    <w:rsid w:val="001360EC"/>
    <w:rsid w:val="001368E0"/>
    <w:rsid w:val="00140381"/>
    <w:rsid w:val="001403B9"/>
    <w:rsid w:val="00140CAB"/>
    <w:rsid w:val="0014212E"/>
    <w:rsid w:val="0014234F"/>
    <w:rsid w:val="00142478"/>
    <w:rsid w:val="001430D2"/>
    <w:rsid w:val="0014371D"/>
    <w:rsid w:val="001437CF"/>
    <w:rsid w:val="001437ED"/>
    <w:rsid w:val="00144257"/>
    <w:rsid w:val="00145A72"/>
    <w:rsid w:val="00145D32"/>
    <w:rsid w:val="00146088"/>
    <w:rsid w:val="001466FB"/>
    <w:rsid w:val="00146C76"/>
    <w:rsid w:val="00147318"/>
    <w:rsid w:val="00147A3B"/>
    <w:rsid w:val="00151C3F"/>
    <w:rsid w:val="00152732"/>
    <w:rsid w:val="00152D37"/>
    <w:rsid w:val="001534CD"/>
    <w:rsid w:val="00154200"/>
    <w:rsid w:val="00154F43"/>
    <w:rsid w:val="00155C26"/>
    <w:rsid w:val="0015607A"/>
    <w:rsid w:val="001570F8"/>
    <w:rsid w:val="00157717"/>
    <w:rsid w:val="001577F4"/>
    <w:rsid w:val="001602B7"/>
    <w:rsid w:val="001602E1"/>
    <w:rsid w:val="001607F1"/>
    <w:rsid w:val="00161E10"/>
    <w:rsid w:val="0016251D"/>
    <w:rsid w:val="00162816"/>
    <w:rsid w:val="00163550"/>
    <w:rsid w:val="00163988"/>
    <w:rsid w:val="001641F1"/>
    <w:rsid w:val="001642BB"/>
    <w:rsid w:val="00164406"/>
    <w:rsid w:val="001646BC"/>
    <w:rsid w:val="00164D46"/>
    <w:rsid w:val="00165582"/>
    <w:rsid w:val="00166E7F"/>
    <w:rsid w:val="001675A9"/>
    <w:rsid w:val="001700C7"/>
    <w:rsid w:val="001705C5"/>
    <w:rsid w:val="0017091D"/>
    <w:rsid w:val="0017181B"/>
    <w:rsid w:val="00171C5F"/>
    <w:rsid w:val="00172782"/>
    <w:rsid w:val="00172D1E"/>
    <w:rsid w:val="00172F1E"/>
    <w:rsid w:val="001739E5"/>
    <w:rsid w:val="00173D6A"/>
    <w:rsid w:val="0017459A"/>
    <w:rsid w:val="00175314"/>
    <w:rsid w:val="00175E42"/>
    <w:rsid w:val="00175EB7"/>
    <w:rsid w:val="00176C11"/>
    <w:rsid w:val="00176E39"/>
    <w:rsid w:val="00177052"/>
    <w:rsid w:val="00177C76"/>
    <w:rsid w:val="001819B4"/>
    <w:rsid w:val="00182312"/>
    <w:rsid w:val="001827B8"/>
    <w:rsid w:val="001830DF"/>
    <w:rsid w:val="00183986"/>
    <w:rsid w:val="00184A71"/>
    <w:rsid w:val="00186CA4"/>
    <w:rsid w:val="001906F4"/>
    <w:rsid w:val="00190894"/>
    <w:rsid w:val="001909B2"/>
    <w:rsid w:val="001912F7"/>
    <w:rsid w:val="001918BF"/>
    <w:rsid w:val="00191B7C"/>
    <w:rsid w:val="00193E2B"/>
    <w:rsid w:val="00193E83"/>
    <w:rsid w:val="00194173"/>
    <w:rsid w:val="00194847"/>
    <w:rsid w:val="00194A66"/>
    <w:rsid w:val="00196621"/>
    <w:rsid w:val="00196E99"/>
    <w:rsid w:val="0019729D"/>
    <w:rsid w:val="00197756"/>
    <w:rsid w:val="001A0823"/>
    <w:rsid w:val="001A098C"/>
    <w:rsid w:val="001A0A61"/>
    <w:rsid w:val="001A1158"/>
    <w:rsid w:val="001A14AC"/>
    <w:rsid w:val="001A25A4"/>
    <w:rsid w:val="001A341B"/>
    <w:rsid w:val="001A393F"/>
    <w:rsid w:val="001A3DC5"/>
    <w:rsid w:val="001A427C"/>
    <w:rsid w:val="001A53D8"/>
    <w:rsid w:val="001A592D"/>
    <w:rsid w:val="001A59DD"/>
    <w:rsid w:val="001A5E1A"/>
    <w:rsid w:val="001A7533"/>
    <w:rsid w:val="001B0185"/>
    <w:rsid w:val="001B0F4E"/>
    <w:rsid w:val="001B13C7"/>
    <w:rsid w:val="001B261E"/>
    <w:rsid w:val="001B3C9E"/>
    <w:rsid w:val="001B3CFE"/>
    <w:rsid w:val="001B3E07"/>
    <w:rsid w:val="001B411F"/>
    <w:rsid w:val="001B566B"/>
    <w:rsid w:val="001B5874"/>
    <w:rsid w:val="001B5A06"/>
    <w:rsid w:val="001B681C"/>
    <w:rsid w:val="001B6BD9"/>
    <w:rsid w:val="001C09AB"/>
    <w:rsid w:val="001C1BFF"/>
    <w:rsid w:val="001C1F0C"/>
    <w:rsid w:val="001C241A"/>
    <w:rsid w:val="001C2953"/>
    <w:rsid w:val="001C31BB"/>
    <w:rsid w:val="001C3215"/>
    <w:rsid w:val="001C4D09"/>
    <w:rsid w:val="001C4F53"/>
    <w:rsid w:val="001C546A"/>
    <w:rsid w:val="001C54BE"/>
    <w:rsid w:val="001C67EE"/>
    <w:rsid w:val="001C6A85"/>
    <w:rsid w:val="001C6A8E"/>
    <w:rsid w:val="001C6FC0"/>
    <w:rsid w:val="001C7A6D"/>
    <w:rsid w:val="001D1C76"/>
    <w:rsid w:val="001D1D44"/>
    <w:rsid w:val="001D2C3D"/>
    <w:rsid w:val="001D2DD1"/>
    <w:rsid w:val="001D4C12"/>
    <w:rsid w:val="001D4DE1"/>
    <w:rsid w:val="001D5426"/>
    <w:rsid w:val="001D5943"/>
    <w:rsid w:val="001D652C"/>
    <w:rsid w:val="001D6BCF"/>
    <w:rsid w:val="001E01CA"/>
    <w:rsid w:val="001E1354"/>
    <w:rsid w:val="001E1BD7"/>
    <w:rsid w:val="001E1D09"/>
    <w:rsid w:val="001E204D"/>
    <w:rsid w:val="001E3F1C"/>
    <w:rsid w:val="001E400A"/>
    <w:rsid w:val="001E503E"/>
    <w:rsid w:val="001E5600"/>
    <w:rsid w:val="001E5F7B"/>
    <w:rsid w:val="001E69C7"/>
    <w:rsid w:val="001E6CBC"/>
    <w:rsid w:val="001E6DED"/>
    <w:rsid w:val="001F0926"/>
    <w:rsid w:val="001F1CF6"/>
    <w:rsid w:val="001F572B"/>
    <w:rsid w:val="001F6187"/>
    <w:rsid w:val="001F6E5A"/>
    <w:rsid w:val="00200B26"/>
    <w:rsid w:val="002028E6"/>
    <w:rsid w:val="0020654A"/>
    <w:rsid w:val="00206769"/>
    <w:rsid w:val="00206A46"/>
    <w:rsid w:val="002074BC"/>
    <w:rsid w:val="002104F7"/>
    <w:rsid w:val="002117EB"/>
    <w:rsid w:val="00211FAC"/>
    <w:rsid w:val="002124F3"/>
    <w:rsid w:val="00213B4F"/>
    <w:rsid w:val="00214127"/>
    <w:rsid w:val="002146B1"/>
    <w:rsid w:val="00216536"/>
    <w:rsid w:val="002165F5"/>
    <w:rsid w:val="00217F7E"/>
    <w:rsid w:val="00222EAE"/>
    <w:rsid w:val="00225CC3"/>
    <w:rsid w:val="00225DCC"/>
    <w:rsid w:val="00226FDD"/>
    <w:rsid w:val="00227EBE"/>
    <w:rsid w:val="00230325"/>
    <w:rsid w:val="0023156B"/>
    <w:rsid w:val="00232F0A"/>
    <w:rsid w:val="002344AF"/>
    <w:rsid w:val="00235CDC"/>
    <w:rsid w:val="002402AB"/>
    <w:rsid w:val="00240B62"/>
    <w:rsid w:val="00241044"/>
    <w:rsid w:val="00243E51"/>
    <w:rsid w:val="00243E76"/>
    <w:rsid w:val="00244CF3"/>
    <w:rsid w:val="00245DC9"/>
    <w:rsid w:val="002467EB"/>
    <w:rsid w:val="002472A4"/>
    <w:rsid w:val="0025005C"/>
    <w:rsid w:val="002500ED"/>
    <w:rsid w:val="00252A75"/>
    <w:rsid w:val="00252FC8"/>
    <w:rsid w:val="002532A0"/>
    <w:rsid w:val="00253B50"/>
    <w:rsid w:val="0025580F"/>
    <w:rsid w:val="00255891"/>
    <w:rsid w:val="00255EAE"/>
    <w:rsid w:val="00256668"/>
    <w:rsid w:val="002572E9"/>
    <w:rsid w:val="00257E09"/>
    <w:rsid w:val="002607CA"/>
    <w:rsid w:val="002618DB"/>
    <w:rsid w:val="00261B97"/>
    <w:rsid w:val="0026206C"/>
    <w:rsid w:val="0026255A"/>
    <w:rsid w:val="00262676"/>
    <w:rsid w:val="00262AE0"/>
    <w:rsid w:val="002634E6"/>
    <w:rsid w:val="0026461C"/>
    <w:rsid w:val="002664C5"/>
    <w:rsid w:val="00266F43"/>
    <w:rsid w:val="00270031"/>
    <w:rsid w:val="00270E66"/>
    <w:rsid w:val="00272089"/>
    <w:rsid w:val="0027305A"/>
    <w:rsid w:val="00275A57"/>
    <w:rsid w:val="00275CF5"/>
    <w:rsid w:val="00276E9C"/>
    <w:rsid w:val="00280545"/>
    <w:rsid w:val="00280A58"/>
    <w:rsid w:val="00280DA7"/>
    <w:rsid w:val="00281BED"/>
    <w:rsid w:val="00281C46"/>
    <w:rsid w:val="00281EF7"/>
    <w:rsid w:val="002822A5"/>
    <w:rsid w:val="0028301F"/>
    <w:rsid w:val="00283D43"/>
    <w:rsid w:val="00284212"/>
    <w:rsid w:val="00285017"/>
    <w:rsid w:val="0028635A"/>
    <w:rsid w:val="0028670A"/>
    <w:rsid w:val="00286C02"/>
    <w:rsid w:val="0028750F"/>
    <w:rsid w:val="00290852"/>
    <w:rsid w:val="00291284"/>
    <w:rsid w:val="0029268F"/>
    <w:rsid w:val="00292D50"/>
    <w:rsid w:val="00293D0F"/>
    <w:rsid w:val="00294134"/>
    <w:rsid w:val="002942C9"/>
    <w:rsid w:val="00294466"/>
    <w:rsid w:val="00296141"/>
    <w:rsid w:val="00297B59"/>
    <w:rsid w:val="00297EAF"/>
    <w:rsid w:val="002A1959"/>
    <w:rsid w:val="002A2160"/>
    <w:rsid w:val="002A2B41"/>
    <w:rsid w:val="002A2D2E"/>
    <w:rsid w:val="002A36B7"/>
    <w:rsid w:val="002A3D69"/>
    <w:rsid w:val="002A3E8E"/>
    <w:rsid w:val="002A4CCB"/>
    <w:rsid w:val="002A610D"/>
    <w:rsid w:val="002A63EB"/>
    <w:rsid w:val="002A65E8"/>
    <w:rsid w:val="002A6E79"/>
    <w:rsid w:val="002A79A0"/>
    <w:rsid w:val="002A7F26"/>
    <w:rsid w:val="002B0723"/>
    <w:rsid w:val="002B0ACE"/>
    <w:rsid w:val="002B28D8"/>
    <w:rsid w:val="002B300D"/>
    <w:rsid w:val="002B30E0"/>
    <w:rsid w:val="002B3F13"/>
    <w:rsid w:val="002B4262"/>
    <w:rsid w:val="002B46BB"/>
    <w:rsid w:val="002B5A51"/>
    <w:rsid w:val="002B5AC6"/>
    <w:rsid w:val="002B7EBB"/>
    <w:rsid w:val="002C00E8"/>
    <w:rsid w:val="002C06E0"/>
    <w:rsid w:val="002C2564"/>
    <w:rsid w:val="002C46DA"/>
    <w:rsid w:val="002C5302"/>
    <w:rsid w:val="002C57F7"/>
    <w:rsid w:val="002C72EB"/>
    <w:rsid w:val="002C7475"/>
    <w:rsid w:val="002D06E0"/>
    <w:rsid w:val="002D2737"/>
    <w:rsid w:val="002D27EB"/>
    <w:rsid w:val="002D317F"/>
    <w:rsid w:val="002D438E"/>
    <w:rsid w:val="002D4842"/>
    <w:rsid w:val="002D4CB5"/>
    <w:rsid w:val="002D5773"/>
    <w:rsid w:val="002D63C5"/>
    <w:rsid w:val="002D6A8F"/>
    <w:rsid w:val="002D724C"/>
    <w:rsid w:val="002D73DB"/>
    <w:rsid w:val="002D7A66"/>
    <w:rsid w:val="002D7C89"/>
    <w:rsid w:val="002E1470"/>
    <w:rsid w:val="002E1A6C"/>
    <w:rsid w:val="002E1D43"/>
    <w:rsid w:val="002E3E41"/>
    <w:rsid w:val="002E434C"/>
    <w:rsid w:val="002E4941"/>
    <w:rsid w:val="002E5485"/>
    <w:rsid w:val="002E555B"/>
    <w:rsid w:val="002E62BC"/>
    <w:rsid w:val="002E664E"/>
    <w:rsid w:val="002E6E31"/>
    <w:rsid w:val="002E7009"/>
    <w:rsid w:val="002E7908"/>
    <w:rsid w:val="002F08A3"/>
    <w:rsid w:val="002F10D4"/>
    <w:rsid w:val="002F20CF"/>
    <w:rsid w:val="002F2150"/>
    <w:rsid w:val="002F24B0"/>
    <w:rsid w:val="002F2809"/>
    <w:rsid w:val="002F3534"/>
    <w:rsid w:val="002F45D3"/>
    <w:rsid w:val="002F474B"/>
    <w:rsid w:val="002F5202"/>
    <w:rsid w:val="002F60BD"/>
    <w:rsid w:val="002F64B5"/>
    <w:rsid w:val="002F6608"/>
    <w:rsid w:val="002F6B6B"/>
    <w:rsid w:val="00300165"/>
    <w:rsid w:val="00300489"/>
    <w:rsid w:val="00300CA1"/>
    <w:rsid w:val="00301025"/>
    <w:rsid w:val="003020B5"/>
    <w:rsid w:val="0030332E"/>
    <w:rsid w:val="00303B34"/>
    <w:rsid w:val="003044AE"/>
    <w:rsid w:val="0030588B"/>
    <w:rsid w:val="00305C9C"/>
    <w:rsid w:val="0030655D"/>
    <w:rsid w:val="00307383"/>
    <w:rsid w:val="00310C10"/>
    <w:rsid w:val="00310E0E"/>
    <w:rsid w:val="00311270"/>
    <w:rsid w:val="00311A32"/>
    <w:rsid w:val="003124C9"/>
    <w:rsid w:val="00312BE9"/>
    <w:rsid w:val="0031324D"/>
    <w:rsid w:val="003133B2"/>
    <w:rsid w:val="0031357D"/>
    <w:rsid w:val="00314774"/>
    <w:rsid w:val="00315FAA"/>
    <w:rsid w:val="00316B7E"/>
    <w:rsid w:val="003171BC"/>
    <w:rsid w:val="0031796F"/>
    <w:rsid w:val="00321F0A"/>
    <w:rsid w:val="00322572"/>
    <w:rsid w:val="00322FD6"/>
    <w:rsid w:val="003231A3"/>
    <w:rsid w:val="0032335F"/>
    <w:rsid w:val="003245FD"/>
    <w:rsid w:val="003251A5"/>
    <w:rsid w:val="0032543B"/>
    <w:rsid w:val="003271B9"/>
    <w:rsid w:val="00330266"/>
    <w:rsid w:val="00331064"/>
    <w:rsid w:val="00332A5A"/>
    <w:rsid w:val="00333B71"/>
    <w:rsid w:val="00333FDC"/>
    <w:rsid w:val="00334D38"/>
    <w:rsid w:val="003369BE"/>
    <w:rsid w:val="00337155"/>
    <w:rsid w:val="0033728B"/>
    <w:rsid w:val="00337F14"/>
    <w:rsid w:val="003405AB"/>
    <w:rsid w:val="00340A09"/>
    <w:rsid w:val="00340FA7"/>
    <w:rsid w:val="0034242C"/>
    <w:rsid w:val="0034302C"/>
    <w:rsid w:val="00343749"/>
    <w:rsid w:val="003464E4"/>
    <w:rsid w:val="0034709B"/>
    <w:rsid w:val="0034732F"/>
    <w:rsid w:val="00347499"/>
    <w:rsid w:val="00350001"/>
    <w:rsid w:val="003501E5"/>
    <w:rsid w:val="003505AA"/>
    <w:rsid w:val="00353F22"/>
    <w:rsid w:val="0035569C"/>
    <w:rsid w:val="00356496"/>
    <w:rsid w:val="003566F8"/>
    <w:rsid w:val="0036143B"/>
    <w:rsid w:val="00362941"/>
    <w:rsid w:val="0036351E"/>
    <w:rsid w:val="003638F3"/>
    <w:rsid w:val="00364E71"/>
    <w:rsid w:val="00365189"/>
    <w:rsid w:val="00365457"/>
    <w:rsid w:val="0036589E"/>
    <w:rsid w:val="00365E89"/>
    <w:rsid w:val="003660ED"/>
    <w:rsid w:val="00366294"/>
    <w:rsid w:val="003669CD"/>
    <w:rsid w:val="00366E1A"/>
    <w:rsid w:val="00367846"/>
    <w:rsid w:val="00367E93"/>
    <w:rsid w:val="0037046A"/>
    <w:rsid w:val="003709C5"/>
    <w:rsid w:val="00370C66"/>
    <w:rsid w:val="00370D63"/>
    <w:rsid w:val="00370F3D"/>
    <w:rsid w:val="00371B5D"/>
    <w:rsid w:val="003725AF"/>
    <w:rsid w:val="00372DDB"/>
    <w:rsid w:val="00373030"/>
    <w:rsid w:val="003738A8"/>
    <w:rsid w:val="00374B79"/>
    <w:rsid w:val="0037604D"/>
    <w:rsid w:val="0037671A"/>
    <w:rsid w:val="00376C96"/>
    <w:rsid w:val="00377C58"/>
    <w:rsid w:val="00380108"/>
    <w:rsid w:val="0038031E"/>
    <w:rsid w:val="0038117F"/>
    <w:rsid w:val="00382511"/>
    <w:rsid w:val="00382710"/>
    <w:rsid w:val="00384A66"/>
    <w:rsid w:val="00384C79"/>
    <w:rsid w:val="003851DF"/>
    <w:rsid w:val="003857C3"/>
    <w:rsid w:val="00386652"/>
    <w:rsid w:val="003878AF"/>
    <w:rsid w:val="003912FA"/>
    <w:rsid w:val="0039190B"/>
    <w:rsid w:val="00394358"/>
    <w:rsid w:val="00394AFB"/>
    <w:rsid w:val="003971AE"/>
    <w:rsid w:val="003A04F3"/>
    <w:rsid w:val="003A49FC"/>
    <w:rsid w:val="003A5078"/>
    <w:rsid w:val="003A5FBA"/>
    <w:rsid w:val="003A70A5"/>
    <w:rsid w:val="003B0550"/>
    <w:rsid w:val="003B05BB"/>
    <w:rsid w:val="003B0C35"/>
    <w:rsid w:val="003B0D5F"/>
    <w:rsid w:val="003B1230"/>
    <w:rsid w:val="003B1CD0"/>
    <w:rsid w:val="003B2610"/>
    <w:rsid w:val="003B2A3B"/>
    <w:rsid w:val="003B43CC"/>
    <w:rsid w:val="003B694F"/>
    <w:rsid w:val="003B6F5E"/>
    <w:rsid w:val="003B7671"/>
    <w:rsid w:val="003B793A"/>
    <w:rsid w:val="003C023C"/>
    <w:rsid w:val="003C16AF"/>
    <w:rsid w:val="003C1D73"/>
    <w:rsid w:val="003C2BE0"/>
    <w:rsid w:val="003C2DB4"/>
    <w:rsid w:val="003C3901"/>
    <w:rsid w:val="003C3D0F"/>
    <w:rsid w:val="003C4242"/>
    <w:rsid w:val="003C5A42"/>
    <w:rsid w:val="003C6A74"/>
    <w:rsid w:val="003C7C70"/>
    <w:rsid w:val="003D12D1"/>
    <w:rsid w:val="003D144D"/>
    <w:rsid w:val="003D17AC"/>
    <w:rsid w:val="003D23BC"/>
    <w:rsid w:val="003D2DCC"/>
    <w:rsid w:val="003D2F25"/>
    <w:rsid w:val="003D44FF"/>
    <w:rsid w:val="003D5B73"/>
    <w:rsid w:val="003D67FC"/>
    <w:rsid w:val="003D7BE7"/>
    <w:rsid w:val="003E1D18"/>
    <w:rsid w:val="003E1DD0"/>
    <w:rsid w:val="003E234B"/>
    <w:rsid w:val="003E2688"/>
    <w:rsid w:val="003E385A"/>
    <w:rsid w:val="003E3BD3"/>
    <w:rsid w:val="003E415F"/>
    <w:rsid w:val="003E4B27"/>
    <w:rsid w:val="003E59A7"/>
    <w:rsid w:val="003E72B7"/>
    <w:rsid w:val="003E7DD7"/>
    <w:rsid w:val="003F0238"/>
    <w:rsid w:val="003F02A4"/>
    <w:rsid w:val="003F139B"/>
    <w:rsid w:val="003F171C"/>
    <w:rsid w:val="003F28A6"/>
    <w:rsid w:val="003F2A27"/>
    <w:rsid w:val="003F3627"/>
    <w:rsid w:val="003F59F8"/>
    <w:rsid w:val="003F7AC2"/>
    <w:rsid w:val="00400719"/>
    <w:rsid w:val="004011A5"/>
    <w:rsid w:val="0040251B"/>
    <w:rsid w:val="00402BE4"/>
    <w:rsid w:val="00402C61"/>
    <w:rsid w:val="0040353A"/>
    <w:rsid w:val="0040361D"/>
    <w:rsid w:val="00403A5E"/>
    <w:rsid w:val="004046C5"/>
    <w:rsid w:val="00404D81"/>
    <w:rsid w:val="004064D6"/>
    <w:rsid w:val="00406EBE"/>
    <w:rsid w:val="00410DB7"/>
    <w:rsid w:val="00412FC5"/>
    <w:rsid w:val="004136D2"/>
    <w:rsid w:val="00413A46"/>
    <w:rsid w:val="00413BFD"/>
    <w:rsid w:val="00413D1E"/>
    <w:rsid w:val="00414879"/>
    <w:rsid w:val="00414E06"/>
    <w:rsid w:val="00414F30"/>
    <w:rsid w:val="00415B07"/>
    <w:rsid w:val="00417D71"/>
    <w:rsid w:val="0042090F"/>
    <w:rsid w:val="0042217E"/>
    <w:rsid w:val="00422276"/>
    <w:rsid w:val="00423718"/>
    <w:rsid w:val="00423A3F"/>
    <w:rsid w:val="004242F1"/>
    <w:rsid w:val="00424353"/>
    <w:rsid w:val="00424A26"/>
    <w:rsid w:val="00424A3D"/>
    <w:rsid w:val="004252B3"/>
    <w:rsid w:val="00425E59"/>
    <w:rsid w:val="00427241"/>
    <w:rsid w:val="00427266"/>
    <w:rsid w:val="00427557"/>
    <w:rsid w:val="00427A9C"/>
    <w:rsid w:val="0043005A"/>
    <w:rsid w:val="004301E6"/>
    <w:rsid w:val="00430258"/>
    <w:rsid w:val="00431DCF"/>
    <w:rsid w:val="00431F80"/>
    <w:rsid w:val="00432077"/>
    <w:rsid w:val="0043217F"/>
    <w:rsid w:val="0043254B"/>
    <w:rsid w:val="004339DA"/>
    <w:rsid w:val="00433E8B"/>
    <w:rsid w:val="00435362"/>
    <w:rsid w:val="0043537D"/>
    <w:rsid w:val="00435D86"/>
    <w:rsid w:val="00435DAD"/>
    <w:rsid w:val="0043704D"/>
    <w:rsid w:val="00441F4F"/>
    <w:rsid w:val="00443F60"/>
    <w:rsid w:val="004455B0"/>
    <w:rsid w:val="00445A00"/>
    <w:rsid w:val="00445B38"/>
    <w:rsid w:val="004462BF"/>
    <w:rsid w:val="00447A69"/>
    <w:rsid w:val="00450024"/>
    <w:rsid w:val="00451760"/>
    <w:rsid w:val="00451B0F"/>
    <w:rsid w:val="0045342B"/>
    <w:rsid w:val="00453889"/>
    <w:rsid w:val="00454779"/>
    <w:rsid w:val="00454DE7"/>
    <w:rsid w:val="00460017"/>
    <w:rsid w:val="004605FC"/>
    <w:rsid w:val="004614FA"/>
    <w:rsid w:val="00461D07"/>
    <w:rsid w:val="00461EAB"/>
    <w:rsid w:val="00462DC8"/>
    <w:rsid w:val="00463893"/>
    <w:rsid w:val="004641F4"/>
    <w:rsid w:val="0046439E"/>
    <w:rsid w:val="0046567F"/>
    <w:rsid w:val="00467388"/>
    <w:rsid w:val="00467773"/>
    <w:rsid w:val="0046787F"/>
    <w:rsid w:val="00467B85"/>
    <w:rsid w:val="00472292"/>
    <w:rsid w:val="00472752"/>
    <w:rsid w:val="004746C3"/>
    <w:rsid w:val="00474882"/>
    <w:rsid w:val="00475233"/>
    <w:rsid w:val="00475270"/>
    <w:rsid w:val="00475BB3"/>
    <w:rsid w:val="00476CC0"/>
    <w:rsid w:val="00476E85"/>
    <w:rsid w:val="00480210"/>
    <w:rsid w:val="0048128D"/>
    <w:rsid w:val="00481AF2"/>
    <w:rsid w:val="004823CD"/>
    <w:rsid w:val="00483B7E"/>
    <w:rsid w:val="00483DBB"/>
    <w:rsid w:val="00484228"/>
    <w:rsid w:val="004846D5"/>
    <w:rsid w:val="00484E29"/>
    <w:rsid w:val="00485DCA"/>
    <w:rsid w:val="0048610B"/>
    <w:rsid w:val="00486B41"/>
    <w:rsid w:val="00487600"/>
    <w:rsid w:val="00491654"/>
    <w:rsid w:val="00491BA8"/>
    <w:rsid w:val="00492056"/>
    <w:rsid w:val="0049339A"/>
    <w:rsid w:val="00493D49"/>
    <w:rsid w:val="00494215"/>
    <w:rsid w:val="0049464F"/>
    <w:rsid w:val="0049504D"/>
    <w:rsid w:val="004950AB"/>
    <w:rsid w:val="004952D8"/>
    <w:rsid w:val="004954DA"/>
    <w:rsid w:val="00495B12"/>
    <w:rsid w:val="00497646"/>
    <w:rsid w:val="00497648"/>
    <w:rsid w:val="004A013F"/>
    <w:rsid w:val="004A14CE"/>
    <w:rsid w:val="004A262E"/>
    <w:rsid w:val="004A2A36"/>
    <w:rsid w:val="004A35CA"/>
    <w:rsid w:val="004A3FE9"/>
    <w:rsid w:val="004A51D0"/>
    <w:rsid w:val="004A5284"/>
    <w:rsid w:val="004A5F8F"/>
    <w:rsid w:val="004B0827"/>
    <w:rsid w:val="004B1312"/>
    <w:rsid w:val="004B1B54"/>
    <w:rsid w:val="004B239E"/>
    <w:rsid w:val="004B28C3"/>
    <w:rsid w:val="004B2F0C"/>
    <w:rsid w:val="004B37EB"/>
    <w:rsid w:val="004B4470"/>
    <w:rsid w:val="004B4733"/>
    <w:rsid w:val="004B5C1A"/>
    <w:rsid w:val="004B6709"/>
    <w:rsid w:val="004B67B3"/>
    <w:rsid w:val="004B751F"/>
    <w:rsid w:val="004B78FC"/>
    <w:rsid w:val="004C039D"/>
    <w:rsid w:val="004C06E8"/>
    <w:rsid w:val="004C0713"/>
    <w:rsid w:val="004C0F3F"/>
    <w:rsid w:val="004C2EE3"/>
    <w:rsid w:val="004C323B"/>
    <w:rsid w:val="004C3AF3"/>
    <w:rsid w:val="004C4C6A"/>
    <w:rsid w:val="004C5204"/>
    <w:rsid w:val="004C5281"/>
    <w:rsid w:val="004C55CE"/>
    <w:rsid w:val="004C5A6A"/>
    <w:rsid w:val="004C6875"/>
    <w:rsid w:val="004C695C"/>
    <w:rsid w:val="004C7ECA"/>
    <w:rsid w:val="004D01A4"/>
    <w:rsid w:val="004D0248"/>
    <w:rsid w:val="004D2574"/>
    <w:rsid w:val="004D2721"/>
    <w:rsid w:val="004D2F84"/>
    <w:rsid w:val="004D387E"/>
    <w:rsid w:val="004D3A1B"/>
    <w:rsid w:val="004D53CF"/>
    <w:rsid w:val="004D5F61"/>
    <w:rsid w:val="004D61E8"/>
    <w:rsid w:val="004D6CAC"/>
    <w:rsid w:val="004D7444"/>
    <w:rsid w:val="004E0B3E"/>
    <w:rsid w:val="004E0E1F"/>
    <w:rsid w:val="004E13A5"/>
    <w:rsid w:val="004E23BC"/>
    <w:rsid w:val="004E2DF5"/>
    <w:rsid w:val="004E42E4"/>
    <w:rsid w:val="004E460C"/>
    <w:rsid w:val="004E47FB"/>
    <w:rsid w:val="004E4A22"/>
    <w:rsid w:val="004E5E3B"/>
    <w:rsid w:val="004E64CC"/>
    <w:rsid w:val="004E6B21"/>
    <w:rsid w:val="004E77ED"/>
    <w:rsid w:val="004E7D88"/>
    <w:rsid w:val="004F0D0A"/>
    <w:rsid w:val="004F2DCD"/>
    <w:rsid w:val="004F371F"/>
    <w:rsid w:val="004F372E"/>
    <w:rsid w:val="004F561A"/>
    <w:rsid w:val="004F56BF"/>
    <w:rsid w:val="004F69CA"/>
    <w:rsid w:val="004F6D2D"/>
    <w:rsid w:val="004F75D2"/>
    <w:rsid w:val="004F7B8C"/>
    <w:rsid w:val="004F7D4D"/>
    <w:rsid w:val="00501191"/>
    <w:rsid w:val="00504DD5"/>
    <w:rsid w:val="00504E9E"/>
    <w:rsid w:val="005054D9"/>
    <w:rsid w:val="005059BE"/>
    <w:rsid w:val="00506480"/>
    <w:rsid w:val="00507942"/>
    <w:rsid w:val="00510191"/>
    <w:rsid w:val="005109DA"/>
    <w:rsid w:val="0051150E"/>
    <w:rsid w:val="00511968"/>
    <w:rsid w:val="005123DF"/>
    <w:rsid w:val="005130BB"/>
    <w:rsid w:val="005139F9"/>
    <w:rsid w:val="005153D8"/>
    <w:rsid w:val="00515C6C"/>
    <w:rsid w:val="00515F0F"/>
    <w:rsid w:val="00516121"/>
    <w:rsid w:val="005162D2"/>
    <w:rsid w:val="005166DD"/>
    <w:rsid w:val="0051686D"/>
    <w:rsid w:val="00520131"/>
    <w:rsid w:val="0052035D"/>
    <w:rsid w:val="00520546"/>
    <w:rsid w:val="0052121D"/>
    <w:rsid w:val="00521A4E"/>
    <w:rsid w:val="00521FDF"/>
    <w:rsid w:val="00522305"/>
    <w:rsid w:val="00522480"/>
    <w:rsid w:val="00522A42"/>
    <w:rsid w:val="00522BCC"/>
    <w:rsid w:val="0052357B"/>
    <w:rsid w:val="00525D97"/>
    <w:rsid w:val="00525DBC"/>
    <w:rsid w:val="0052656B"/>
    <w:rsid w:val="005269B4"/>
    <w:rsid w:val="00527E9A"/>
    <w:rsid w:val="005304A5"/>
    <w:rsid w:val="00530AF4"/>
    <w:rsid w:val="0053182A"/>
    <w:rsid w:val="005320DF"/>
    <w:rsid w:val="00533C78"/>
    <w:rsid w:val="00533DE5"/>
    <w:rsid w:val="005359FD"/>
    <w:rsid w:val="00535FBF"/>
    <w:rsid w:val="00536406"/>
    <w:rsid w:val="005369CD"/>
    <w:rsid w:val="00536A25"/>
    <w:rsid w:val="005377E7"/>
    <w:rsid w:val="00537C00"/>
    <w:rsid w:val="00540D67"/>
    <w:rsid w:val="005423E7"/>
    <w:rsid w:val="00542AE7"/>
    <w:rsid w:val="00542DF9"/>
    <w:rsid w:val="00542F97"/>
    <w:rsid w:val="00543575"/>
    <w:rsid w:val="00543576"/>
    <w:rsid w:val="0054378C"/>
    <w:rsid w:val="00543ACD"/>
    <w:rsid w:val="005443A8"/>
    <w:rsid w:val="00544CFE"/>
    <w:rsid w:val="00545777"/>
    <w:rsid w:val="005457EE"/>
    <w:rsid w:val="005459FC"/>
    <w:rsid w:val="0054623F"/>
    <w:rsid w:val="00546C32"/>
    <w:rsid w:val="0054774D"/>
    <w:rsid w:val="005477AA"/>
    <w:rsid w:val="005479E3"/>
    <w:rsid w:val="0055091B"/>
    <w:rsid w:val="00550C9B"/>
    <w:rsid w:val="00551248"/>
    <w:rsid w:val="00551266"/>
    <w:rsid w:val="00552CB5"/>
    <w:rsid w:val="00553581"/>
    <w:rsid w:val="0055481B"/>
    <w:rsid w:val="005554B4"/>
    <w:rsid w:val="0055614C"/>
    <w:rsid w:val="0055640A"/>
    <w:rsid w:val="005566DC"/>
    <w:rsid w:val="005573E0"/>
    <w:rsid w:val="00560054"/>
    <w:rsid w:val="0056045B"/>
    <w:rsid w:val="00560E12"/>
    <w:rsid w:val="00561610"/>
    <w:rsid w:val="00561778"/>
    <w:rsid w:val="00561DBB"/>
    <w:rsid w:val="0056232E"/>
    <w:rsid w:val="005623E0"/>
    <w:rsid w:val="00562E32"/>
    <w:rsid w:val="00563F1C"/>
    <w:rsid w:val="00564291"/>
    <w:rsid w:val="00564557"/>
    <w:rsid w:val="005651A6"/>
    <w:rsid w:val="00565303"/>
    <w:rsid w:val="00566D06"/>
    <w:rsid w:val="00566F11"/>
    <w:rsid w:val="005675E6"/>
    <w:rsid w:val="00570152"/>
    <w:rsid w:val="00570214"/>
    <w:rsid w:val="00570342"/>
    <w:rsid w:val="0057126F"/>
    <w:rsid w:val="005713A1"/>
    <w:rsid w:val="0057273C"/>
    <w:rsid w:val="00572C5C"/>
    <w:rsid w:val="00572E82"/>
    <w:rsid w:val="00572FF4"/>
    <w:rsid w:val="00573590"/>
    <w:rsid w:val="00573667"/>
    <w:rsid w:val="0057440B"/>
    <w:rsid w:val="005748A8"/>
    <w:rsid w:val="005749E6"/>
    <w:rsid w:val="00574CAA"/>
    <w:rsid w:val="005757FF"/>
    <w:rsid w:val="00575ADE"/>
    <w:rsid w:val="0057769A"/>
    <w:rsid w:val="005807A0"/>
    <w:rsid w:val="00580999"/>
    <w:rsid w:val="00580B3F"/>
    <w:rsid w:val="00580B62"/>
    <w:rsid w:val="00582984"/>
    <w:rsid w:val="00582EE8"/>
    <w:rsid w:val="00582FFE"/>
    <w:rsid w:val="0058329E"/>
    <w:rsid w:val="005838FC"/>
    <w:rsid w:val="00584E82"/>
    <w:rsid w:val="005867AB"/>
    <w:rsid w:val="00587326"/>
    <w:rsid w:val="00587E4D"/>
    <w:rsid w:val="00591A80"/>
    <w:rsid w:val="00591E1F"/>
    <w:rsid w:val="00591E2F"/>
    <w:rsid w:val="00592112"/>
    <w:rsid w:val="00593895"/>
    <w:rsid w:val="0059432F"/>
    <w:rsid w:val="00596555"/>
    <w:rsid w:val="00596C47"/>
    <w:rsid w:val="00597791"/>
    <w:rsid w:val="005A0A97"/>
    <w:rsid w:val="005A1379"/>
    <w:rsid w:val="005A140F"/>
    <w:rsid w:val="005A1736"/>
    <w:rsid w:val="005A24C2"/>
    <w:rsid w:val="005A2909"/>
    <w:rsid w:val="005A60B4"/>
    <w:rsid w:val="005A754A"/>
    <w:rsid w:val="005A76BA"/>
    <w:rsid w:val="005A7DA5"/>
    <w:rsid w:val="005B0BA5"/>
    <w:rsid w:val="005B34D5"/>
    <w:rsid w:val="005B36EA"/>
    <w:rsid w:val="005B59E2"/>
    <w:rsid w:val="005B5DB7"/>
    <w:rsid w:val="005B5F8F"/>
    <w:rsid w:val="005B68AB"/>
    <w:rsid w:val="005B75F1"/>
    <w:rsid w:val="005C044F"/>
    <w:rsid w:val="005C04BD"/>
    <w:rsid w:val="005C06A8"/>
    <w:rsid w:val="005C10C7"/>
    <w:rsid w:val="005C183C"/>
    <w:rsid w:val="005C1B88"/>
    <w:rsid w:val="005C1C25"/>
    <w:rsid w:val="005C31DC"/>
    <w:rsid w:val="005C572E"/>
    <w:rsid w:val="005C5906"/>
    <w:rsid w:val="005C61A1"/>
    <w:rsid w:val="005C6529"/>
    <w:rsid w:val="005C76C3"/>
    <w:rsid w:val="005C78C7"/>
    <w:rsid w:val="005C7DD5"/>
    <w:rsid w:val="005D0EC7"/>
    <w:rsid w:val="005D15A1"/>
    <w:rsid w:val="005D1782"/>
    <w:rsid w:val="005D26A1"/>
    <w:rsid w:val="005D2E91"/>
    <w:rsid w:val="005D4852"/>
    <w:rsid w:val="005D4F79"/>
    <w:rsid w:val="005D5647"/>
    <w:rsid w:val="005D6208"/>
    <w:rsid w:val="005E0396"/>
    <w:rsid w:val="005E0B93"/>
    <w:rsid w:val="005E111D"/>
    <w:rsid w:val="005E14C2"/>
    <w:rsid w:val="005E24F8"/>
    <w:rsid w:val="005E27C2"/>
    <w:rsid w:val="005E3188"/>
    <w:rsid w:val="005E3F88"/>
    <w:rsid w:val="005E4165"/>
    <w:rsid w:val="005E43F5"/>
    <w:rsid w:val="005E4423"/>
    <w:rsid w:val="005E475D"/>
    <w:rsid w:val="005E5588"/>
    <w:rsid w:val="005E579F"/>
    <w:rsid w:val="005E5856"/>
    <w:rsid w:val="005E77D5"/>
    <w:rsid w:val="005F08C0"/>
    <w:rsid w:val="005F0A6B"/>
    <w:rsid w:val="005F1394"/>
    <w:rsid w:val="005F2056"/>
    <w:rsid w:val="005F207D"/>
    <w:rsid w:val="005F244D"/>
    <w:rsid w:val="005F2683"/>
    <w:rsid w:val="005F32C6"/>
    <w:rsid w:val="005F34CF"/>
    <w:rsid w:val="005F38F9"/>
    <w:rsid w:val="005F3931"/>
    <w:rsid w:val="005F3B0F"/>
    <w:rsid w:val="005F3D40"/>
    <w:rsid w:val="005F4524"/>
    <w:rsid w:val="006004B2"/>
    <w:rsid w:val="00600F55"/>
    <w:rsid w:val="006020D1"/>
    <w:rsid w:val="00602E27"/>
    <w:rsid w:val="006037F8"/>
    <w:rsid w:val="00604CCD"/>
    <w:rsid w:val="00605787"/>
    <w:rsid w:val="00607BA5"/>
    <w:rsid w:val="006107BB"/>
    <w:rsid w:val="0061180A"/>
    <w:rsid w:val="006128A3"/>
    <w:rsid w:val="00614AD5"/>
    <w:rsid w:val="00614CF5"/>
    <w:rsid w:val="00615915"/>
    <w:rsid w:val="00616C68"/>
    <w:rsid w:val="00617D67"/>
    <w:rsid w:val="00617FD8"/>
    <w:rsid w:val="00621516"/>
    <w:rsid w:val="00621A50"/>
    <w:rsid w:val="00621BCC"/>
    <w:rsid w:val="00621FAE"/>
    <w:rsid w:val="00623259"/>
    <w:rsid w:val="00623455"/>
    <w:rsid w:val="006242BC"/>
    <w:rsid w:val="00624C4E"/>
    <w:rsid w:val="006252D5"/>
    <w:rsid w:val="00625A21"/>
    <w:rsid w:val="006264EA"/>
    <w:rsid w:val="00626EB6"/>
    <w:rsid w:val="0062780F"/>
    <w:rsid w:val="00630D94"/>
    <w:rsid w:val="00630F7C"/>
    <w:rsid w:val="00631B98"/>
    <w:rsid w:val="00632590"/>
    <w:rsid w:val="00632B5F"/>
    <w:rsid w:val="00632CA9"/>
    <w:rsid w:val="0063412F"/>
    <w:rsid w:val="00634EC2"/>
    <w:rsid w:val="00635C42"/>
    <w:rsid w:val="00636925"/>
    <w:rsid w:val="0063760F"/>
    <w:rsid w:val="00637EBD"/>
    <w:rsid w:val="00640292"/>
    <w:rsid w:val="00640493"/>
    <w:rsid w:val="006406B8"/>
    <w:rsid w:val="0064074D"/>
    <w:rsid w:val="00641AA4"/>
    <w:rsid w:val="00641CB2"/>
    <w:rsid w:val="006427AA"/>
    <w:rsid w:val="00642C2A"/>
    <w:rsid w:val="00642CDE"/>
    <w:rsid w:val="00642F16"/>
    <w:rsid w:val="0064333A"/>
    <w:rsid w:val="00643681"/>
    <w:rsid w:val="006458CE"/>
    <w:rsid w:val="00646306"/>
    <w:rsid w:val="006468B3"/>
    <w:rsid w:val="0064751A"/>
    <w:rsid w:val="0064763D"/>
    <w:rsid w:val="006500EF"/>
    <w:rsid w:val="0065019B"/>
    <w:rsid w:val="006505CC"/>
    <w:rsid w:val="006508DA"/>
    <w:rsid w:val="00650A3C"/>
    <w:rsid w:val="006511E3"/>
    <w:rsid w:val="00651464"/>
    <w:rsid w:val="00651883"/>
    <w:rsid w:val="006526D0"/>
    <w:rsid w:val="00652884"/>
    <w:rsid w:val="0065413C"/>
    <w:rsid w:val="00654485"/>
    <w:rsid w:val="00655163"/>
    <w:rsid w:val="006551AF"/>
    <w:rsid w:val="00655D03"/>
    <w:rsid w:val="00662200"/>
    <w:rsid w:val="00662486"/>
    <w:rsid w:val="00662881"/>
    <w:rsid w:val="00662CF7"/>
    <w:rsid w:val="00663D86"/>
    <w:rsid w:val="0066567A"/>
    <w:rsid w:val="00665DEC"/>
    <w:rsid w:val="00666133"/>
    <w:rsid w:val="006661B7"/>
    <w:rsid w:val="0066647E"/>
    <w:rsid w:val="00667ABA"/>
    <w:rsid w:val="006712EF"/>
    <w:rsid w:val="00672B0C"/>
    <w:rsid w:val="00672C2E"/>
    <w:rsid w:val="00672DEF"/>
    <w:rsid w:val="00673D7D"/>
    <w:rsid w:val="00674D1E"/>
    <w:rsid w:val="006754F4"/>
    <w:rsid w:val="006755FA"/>
    <w:rsid w:val="0067758B"/>
    <w:rsid w:val="006803F8"/>
    <w:rsid w:val="00681B96"/>
    <w:rsid w:val="00681CF1"/>
    <w:rsid w:val="00681FBE"/>
    <w:rsid w:val="00683388"/>
    <w:rsid w:val="00683DF1"/>
    <w:rsid w:val="00683F84"/>
    <w:rsid w:val="006840E7"/>
    <w:rsid w:val="006849CA"/>
    <w:rsid w:val="00685149"/>
    <w:rsid w:val="0068627B"/>
    <w:rsid w:val="006864DA"/>
    <w:rsid w:val="0068749A"/>
    <w:rsid w:val="00687D76"/>
    <w:rsid w:val="006903A2"/>
    <w:rsid w:val="006905AC"/>
    <w:rsid w:val="006909D8"/>
    <w:rsid w:val="006919BD"/>
    <w:rsid w:val="00691A81"/>
    <w:rsid w:val="00691F14"/>
    <w:rsid w:val="006925B0"/>
    <w:rsid w:val="00692EC9"/>
    <w:rsid w:val="006933A8"/>
    <w:rsid w:val="00693C1E"/>
    <w:rsid w:val="0069467B"/>
    <w:rsid w:val="00694687"/>
    <w:rsid w:val="0069518C"/>
    <w:rsid w:val="006959EF"/>
    <w:rsid w:val="00695C00"/>
    <w:rsid w:val="00695FDE"/>
    <w:rsid w:val="0069619F"/>
    <w:rsid w:val="006963C9"/>
    <w:rsid w:val="006963F3"/>
    <w:rsid w:val="00697128"/>
    <w:rsid w:val="00697B55"/>
    <w:rsid w:val="00697E5E"/>
    <w:rsid w:val="006A01F3"/>
    <w:rsid w:val="006A0813"/>
    <w:rsid w:val="006A1A8A"/>
    <w:rsid w:val="006A1D05"/>
    <w:rsid w:val="006A1FFF"/>
    <w:rsid w:val="006A30C8"/>
    <w:rsid w:val="006A466C"/>
    <w:rsid w:val="006A4CED"/>
    <w:rsid w:val="006A6043"/>
    <w:rsid w:val="006A6A81"/>
    <w:rsid w:val="006A6EB3"/>
    <w:rsid w:val="006A708D"/>
    <w:rsid w:val="006B2E22"/>
    <w:rsid w:val="006B3C93"/>
    <w:rsid w:val="006B4F03"/>
    <w:rsid w:val="006B50CA"/>
    <w:rsid w:val="006C0E05"/>
    <w:rsid w:val="006C1A78"/>
    <w:rsid w:val="006C1AEA"/>
    <w:rsid w:val="006C20E0"/>
    <w:rsid w:val="006C286B"/>
    <w:rsid w:val="006C3353"/>
    <w:rsid w:val="006C4630"/>
    <w:rsid w:val="006C52FB"/>
    <w:rsid w:val="006C5CF4"/>
    <w:rsid w:val="006C64F3"/>
    <w:rsid w:val="006C6905"/>
    <w:rsid w:val="006D040E"/>
    <w:rsid w:val="006D1181"/>
    <w:rsid w:val="006D17E4"/>
    <w:rsid w:val="006D1B3E"/>
    <w:rsid w:val="006D1BB7"/>
    <w:rsid w:val="006D1C3D"/>
    <w:rsid w:val="006D2F90"/>
    <w:rsid w:val="006D2F97"/>
    <w:rsid w:val="006D324D"/>
    <w:rsid w:val="006D4A72"/>
    <w:rsid w:val="006D4B5F"/>
    <w:rsid w:val="006D4C46"/>
    <w:rsid w:val="006D4D0B"/>
    <w:rsid w:val="006D58B3"/>
    <w:rsid w:val="006D5C0C"/>
    <w:rsid w:val="006D6451"/>
    <w:rsid w:val="006D68D3"/>
    <w:rsid w:val="006D76CB"/>
    <w:rsid w:val="006D7E9D"/>
    <w:rsid w:val="006E179C"/>
    <w:rsid w:val="006E268B"/>
    <w:rsid w:val="006E3F41"/>
    <w:rsid w:val="006E618A"/>
    <w:rsid w:val="006E6A9B"/>
    <w:rsid w:val="006E7B66"/>
    <w:rsid w:val="006F02C7"/>
    <w:rsid w:val="006F0936"/>
    <w:rsid w:val="006F0E73"/>
    <w:rsid w:val="006F3BC7"/>
    <w:rsid w:val="006F67A3"/>
    <w:rsid w:val="006F68C9"/>
    <w:rsid w:val="006F7393"/>
    <w:rsid w:val="0070224F"/>
    <w:rsid w:val="00702D0A"/>
    <w:rsid w:val="0070370B"/>
    <w:rsid w:val="00704096"/>
    <w:rsid w:val="007057F3"/>
    <w:rsid w:val="00705C2B"/>
    <w:rsid w:val="007068CE"/>
    <w:rsid w:val="00707158"/>
    <w:rsid w:val="00710127"/>
    <w:rsid w:val="007104C6"/>
    <w:rsid w:val="007115F7"/>
    <w:rsid w:val="007130CA"/>
    <w:rsid w:val="007134AE"/>
    <w:rsid w:val="00714245"/>
    <w:rsid w:val="00714BB0"/>
    <w:rsid w:val="00717012"/>
    <w:rsid w:val="0071712C"/>
    <w:rsid w:val="00717C41"/>
    <w:rsid w:val="00717F66"/>
    <w:rsid w:val="00720093"/>
    <w:rsid w:val="00720B10"/>
    <w:rsid w:val="007213D7"/>
    <w:rsid w:val="00721A3C"/>
    <w:rsid w:val="00723A80"/>
    <w:rsid w:val="00724315"/>
    <w:rsid w:val="0072591D"/>
    <w:rsid w:val="0072795E"/>
    <w:rsid w:val="00727D63"/>
    <w:rsid w:val="0073117A"/>
    <w:rsid w:val="007331F5"/>
    <w:rsid w:val="00734AAB"/>
    <w:rsid w:val="007353B3"/>
    <w:rsid w:val="007353F3"/>
    <w:rsid w:val="007359B0"/>
    <w:rsid w:val="007360EF"/>
    <w:rsid w:val="00737A26"/>
    <w:rsid w:val="00740AAA"/>
    <w:rsid w:val="00742131"/>
    <w:rsid w:val="0074226B"/>
    <w:rsid w:val="00743184"/>
    <w:rsid w:val="00743B64"/>
    <w:rsid w:val="00743E6B"/>
    <w:rsid w:val="00745773"/>
    <w:rsid w:val="007462B9"/>
    <w:rsid w:val="00746462"/>
    <w:rsid w:val="00746ACF"/>
    <w:rsid w:val="0074753B"/>
    <w:rsid w:val="0074771C"/>
    <w:rsid w:val="007501B8"/>
    <w:rsid w:val="00750FBD"/>
    <w:rsid w:val="00752944"/>
    <w:rsid w:val="007529BF"/>
    <w:rsid w:val="00752B4A"/>
    <w:rsid w:val="00752C6D"/>
    <w:rsid w:val="00752D81"/>
    <w:rsid w:val="00753573"/>
    <w:rsid w:val="00754FD2"/>
    <w:rsid w:val="00755469"/>
    <w:rsid w:val="007556C9"/>
    <w:rsid w:val="00756F2C"/>
    <w:rsid w:val="00757AD7"/>
    <w:rsid w:val="0076042A"/>
    <w:rsid w:val="0076104C"/>
    <w:rsid w:val="00761E68"/>
    <w:rsid w:val="0076353A"/>
    <w:rsid w:val="00764273"/>
    <w:rsid w:val="00766385"/>
    <w:rsid w:val="00766541"/>
    <w:rsid w:val="00766DD1"/>
    <w:rsid w:val="0076790F"/>
    <w:rsid w:val="007700F2"/>
    <w:rsid w:val="007714ED"/>
    <w:rsid w:val="00771F40"/>
    <w:rsid w:val="00771FCF"/>
    <w:rsid w:val="0077276A"/>
    <w:rsid w:val="0077300C"/>
    <w:rsid w:val="0077439A"/>
    <w:rsid w:val="007746C8"/>
    <w:rsid w:val="00774CCA"/>
    <w:rsid w:val="00775025"/>
    <w:rsid w:val="00775B10"/>
    <w:rsid w:val="00775BE3"/>
    <w:rsid w:val="007770D0"/>
    <w:rsid w:val="007770E0"/>
    <w:rsid w:val="007770FA"/>
    <w:rsid w:val="00777169"/>
    <w:rsid w:val="00780700"/>
    <w:rsid w:val="0078082C"/>
    <w:rsid w:val="007808D2"/>
    <w:rsid w:val="00781BE7"/>
    <w:rsid w:val="00782D94"/>
    <w:rsid w:val="0078363D"/>
    <w:rsid w:val="007850D4"/>
    <w:rsid w:val="00785689"/>
    <w:rsid w:val="00785A6D"/>
    <w:rsid w:val="00786CCF"/>
    <w:rsid w:val="00791340"/>
    <w:rsid w:val="007913D3"/>
    <w:rsid w:val="0079227D"/>
    <w:rsid w:val="007924C1"/>
    <w:rsid w:val="0079343C"/>
    <w:rsid w:val="00793AEE"/>
    <w:rsid w:val="00793BCB"/>
    <w:rsid w:val="0079566F"/>
    <w:rsid w:val="00795E55"/>
    <w:rsid w:val="0079607A"/>
    <w:rsid w:val="0079754B"/>
    <w:rsid w:val="007A03D9"/>
    <w:rsid w:val="007A0A8F"/>
    <w:rsid w:val="007A1E6D"/>
    <w:rsid w:val="007A23C2"/>
    <w:rsid w:val="007A3A17"/>
    <w:rsid w:val="007A3F87"/>
    <w:rsid w:val="007A4E8E"/>
    <w:rsid w:val="007B04B3"/>
    <w:rsid w:val="007B0EB2"/>
    <w:rsid w:val="007B13CE"/>
    <w:rsid w:val="007B17FE"/>
    <w:rsid w:val="007B29E2"/>
    <w:rsid w:val="007B2AF2"/>
    <w:rsid w:val="007B2D03"/>
    <w:rsid w:val="007B38EB"/>
    <w:rsid w:val="007B57B9"/>
    <w:rsid w:val="007B7825"/>
    <w:rsid w:val="007C0D58"/>
    <w:rsid w:val="007C1133"/>
    <w:rsid w:val="007C21FF"/>
    <w:rsid w:val="007C25E3"/>
    <w:rsid w:val="007C3AA1"/>
    <w:rsid w:val="007C4B55"/>
    <w:rsid w:val="007C7739"/>
    <w:rsid w:val="007D07DB"/>
    <w:rsid w:val="007D08CD"/>
    <w:rsid w:val="007D3E43"/>
    <w:rsid w:val="007D436B"/>
    <w:rsid w:val="007D4FC4"/>
    <w:rsid w:val="007D51B8"/>
    <w:rsid w:val="007D54DC"/>
    <w:rsid w:val="007D6C4F"/>
    <w:rsid w:val="007D7119"/>
    <w:rsid w:val="007E0041"/>
    <w:rsid w:val="007E19F1"/>
    <w:rsid w:val="007E1FB8"/>
    <w:rsid w:val="007E2AAD"/>
    <w:rsid w:val="007E2DE6"/>
    <w:rsid w:val="007E2E3F"/>
    <w:rsid w:val="007E3C66"/>
    <w:rsid w:val="007E419E"/>
    <w:rsid w:val="007E49D5"/>
    <w:rsid w:val="007E520F"/>
    <w:rsid w:val="007E7B9C"/>
    <w:rsid w:val="007F06A4"/>
    <w:rsid w:val="007F0D11"/>
    <w:rsid w:val="007F1876"/>
    <w:rsid w:val="007F1C16"/>
    <w:rsid w:val="007F3A0E"/>
    <w:rsid w:val="007F3E9C"/>
    <w:rsid w:val="007F4646"/>
    <w:rsid w:val="007F50A6"/>
    <w:rsid w:val="007F5A34"/>
    <w:rsid w:val="007F5FA1"/>
    <w:rsid w:val="007F6144"/>
    <w:rsid w:val="007F61A9"/>
    <w:rsid w:val="007F63C4"/>
    <w:rsid w:val="007F6B53"/>
    <w:rsid w:val="007F6D4F"/>
    <w:rsid w:val="007F6E63"/>
    <w:rsid w:val="007F711A"/>
    <w:rsid w:val="007F7170"/>
    <w:rsid w:val="0080049F"/>
    <w:rsid w:val="0080100D"/>
    <w:rsid w:val="00801EE8"/>
    <w:rsid w:val="008024B5"/>
    <w:rsid w:val="00802BC0"/>
    <w:rsid w:val="0080408C"/>
    <w:rsid w:val="008041B7"/>
    <w:rsid w:val="008045DB"/>
    <w:rsid w:val="0080743D"/>
    <w:rsid w:val="008106F8"/>
    <w:rsid w:val="00810B6F"/>
    <w:rsid w:val="00810F28"/>
    <w:rsid w:val="0081138C"/>
    <w:rsid w:val="008130A9"/>
    <w:rsid w:val="00813442"/>
    <w:rsid w:val="00813BAE"/>
    <w:rsid w:val="00813E25"/>
    <w:rsid w:val="008141FE"/>
    <w:rsid w:val="00816085"/>
    <w:rsid w:val="00817988"/>
    <w:rsid w:val="00817D29"/>
    <w:rsid w:val="00821894"/>
    <w:rsid w:val="00822622"/>
    <w:rsid w:val="0082295C"/>
    <w:rsid w:val="00822978"/>
    <w:rsid w:val="008229D3"/>
    <w:rsid w:val="00822CD2"/>
    <w:rsid w:val="00822CE0"/>
    <w:rsid w:val="008231E9"/>
    <w:rsid w:val="008239B9"/>
    <w:rsid w:val="00823F0A"/>
    <w:rsid w:val="0082446A"/>
    <w:rsid w:val="008274F0"/>
    <w:rsid w:val="00827EFC"/>
    <w:rsid w:val="00831FE5"/>
    <w:rsid w:val="008322F0"/>
    <w:rsid w:val="008325CC"/>
    <w:rsid w:val="00832828"/>
    <w:rsid w:val="00834A58"/>
    <w:rsid w:val="00834C19"/>
    <w:rsid w:val="00835EE5"/>
    <w:rsid w:val="00836674"/>
    <w:rsid w:val="00836A3F"/>
    <w:rsid w:val="00836BA0"/>
    <w:rsid w:val="00840CCC"/>
    <w:rsid w:val="00840DB7"/>
    <w:rsid w:val="0084135B"/>
    <w:rsid w:val="00841AB1"/>
    <w:rsid w:val="00841B51"/>
    <w:rsid w:val="00842FCE"/>
    <w:rsid w:val="00843D50"/>
    <w:rsid w:val="008441E9"/>
    <w:rsid w:val="00844722"/>
    <w:rsid w:val="00845546"/>
    <w:rsid w:val="00845951"/>
    <w:rsid w:val="00845EA2"/>
    <w:rsid w:val="00845EC6"/>
    <w:rsid w:val="00846270"/>
    <w:rsid w:val="00846277"/>
    <w:rsid w:val="008462FE"/>
    <w:rsid w:val="00846DD0"/>
    <w:rsid w:val="008503D5"/>
    <w:rsid w:val="0085104E"/>
    <w:rsid w:val="008519CA"/>
    <w:rsid w:val="00852EB7"/>
    <w:rsid w:val="008531D6"/>
    <w:rsid w:val="00853BC4"/>
    <w:rsid w:val="0085417A"/>
    <w:rsid w:val="008555C9"/>
    <w:rsid w:val="00856486"/>
    <w:rsid w:val="00856F4A"/>
    <w:rsid w:val="00857BCF"/>
    <w:rsid w:val="008614A1"/>
    <w:rsid w:val="008615C9"/>
    <w:rsid w:val="00861966"/>
    <w:rsid w:val="00870825"/>
    <w:rsid w:val="00870A05"/>
    <w:rsid w:val="008721D1"/>
    <w:rsid w:val="008727BC"/>
    <w:rsid w:val="00872F5B"/>
    <w:rsid w:val="0087378C"/>
    <w:rsid w:val="008750F2"/>
    <w:rsid w:val="00875DEA"/>
    <w:rsid w:val="008762B1"/>
    <w:rsid w:val="008765E2"/>
    <w:rsid w:val="0087683A"/>
    <w:rsid w:val="00882031"/>
    <w:rsid w:val="008828BE"/>
    <w:rsid w:val="008830BD"/>
    <w:rsid w:val="0088335D"/>
    <w:rsid w:val="00884237"/>
    <w:rsid w:val="0088575D"/>
    <w:rsid w:val="008863C7"/>
    <w:rsid w:val="0088765B"/>
    <w:rsid w:val="008878B7"/>
    <w:rsid w:val="00887BA1"/>
    <w:rsid w:val="00890B13"/>
    <w:rsid w:val="00891A44"/>
    <w:rsid w:val="008923A8"/>
    <w:rsid w:val="008926C9"/>
    <w:rsid w:val="008926CA"/>
    <w:rsid w:val="00892D0E"/>
    <w:rsid w:val="00893362"/>
    <w:rsid w:val="00893C64"/>
    <w:rsid w:val="00894B5C"/>
    <w:rsid w:val="008958B8"/>
    <w:rsid w:val="008961B1"/>
    <w:rsid w:val="0089681A"/>
    <w:rsid w:val="0089700D"/>
    <w:rsid w:val="00897593"/>
    <w:rsid w:val="00897D4D"/>
    <w:rsid w:val="008A027A"/>
    <w:rsid w:val="008A106E"/>
    <w:rsid w:val="008A12EB"/>
    <w:rsid w:val="008A22D5"/>
    <w:rsid w:val="008A264C"/>
    <w:rsid w:val="008A33E8"/>
    <w:rsid w:val="008A34F3"/>
    <w:rsid w:val="008A3867"/>
    <w:rsid w:val="008A4174"/>
    <w:rsid w:val="008A41B4"/>
    <w:rsid w:val="008A4421"/>
    <w:rsid w:val="008A45F1"/>
    <w:rsid w:val="008A55F4"/>
    <w:rsid w:val="008A59FE"/>
    <w:rsid w:val="008A64C2"/>
    <w:rsid w:val="008A6671"/>
    <w:rsid w:val="008A6CA5"/>
    <w:rsid w:val="008A7567"/>
    <w:rsid w:val="008B04D9"/>
    <w:rsid w:val="008B087B"/>
    <w:rsid w:val="008B1103"/>
    <w:rsid w:val="008B27A9"/>
    <w:rsid w:val="008B2A82"/>
    <w:rsid w:val="008B3624"/>
    <w:rsid w:val="008B39F9"/>
    <w:rsid w:val="008B47E3"/>
    <w:rsid w:val="008B5220"/>
    <w:rsid w:val="008B5C64"/>
    <w:rsid w:val="008B5DC8"/>
    <w:rsid w:val="008B77D2"/>
    <w:rsid w:val="008C002E"/>
    <w:rsid w:val="008C03EC"/>
    <w:rsid w:val="008C05E3"/>
    <w:rsid w:val="008C0DEC"/>
    <w:rsid w:val="008C0E0C"/>
    <w:rsid w:val="008C1774"/>
    <w:rsid w:val="008C1AD5"/>
    <w:rsid w:val="008C1BDC"/>
    <w:rsid w:val="008C2A5C"/>
    <w:rsid w:val="008C4433"/>
    <w:rsid w:val="008C4AF7"/>
    <w:rsid w:val="008C5A03"/>
    <w:rsid w:val="008C60AB"/>
    <w:rsid w:val="008C68F1"/>
    <w:rsid w:val="008C70C1"/>
    <w:rsid w:val="008D0387"/>
    <w:rsid w:val="008D0449"/>
    <w:rsid w:val="008D0AFE"/>
    <w:rsid w:val="008D17E0"/>
    <w:rsid w:val="008D1C6F"/>
    <w:rsid w:val="008D4673"/>
    <w:rsid w:val="008D4E0F"/>
    <w:rsid w:val="008E009D"/>
    <w:rsid w:val="008E020B"/>
    <w:rsid w:val="008E029C"/>
    <w:rsid w:val="008E2DFD"/>
    <w:rsid w:val="008E41BC"/>
    <w:rsid w:val="008E4571"/>
    <w:rsid w:val="008E6467"/>
    <w:rsid w:val="008F2B7D"/>
    <w:rsid w:val="008F5853"/>
    <w:rsid w:val="008F5E54"/>
    <w:rsid w:val="008F5ECF"/>
    <w:rsid w:val="008F7D3A"/>
    <w:rsid w:val="00901A05"/>
    <w:rsid w:val="00901CDF"/>
    <w:rsid w:val="00901DE6"/>
    <w:rsid w:val="009027DE"/>
    <w:rsid w:val="00902F52"/>
    <w:rsid w:val="009031A2"/>
    <w:rsid w:val="0090339F"/>
    <w:rsid w:val="009043BF"/>
    <w:rsid w:val="009064ED"/>
    <w:rsid w:val="00906725"/>
    <w:rsid w:val="00906920"/>
    <w:rsid w:val="00907067"/>
    <w:rsid w:val="0090788E"/>
    <w:rsid w:val="00907C67"/>
    <w:rsid w:val="00910EAA"/>
    <w:rsid w:val="00912BCD"/>
    <w:rsid w:val="00913A44"/>
    <w:rsid w:val="0091472E"/>
    <w:rsid w:val="0091489C"/>
    <w:rsid w:val="00914C68"/>
    <w:rsid w:val="00916314"/>
    <w:rsid w:val="00916E4C"/>
    <w:rsid w:val="00917FE2"/>
    <w:rsid w:val="00920517"/>
    <w:rsid w:val="00920EAC"/>
    <w:rsid w:val="00921803"/>
    <w:rsid w:val="00921C94"/>
    <w:rsid w:val="00921D76"/>
    <w:rsid w:val="00924E37"/>
    <w:rsid w:val="00925B75"/>
    <w:rsid w:val="00926503"/>
    <w:rsid w:val="00930BED"/>
    <w:rsid w:val="00934B74"/>
    <w:rsid w:val="00935383"/>
    <w:rsid w:val="009357CC"/>
    <w:rsid w:val="009369E2"/>
    <w:rsid w:val="0093731B"/>
    <w:rsid w:val="00940C4B"/>
    <w:rsid w:val="0094242F"/>
    <w:rsid w:val="00942922"/>
    <w:rsid w:val="00943C22"/>
    <w:rsid w:val="00943F8E"/>
    <w:rsid w:val="00944825"/>
    <w:rsid w:val="009456F3"/>
    <w:rsid w:val="00946072"/>
    <w:rsid w:val="00946096"/>
    <w:rsid w:val="009463E4"/>
    <w:rsid w:val="00946A09"/>
    <w:rsid w:val="00947019"/>
    <w:rsid w:val="00951132"/>
    <w:rsid w:val="00951572"/>
    <w:rsid w:val="009521AF"/>
    <w:rsid w:val="00952231"/>
    <w:rsid w:val="00953577"/>
    <w:rsid w:val="00953EBB"/>
    <w:rsid w:val="009541F5"/>
    <w:rsid w:val="00954627"/>
    <w:rsid w:val="00954F09"/>
    <w:rsid w:val="00955E66"/>
    <w:rsid w:val="00956E1E"/>
    <w:rsid w:val="00960822"/>
    <w:rsid w:val="0096126B"/>
    <w:rsid w:val="0096199E"/>
    <w:rsid w:val="0096268A"/>
    <w:rsid w:val="00962BFC"/>
    <w:rsid w:val="0096312E"/>
    <w:rsid w:val="009636AE"/>
    <w:rsid w:val="009640E4"/>
    <w:rsid w:val="0096455D"/>
    <w:rsid w:val="00965D7C"/>
    <w:rsid w:val="0096639B"/>
    <w:rsid w:val="009664AF"/>
    <w:rsid w:val="00966ACA"/>
    <w:rsid w:val="009672C7"/>
    <w:rsid w:val="009672F0"/>
    <w:rsid w:val="009679D2"/>
    <w:rsid w:val="00970768"/>
    <w:rsid w:val="00970811"/>
    <w:rsid w:val="00970B35"/>
    <w:rsid w:val="009715D8"/>
    <w:rsid w:val="009726D8"/>
    <w:rsid w:val="00973CB4"/>
    <w:rsid w:val="00974528"/>
    <w:rsid w:val="0097475C"/>
    <w:rsid w:val="00974D9D"/>
    <w:rsid w:val="009764A6"/>
    <w:rsid w:val="00976BCE"/>
    <w:rsid w:val="00976EE7"/>
    <w:rsid w:val="00977938"/>
    <w:rsid w:val="00977A43"/>
    <w:rsid w:val="0098020A"/>
    <w:rsid w:val="009809B5"/>
    <w:rsid w:val="00980BF7"/>
    <w:rsid w:val="00980D46"/>
    <w:rsid w:val="00982113"/>
    <w:rsid w:val="009824B6"/>
    <w:rsid w:val="00983E5F"/>
    <w:rsid w:val="00984078"/>
    <w:rsid w:val="0098441F"/>
    <w:rsid w:val="00985088"/>
    <w:rsid w:val="00985311"/>
    <w:rsid w:val="009857A0"/>
    <w:rsid w:val="00987253"/>
    <w:rsid w:val="00990487"/>
    <w:rsid w:val="00990BD0"/>
    <w:rsid w:val="00990D66"/>
    <w:rsid w:val="009910AF"/>
    <w:rsid w:val="00992491"/>
    <w:rsid w:val="00992CA2"/>
    <w:rsid w:val="00992CB7"/>
    <w:rsid w:val="00992D51"/>
    <w:rsid w:val="00995C0D"/>
    <w:rsid w:val="00995D72"/>
    <w:rsid w:val="00996179"/>
    <w:rsid w:val="009961B8"/>
    <w:rsid w:val="0099671A"/>
    <w:rsid w:val="009A0728"/>
    <w:rsid w:val="009A1721"/>
    <w:rsid w:val="009A4F95"/>
    <w:rsid w:val="009A4FF6"/>
    <w:rsid w:val="009B12AE"/>
    <w:rsid w:val="009B1327"/>
    <w:rsid w:val="009B1587"/>
    <w:rsid w:val="009B1779"/>
    <w:rsid w:val="009B295C"/>
    <w:rsid w:val="009B4D32"/>
    <w:rsid w:val="009B5993"/>
    <w:rsid w:val="009B76D3"/>
    <w:rsid w:val="009C1805"/>
    <w:rsid w:val="009C2424"/>
    <w:rsid w:val="009C261F"/>
    <w:rsid w:val="009C26ED"/>
    <w:rsid w:val="009C3885"/>
    <w:rsid w:val="009C576B"/>
    <w:rsid w:val="009C5797"/>
    <w:rsid w:val="009C614B"/>
    <w:rsid w:val="009C639E"/>
    <w:rsid w:val="009C7EEC"/>
    <w:rsid w:val="009D0BB0"/>
    <w:rsid w:val="009D0DC5"/>
    <w:rsid w:val="009D1695"/>
    <w:rsid w:val="009D33ED"/>
    <w:rsid w:val="009D44D6"/>
    <w:rsid w:val="009D459E"/>
    <w:rsid w:val="009D513B"/>
    <w:rsid w:val="009D675C"/>
    <w:rsid w:val="009D7308"/>
    <w:rsid w:val="009E0EFC"/>
    <w:rsid w:val="009E21F3"/>
    <w:rsid w:val="009E2602"/>
    <w:rsid w:val="009E302C"/>
    <w:rsid w:val="009E3684"/>
    <w:rsid w:val="009E47B1"/>
    <w:rsid w:val="009E5182"/>
    <w:rsid w:val="009E5F1D"/>
    <w:rsid w:val="009F2EE4"/>
    <w:rsid w:val="009F3315"/>
    <w:rsid w:val="009F3606"/>
    <w:rsid w:val="009F56F8"/>
    <w:rsid w:val="009F64A7"/>
    <w:rsid w:val="009F72E7"/>
    <w:rsid w:val="009F76DB"/>
    <w:rsid w:val="009F7FDA"/>
    <w:rsid w:val="00A00D93"/>
    <w:rsid w:val="00A011A2"/>
    <w:rsid w:val="00A012F7"/>
    <w:rsid w:val="00A019D8"/>
    <w:rsid w:val="00A0224F"/>
    <w:rsid w:val="00A03067"/>
    <w:rsid w:val="00A04B5E"/>
    <w:rsid w:val="00A04B9E"/>
    <w:rsid w:val="00A04EAC"/>
    <w:rsid w:val="00A06D3B"/>
    <w:rsid w:val="00A07A41"/>
    <w:rsid w:val="00A07E3D"/>
    <w:rsid w:val="00A1094F"/>
    <w:rsid w:val="00A10971"/>
    <w:rsid w:val="00A1177A"/>
    <w:rsid w:val="00A122D0"/>
    <w:rsid w:val="00A12784"/>
    <w:rsid w:val="00A14778"/>
    <w:rsid w:val="00A1527B"/>
    <w:rsid w:val="00A15693"/>
    <w:rsid w:val="00A17669"/>
    <w:rsid w:val="00A20298"/>
    <w:rsid w:val="00A21123"/>
    <w:rsid w:val="00A24E65"/>
    <w:rsid w:val="00A2539F"/>
    <w:rsid w:val="00A257D0"/>
    <w:rsid w:val="00A269AC"/>
    <w:rsid w:val="00A26CAA"/>
    <w:rsid w:val="00A2793E"/>
    <w:rsid w:val="00A27E50"/>
    <w:rsid w:val="00A30108"/>
    <w:rsid w:val="00A30BC3"/>
    <w:rsid w:val="00A3131C"/>
    <w:rsid w:val="00A32B63"/>
    <w:rsid w:val="00A32C3B"/>
    <w:rsid w:val="00A33986"/>
    <w:rsid w:val="00A35249"/>
    <w:rsid w:val="00A364B0"/>
    <w:rsid w:val="00A377B2"/>
    <w:rsid w:val="00A40A23"/>
    <w:rsid w:val="00A41E32"/>
    <w:rsid w:val="00A42767"/>
    <w:rsid w:val="00A441C6"/>
    <w:rsid w:val="00A442C5"/>
    <w:rsid w:val="00A44CF5"/>
    <w:rsid w:val="00A44DFD"/>
    <w:rsid w:val="00A4504F"/>
    <w:rsid w:val="00A45484"/>
    <w:rsid w:val="00A45AF3"/>
    <w:rsid w:val="00A45F4F"/>
    <w:rsid w:val="00A47B8D"/>
    <w:rsid w:val="00A47C71"/>
    <w:rsid w:val="00A47DD2"/>
    <w:rsid w:val="00A505AC"/>
    <w:rsid w:val="00A51840"/>
    <w:rsid w:val="00A51A86"/>
    <w:rsid w:val="00A5220D"/>
    <w:rsid w:val="00A5310A"/>
    <w:rsid w:val="00A53EB0"/>
    <w:rsid w:val="00A55489"/>
    <w:rsid w:val="00A56BFC"/>
    <w:rsid w:val="00A5756F"/>
    <w:rsid w:val="00A600A9"/>
    <w:rsid w:val="00A60B83"/>
    <w:rsid w:val="00A60FAD"/>
    <w:rsid w:val="00A613B9"/>
    <w:rsid w:val="00A61563"/>
    <w:rsid w:val="00A6199E"/>
    <w:rsid w:val="00A61CC6"/>
    <w:rsid w:val="00A62EFE"/>
    <w:rsid w:val="00A64569"/>
    <w:rsid w:val="00A6506E"/>
    <w:rsid w:val="00A66086"/>
    <w:rsid w:val="00A66F07"/>
    <w:rsid w:val="00A6714D"/>
    <w:rsid w:val="00A702EA"/>
    <w:rsid w:val="00A70A27"/>
    <w:rsid w:val="00A71D3A"/>
    <w:rsid w:val="00A71D3B"/>
    <w:rsid w:val="00A725DB"/>
    <w:rsid w:val="00A72C28"/>
    <w:rsid w:val="00A73BDB"/>
    <w:rsid w:val="00A76099"/>
    <w:rsid w:val="00A779F1"/>
    <w:rsid w:val="00A80871"/>
    <w:rsid w:val="00A809C6"/>
    <w:rsid w:val="00A80B20"/>
    <w:rsid w:val="00A80F4E"/>
    <w:rsid w:val="00A80F8D"/>
    <w:rsid w:val="00A812FA"/>
    <w:rsid w:val="00A81715"/>
    <w:rsid w:val="00A82679"/>
    <w:rsid w:val="00A82AB3"/>
    <w:rsid w:val="00A82C39"/>
    <w:rsid w:val="00A82FE2"/>
    <w:rsid w:val="00A83272"/>
    <w:rsid w:val="00A8435F"/>
    <w:rsid w:val="00A8441F"/>
    <w:rsid w:val="00A849D9"/>
    <w:rsid w:val="00A85CBA"/>
    <w:rsid w:val="00A85D0B"/>
    <w:rsid w:val="00A86250"/>
    <w:rsid w:val="00A86257"/>
    <w:rsid w:val="00A864B3"/>
    <w:rsid w:val="00A86939"/>
    <w:rsid w:val="00A86985"/>
    <w:rsid w:val="00A86A79"/>
    <w:rsid w:val="00A8795E"/>
    <w:rsid w:val="00A90397"/>
    <w:rsid w:val="00A908F3"/>
    <w:rsid w:val="00A90C7D"/>
    <w:rsid w:val="00A90DA3"/>
    <w:rsid w:val="00A90DE9"/>
    <w:rsid w:val="00A92951"/>
    <w:rsid w:val="00A92F93"/>
    <w:rsid w:val="00A969CB"/>
    <w:rsid w:val="00AA0458"/>
    <w:rsid w:val="00AA07A0"/>
    <w:rsid w:val="00AA0ED2"/>
    <w:rsid w:val="00AA1783"/>
    <w:rsid w:val="00AA24DF"/>
    <w:rsid w:val="00AA2A1A"/>
    <w:rsid w:val="00AA2F30"/>
    <w:rsid w:val="00AA37D7"/>
    <w:rsid w:val="00AA4E6A"/>
    <w:rsid w:val="00AA54EE"/>
    <w:rsid w:val="00AA55B7"/>
    <w:rsid w:val="00AA5B9E"/>
    <w:rsid w:val="00AA5F11"/>
    <w:rsid w:val="00AA6EA1"/>
    <w:rsid w:val="00AA6F03"/>
    <w:rsid w:val="00AB0352"/>
    <w:rsid w:val="00AB065C"/>
    <w:rsid w:val="00AB13B3"/>
    <w:rsid w:val="00AB18D8"/>
    <w:rsid w:val="00AB2407"/>
    <w:rsid w:val="00AB27A6"/>
    <w:rsid w:val="00AB3176"/>
    <w:rsid w:val="00AB4AD0"/>
    <w:rsid w:val="00AB53DF"/>
    <w:rsid w:val="00AB5643"/>
    <w:rsid w:val="00AB5774"/>
    <w:rsid w:val="00AB5D94"/>
    <w:rsid w:val="00AB5E4B"/>
    <w:rsid w:val="00AB5E6A"/>
    <w:rsid w:val="00AB69DD"/>
    <w:rsid w:val="00AB6BE9"/>
    <w:rsid w:val="00AB6EBD"/>
    <w:rsid w:val="00AB6F4B"/>
    <w:rsid w:val="00AC127C"/>
    <w:rsid w:val="00AC1C8D"/>
    <w:rsid w:val="00AC3644"/>
    <w:rsid w:val="00AC3C5E"/>
    <w:rsid w:val="00AC434B"/>
    <w:rsid w:val="00AC52A0"/>
    <w:rsid w:val="00AD1D08"/>
    <w:rsid w:val="00AD25AA"/>
    <w:rsid w:val="00AD2CE6"/>
    <w:rsid w:val="00AD3ACE"/>
    <w:rsid w:val="00AD470C"/>
    <w:rsid w:val="00AD7135"/>
    <w:rsid w:val="00AD74FF"/>
    <w:rsid w:val="00AD793C"/>
    <w:rsid w:val="00AD7A65"/>
    <w:rsid w:val="00AD7B18"/>
    <w:rsid w:val="00AE2737"/>
    <w:rsid w:val="00AE28E6"/>
    <w:rsid w:val="00AE2E60"/>
    <w:rsid w:val="00AE4C36"/>
    <w:rsid w:val="00AE585E"/>
    <w:rsid w:val="00AE6410"/>
    <w:rsid w:val="00AE6647"/>
    <w:rsid w:val="00AE79A4"/>
    <w:rsid w:val="00AE7C6E"/>
    <w:rsid w:val="00AF0213"/>
    <w:rsid w:val="00AF0952"/>
    <w:rsid w:val="00AF0AD8"/>
    <w:rsid w:val="00AF134B"/>
    <w:rsid w:val="00AF157E"/>
    <w:rsid w:val="00AF1959"/>
    <w:rsid w:val="00AF27BD"/>
    <w:rsid w:val="00AF32E6"/>
    <w:rsid w:val="00AF34C7"/>
    <w:rsid w:val="00AF3CB8"/>
    <w:rsid w:val="00AF430E"/>
    <w:rsid w:val="00B00BB6"/>
    <w:rsid w:val="00B00D57"/>
    <w:rsid w:val="00B01FA3"/>
    <w:rsid w:val="00B028F5"/>
    <w:rsid w:val="00B02947"/>
    <w:rsid w:val="00B03465"/>
    <w:rsid w:val="00B03BBF"/>
    <w:rsid w:val="00B03F1C"/>
    <w:rsid w:val="00B04A0B"/>
    <w:rsid w:val="00B05B74"/>
    <w:rsid w:val="00B05BBE"/>
    <w:rsid w:val="00B06C73"/>
    <w:rsid w:val="00B07A78"/>
    <w:rsid w:val="00B07E5C"/>
    <w:rsid w:val="00B10F3C"/>
    <w:rsid w:val="00B11338"/>
    <w:rsid w:val="00B12952"/>
    <w:rsid w:val="00B13F0C"/>
    <w:rsid w:val="00B14D7C"/>
    <w:rsid w:val="00B171C6"/>
    <w:rsid w:val="00B17E9B"/>
    <w:rsid w:val="00B20C2B"/>
    <w:rsid w:val="00B20C48"/>
    <w:rsid w:val="00B20E73"/>
    <w:rsid w:val="00B2129E"/>
    <w:rsid w:val="00B2175D"/>
    <w:rsid w:val="00B228E4"/>
    <w:rsid w:val="00B2346F"/>
    <w:rsid w:val="00B2487F"/>
    <w:rsid w:val="00B2526F"/>
    <w:rsid w:val="00B25630"/>
    <w:rsid w:val="00B25E88"/>
    <w:rsid w:val="00B26DF2"/>
    <w:rsid w:val="00B30B4B"/>
    <w:rsid w:val="00B320CC"/>
    <w:rsid w:val="00B3316B"/>
    <w:rsid w:val="00B34313"/>
    <w:rsid w:val="00B34D88"/>
    <w:rsid w:val="00B355A6"/>
    <w:rsid w:val="00B36F7A"/>
    <w:rsid w:val="00B3709C"/>
    <w:rsid w:val="00B408A2"/>
    <w:rsid w:val="00B416A1"/>
    <w:rsid w:val="00B42869"/>
    <w:rsid w:val="00B43798"/>
    <w:rsid w:val="00B43872"/>
    <w:rsid w:val="00B43D63"/>
    <w:rsid w:val="00B4475C"/>
    <w:rsid w:val="00B44AAD"/>
    <w:rsid w:val="00B451FD"/>
    <w:rsid w:val="00B45B3C"/>
    <w:rsid w:val="00B45BC7"/>
    <w:rsid w:val="00B47D33"/>
    <w:rsid w:val="00B50D66"/>
    <w:rsid w:val="00B52590"/>
    <w:rsid w:val="00B5261B"/>
    <w:rsid w:val="00B52D3A"/>
    <w:rsid w:val="00B536E4"/>
    <w:rsid w:val="00B53A2C"/>
    <w:rsid w:val="00B53EE3"/>
    <w:rsid w:val="00B56717"/>
    <w:rsid w:val="00B57012"/>
    <w:rsid w:val="00B570D2"/>
    <w:rsid w:val="00B57ADD"/>
    <w:rsid w:val="00B61FA6"/>
    <w:rsid w:val="00B62964"/>
    <w:rsid w:val="00B62E60"/>
    <w:rsid w:val="00B647EB"/>
    <w:rsid w:val="00B64B9B"/>
    <w:rsid w:val="00B65E26"/>
    <w:rsid w:val="00B66EBD"/>
    <w:rsid w:val="00B700E5"/>
    <w:rsid w:val="00B71BA7"/>
    <w:rsid w:val="00B71DB5"/>
    <w:rsid w:val="00B724C4"/>
    <w:rsid w:val="00B72765"/>
    <w:rsid w:val="00B75454"/>
    <w:rsid w:val="00B75F24"/>
    <w:rsid w:val="00B75F56"/>
    <w:rsid w:val="00B76051"/>
    <w:rsid w:val="00B76939"/>
    <w:rsid w:val="00B76C6C"/>
    <w:rsid w:val="00B76CB0"/>
    <w:rsid w:val="00B8104D"/>
    <w:rsid w:val="00B811F7"/>
    <w:rsid w:val="00B8262C"/>
    <w:rsid w:val="00B839AF"/>
    <w:rsid w:val="00B8429F"/>
    <w:rsid w:val="00B84CAF"/>
    <w:rsid w:val="00B84DE6"/>
    <w:rsid w:val="00B86856"/>
    <w:rsid w:val="00B86E4E"/>
    <w:rsid w:val="00B902A7"/>
    <w:rsid w:val="00B92AE6"/>
    <w:rsid w:val="00B94CA9"/>
    <w:rsid w:val="00B950D4"/>
    <w:rsid w:val="00B95480"/>
    <w:rsid w:val="00B9550C"/>
    <w:rsid w:val="00B96FBC"/>
    <w:rsid w:val="00B9786E"/>
    <w:rsid w:val="00B978A8"/>
    <w:rsid w:val="00B97F35"/>
    <w:rsid w:val="00BA0E90"/>
    <w:rsid w:val="00BA26D7"/>
    <w:rsid w:val="00BA2A6D"/>
    <w:rsid w:val="00BA37FE"/>
    <w:rsid w:val="00BA3DB3"/>
    <w:rsid w:val="00BA50C2"/>
    <w:rsid w:val="00BA559D"/>
    <w:rsid w:val="00BA5DC6"/>
    <w:rsid w:val="00BA6196"/>
    <w:rsid w:val="00BA6359"/>
    <w:rsid w:val="00BA6900"/>
    <w:rsid w:val="00BA7C0B"/>
    <w:rsid w:val="00BB0159"/>
    <w:rsid w:val="00BB036F"/>
    <w:rsid w:val="00BB0829"/>
    <w:rsid w:val="00BB1A7D"/>
    <w:rsid w:val="00BB390A"/>
    <w:rsid w:val="00BB466B"/>
    <w:rsid w:val="00BB499B"/>
    <w:rsid w:val="00BB6FFD"/>
    <w:rsid w:val="00BC0430"/>
    <w:rsid w:val="00BC2449"/>
    <w:rsid w:val="00BC24FE"/>
    <w:rsid w:val="00BC2D66"/>
    <w:rsid w:val="00BC2FA3"/>
    <w:rsid w:val="00BC42F5"/>
    <w:rsid w:val="00BC43BD"/>
    <w:rsid w:val="00BC57A9"/>
    <w:rsid w:val="00BC58D0"/>
    <w:rsid w:val="00BC6335"/>
    <w:rsid w:val="00BC64D5"/>
    <w:rsid w:val="00BC6789"/>
    <w:rsid w:val="00BC6D8C"/>
    <w:rsid w:val="00BC7FA3"/>
    <w:rsid w:val="00BD023B"/>
    <w:rsid w:val="00BD1278"/>
    <w:rsid w:val="00BD24FE"/>
    <w:rsid w:val="00BD292D"/>
    <w:rsid w:val="00BD2E5F"/>
    <w:rsid w:val="00BD4490"/>
    <w:rsid w:val="00BD49ED"/>
    <w:rsid w:val="00BD4B32"/>
    <w:rsid w:val="00BD5156"/>
    <w:rsid w:val="00BD5BA9"/>
    <w:rsid w:val="00BD665E"/>
    <w:rsid w:val="00BD781D"/>
    <w:rsid w:val="00BE03A5"/>
    <w:rsid w:val="00BE0411"/>
    <w:rsid w:val="00BE178D"/>
    <w:rsid w:val="00BE20F7"/>
    <w:rsid w:val="00BE284D"/>
    <w:rsid w:val="00BE3371"/>
    <w:rsid w:val="00BE478A"/>
    <w:rsid w:val="00BE4925"/>
    <w:rsid w:val="00BE7D15"/>
    <w:rsid w:val="00BF0238"/>
    <w:rsid w:val="00BF0957"/>
    <w:rsid w:val="00BF2B2F"/>
    <w:rsid w:val="00BF34DD"/>
    <w:rsid w:val="00BF37BD"/>
    <w:rsid w:val="00BF3BE3"/>
    <w:rsid w:val="00BF3E28"/>
    <w:rsid w:val="00BF466B"/>
    <w:rsid w:val="00BF6CD3"/>
    <w:rsid w:val="00BF6DB2"/>
    <w:rsid w:val="00BF7D78"/>
    <w:rsid w:val="00C015BD"/>
    <w:rsid w:val="00C03B66"/>
    <w:rsid w:val="00C04469"/>
    <w:rsid w:val="00C046E1"/>
    <w:rsid w:val="00C056E2"/>
    <w:rsid w:val="00C063B9"/>
    <w:rsid w:val="00C06AFC"/>
    <w:rsid w:val="00C07D97"/>
    <w:rsid w:val="00C10A5C"/>
    <w:rsid w:val="00C11250"/>
    <w:rsid w:val="00C11934"/>
    <w:rsid w:val="00C11A5F"/>
    <w:rsid w:val="00C11BCB"/>
    <w:rsid w:val="00C11D89"/>
    <w:rsid w:val="00C1306A"/>
    <w:rsid w:val="00C14685"/>
    <w:rsid w:val="00C14971"/>
    <w:rsid w:val="00C15144"/>
    <w:rsid w:val="00C16288"/>
    <w:rsid w:val="00C167D2"/>
    <w:rsid w:val="00C16C53"/>
    <w:rsid w:val="00C16DE9"/>
    <w:rsid w:val="00C20765"/>
    <w:rsid w:val="00C21772"/>
    <w:rsid w:val="00C22666"/>
    <w:rsid w:val="00C22BD1"/>
    <w:rsid w:val="00C245D3"/>
    <w:rsid w:val="00C24EF1"/>
    <w:rsid w:val="00C24F5C"/>
    <w:rsid w:val="00C24FCB"/>
    <w:rsid w:val="00C267C7"/>
    <w:rsid w:val="00C31106"/>
    <w:rsid w:val="00C327E6"/>
    <w:rsid w:val="00C33BD4"/>
    <w:rsid w:val="00C33C48"/>
    <w:rsid w:val="00C34006"/>
    <w:rsid w:val="00C35A29"/>
    <w:rsid w:val="00C35BF2"/>
    <w:rsid w:val="00C3640B"/>
    <w:rsid w:val="00C364D2"/>
    <w:rsid w:val="00C36939"/>
    <w:rsid w:val="00C36B4C"/>
    <w:rsid w:val="00C37AE4"/>
    <w:rsid w:val="00C426B1"/>
    <w:rsid w:val="00C42AD3"/>
    <w:rsid w:val="00C433E6"/>
    <w:rsid w:val="00C45571"/>
    <w:rsid w:val="00C471B5"/>
    <w:rsid w:val="00C472BD"/>
    <w:rsid w:val="00C50458"/>
    <w:rsid w:val="00C515F6"/>
    <w:rsid w:val="00C51E17"/>
    <w:rsid w:val="00C5219F"/>
    <w:rsid w:val="00C528F7"/>
    <w:rsid w:val="00C53EC5"/>
    <w:rsid w:val="00C5558B"/>
    <w:rsid w:val="00C55DAA"/>
    <w:rsid w:val="00C565DC"/>
    <w:rsid w:val="00C56C95"/>
    <w:rsid w:val="00C56F4A"/>
    <w:rsid w:val="00C57785"/>
    <w:rsid w:val="00C577E5"/>
    <w:rsid w:val="00C57BB5"/>
    <w:rsid w:val="00C57DC2"/>
    <w:rsid w:val="00C601BA"/>
    <w:rsid w:val="00C60B28"/>
    <w:rsid w:val="00C61482"/>
    <w:rsid w:val="00C6169C"/>
    <w:rsid w:val="00C61AA0"/>
    <w:rsid w:val="00C61EAB"/>
    <w:rsid w:val="00C66160"/>
    <w:rsid w:val="00C663C7"/>
    <w:rsid w:val="00C679F4"/>
    <w:rsid w:val="00C67D38"/>
    <w:rsid w:val="00C7099B"/>
    <w:rsid w:val="00C70F12"/>
    <w:rsid w:val="00C71B71"/>
    <w:rsid w:val="00C721AC"/>
    <w:rsid w:val="00C72610"/>
    <w:rsid w:val="00C74ACB"/>
    <w:rsid w:val="00C74D4A"/>
    <w:rsid w:val="00C74E08"/>
    <w:rsid w:val="00C7514D"/>
    <w:rsid w:val="00C75576"/>
    <w:rsid w:val="00C75E51"/>
    <w:rsid w:val="00C7722A"/>
    <w:rsid w:val="00C775B5"/>
    <w:rsid w:val="00C77B92"/>
    <w:rsid w:val="00C803F2"/>
    <w:rsid w:val="00C8044D"/>
    <w:rsid w:val="00C815C0"/>
    <w:rsid w:val="00C8255D"/>
    <w:rsid w:val="00C82D6B"/>
    <w:rsid w:val="00C82FC9"/>
    <w:rsid w:val="00C84590"/>
    <w:rsid w:val="00C850FA"/>
    <w:rsid w:val="00C85E66"/>
    <w:rsid w:val="00C87013"/>
    <w:rsid w:val="00C90457"/>
    <w:rsid w:val="00C9088D"/>
    <w:rsid w:val="00C90D6A"/>
    <w:rsid w:val="00C9189B"/>
    <w:rsid w:val="00C927C2"/>
    <w:rsid w:val="00C92A6A"/>
    <w:rsid w:val="00C94361"/>
    <w:rsid w:val="00C947DC"/>
    <w:rsid w:val="00C9538C"/>
    <w:rsid w:val="00CA00AF"/>
    <w:rsid w:val="00CA068B"/>
    <w:rsid w:val="00CA0CA4"/>
    <w:rsid w:val="00CA0D0D"/>
    <w:rsid w:val="00CA1149"/>
    <w:rsid w:val="00CA1E2C"/>
    <w:rsid w:val="00CA2461"/>
    <w:rsid w:val="00CA247E"/>
    <w:rsid w:val="00CA323B"/>
    <w:rsid w:val="00CA54B3"/>
    <w:rsid w:val="00CA6C1C"/>
    <w:rsid w:val="00CA6D21"/>
    <w:rsid w:val="00CA700F"/>
    <w:rsid w:val="00CB1BE5"/>
    <w:rsid w:val="00CB1FF6"/>
    <w:rsid w:val="00CB2611"/>
    <w:rsid w:val="00CB31D5"/>
    <w:rsid w:val="00CB386A"/>
    <w:rsid w:val="00CB418F"/>
    <w:rsid w:val="00CB56C4"/>
    <w:rsid w:val="00CB6D21"/>
    <w:rsid w:val="00CB6E0E"/>
    <w:rsid w:val="00CC0B52"/>
    <w:rsid w:val="00CC16BF"/>
    <w:rsid w:val="00CC1878"/>
    <w:rsid w:val="00CC2F12"/>
    <w:rsid w:val="00CC3AB9"/>
    <w:rsid w:val="00CC42EF"/>
    <w:rsid w:val="00CC5108"/>
    <w:rsid w:val="00CC56E3"/>
    <w:rsid w:val="00CC5725"/>
    <w:rsid w:val="00CC5A2D"/>
    <w:rsid w:val="00CC5CD7"/>
    <w:rsid w:val="00CC5DB2"/>
    <w:rsid w:val="00CC6615"/>
    <w:rsid w:val="00CC6B86"/>
    <w:rsid w:val="00CC6DA2"/>
    <w:rsid w:val="00CC72B6"/>
    <w:rsid w:val="00CD0758"/>
    <w:rsid w:val="00CD1AEE"/>
    <w:rsid w:val="00CD1C7A"/>
    <w:rsid w:val="00CD263A"/>
    <w:rsid w:val="00CD2B79"/>
    <w:rsid w:val="00CD3E84"/>
    <w:rsid w:val="00CD4BC6"/>
    <w:rsid w:val="00CD5DE8"/>
    <w:rsid w:val="00CD5FBB"/>
    <w:rsid w:val="00CD6CC9"/>
    <w:rsid w:val="00CE1248"/>
    <w:rsid w:val="00CE1550"/>
    <w:rsid w:val="00CE319D"/>
    <w:rsid w:val="00CE380E"/>
    <w:rsid w:val="00CE41F7"/>
    <w:rsid w:val="00CE4D49"/>
    <w:rsid w:val="00CE5A19"/>
    <w:rsid w:val="00CE5C68"/>
    <w:rsid w:val="00CF0606"/>
    <w:rsid w:val="00CF11C9"/>
    <w:rsid w:val="00CF2B89"/>
    <w:rsid w:val="00CF30EF"/>
    <w:rsid w:val="00CF36BE"/>
    <w:rsid w:val="00CF36DF"/>
    <w:rsid w:val="00CF3996"/>
    <w:rsid w:val="00CF3AA0"/>
    <w:rsid w:val="00CF3B30"/>
    <w:rsid w:val="00CF41E6"/>
    <w:rsid w:val="00CF581B"/>
    <w:rsid w:val="00CF6443"/>
    <w:rsid w:val="00CF702B"/>
    <w:rsid w:val="00CF7BDC"/>
    <w:rsid w:val="00D0101B"/>
    <w:rsid w:val="00D011E0"/>
    <w:rsid w:val="00D0122A"/>
    <w:rsid w:val="00D01B2C"/>
    <w:rsid w:val="00D0218D"/>
    <w:rsid w:val="00D026BA"/>
    <w:rsid w:val="00D03731"/>
    <w:rsid w:val="00D052CB"/>
    <w:rsid w:val="00D0560D"/>
    <w:rsid w:val="00D05D48"/>
    <w:rsid w:val="00D060A0"/>
    <w:rsid w:val="00D06D41"/>
    <w:rsid w:val="00D1061D"/>
    <w:rsid w:val="00D10E77"/>
    <w:rsid w:val="00D12325"/>
    <w:rsid w:val="00D12497"/>
    <w:rsid w:val="00D12538"/>
    <w:rsid w:val="00D13A13"/>
    <w:rsid w:val="00D143B6"/>
    <w:rsid w:val="00D169E4"/>
    <w:rsid w:val="00D16F7A"/>
    <w:rsid w:val="00D172C4"/>
    <w:rsid w:val="00D17533"/>
    <w:rsid w:val="00D17642"/>
    <w:rsid w:val="00D2043D"/>
    <w:rsid w:val="00D21840"/>
    <w:rsid w:val="00D21FD9"/>
    <w:rsid w:val="00D221BD"/>
    <w:rsid w:val="00D2350A"/>
    <w:rsid w:val="00D24904"/>
    <w:rsid w:val="00D24EB9"/>
    <w:rsid w:val="00D24FA9"/>
    <w:rsid w:val="00D25B63"/>
    <w:rsid w:val="00D25BA5"/>
    <w:rsid w:val="00D25F54"/>
    <w:rsid w:val="00D25FB5"/>
    <w:rsid w:val="00D2622A"/>
    <w:rsid w:val="00D30779"/>
    <w:rsid w:val="00D31156"/>
    <w:rsid w:val="00D31EA0"/>
    <w:rsid w:val="00D32374"/>
    <w:rsid w:val="00D32B0A"/>
    <w:rsid w:val="00D33E18"/>
    <w:rsid w:val="00D34543"/>
    <w:rsid w:val="00D34D61"/>
    <w:rsid w:val="00D36DF6"/>
    <w:rsid w:val="00D378C2"/>
    <w:rsid w:val="00D37F13"/>
    <w:rsid w:val="00D40760"/>
    <w:rsid w:val="00D41217"/>
    <w:rsid w:val="00D42A6E"/>
    <w:rsid w:val="00D44223"/>
    <w:rsid w:val="00D449E0"/>
    <w:rsid w:val="00D44DD8"/>
    <w:rsid w:val="00D458EB"/>
    <w:rsid w:val="00D47C70"/>
    <w:rsid w:val="00D50548"/>
    <w:rsid w:val="00D50D71"/>
    <w:rsid w:val="00D51586"/>
    <w:rsid w:val="00D52773"/>
    <w:rsid w:val="00D52899"/>
    <w:rsid w:val="00D535F4"/>
    <w:rsid w:val="00D53D16"/>
    <w:rsid w:val="00D54191"/>
    <w:rsid w:val="00D546B5"/>
    <w:rsid w:val="00D5561C"/>
    <w:rsid w:val="00D559F4"/>
    <w:rsid w:val="00D55DD6"/>
    <w:rsid w:val="00D563B2"/>
    <w:rsid w:val="00D5780E"/>
    <w:rsid w:val="00D579BE"/>
    <w:rsid w:val="00D61636"/>
    <w:rsid w:val="00D616AD"/>
    <w:rsid w:val="00D61990"/>
    <w:rsid w:val="00D61E0A"/>
    <w:rsid w:val="00D651E8"/>
    <w:rsid w:val="00D6532F"/>
    <w:rsid w:val="00D660B8"/>
    <w:rsid w:val="00D6730A"/>
    <w:rsid w:val="00D70CC0"/>
    <w:rsid w:val="00D71407"/>
    <w:rsid w:val="00D71B92"/>
    <w:rsid w:val="00D71E84"/>
    <w:rsid w:val="00D7208A"/>
    <w:rsid w:val="00D72283"/>
    <w:rsid w:val="00D7244B"/>
    <w:rsid w:val="00D725C7"/>
    <w:rsid w:val="00D73D50"/>
    <w:rsid w:val="00D74234"/>
    <w:rsid w:val="00D74B39"/>
    <w:rsid w:val="00D74CBF"/>
    <w:rsid w:val="00D76113"/>
    <w:rsid w:val="00D762D9"/>
    <w:rsid w:val="00D765D8"/>
    <w:rsid w:val="00D77374"/>
    <w:rsid w:val="00D77B39"/>
    <w:rsid w:val="00D77B8E"/>
    <w:rsid w:val="00D80518"/>
    <w:rsid w:val="00D807B2"/>
    <w:rsid w:val="00D80BC1"/>
    <w:rsid w:val="00D81495"/>
    <w:rsid w:val="00D81DFA"/>
    <w:rsid w:val="00D826FA"/>
    <w:rsid w:val="00D82E81"/>
    <w:rsid w:val="00D8331E"/>
    <w:rsid w:val="00D8362C"/>
    <w:rsid w:val="00D84259"/>
    <w:rsid w:val="00D850D9"/>
    <w:rsid w:val="00D863EC"/>
    <w:rsid w:val="00D87226"/>
    <w:rsid w:val="00D872B2"/>
    <w:rsid w:val="00D87F66"/>
    <w:rsid w:val="00D87FE5"/>
    <w:rsid w:val="00D9043D"/>
    <w:rsid w:val="00D90BAF"/>
    <w:rsid w:val="00D936CB"/>
    <w:rsid w:val="00D93C36"/>
    <w:rsid w:val="00D93E62"/>
    <w:rsid w:val="00D94A16"/>
    <w:rsid w:val="00D95FA6"/>
    <w:rsid w:val="00D97F76"/>
    <w:rsid w:val="00DA0294"/>
    <w:rsid w:val="00DA11AF"/>
    <w:rsid w:val="00DA232F"/>
    <w:rsid w:val="00DA2529"/>
    <w:rsid w:val="00DA30C6"/>
    <w:rsid w:val="00DA37B6"/>
    <w:rsid w:val="00DA3AAB"/>
    <w:rsid w:val="00DA49DF"/>
    <w:rsid w:val="00DA570B"/>
    <w:rsid w:val="00DA641E"/>
    <w:rsid w:val="00DB0642"/>
    <w:rsid w:val="00DB130A"/>
    <w:rsid w:val="00DB20A8"/>
    <w:rsid w:val="00DB2EBB"/>
    <w:rsid w:val="00DB2F73"/>
    <w:rsid w:val="00DB3915"/>
    <w:rsid w:val="00DB3D48"/>
    <w:rsid w:val="00DB3FF6"/>
    <w:rsid w:val="00DB43D8"/>
    <w:rsid w:val="00DB4ADA"/>
    <w:rsid w:val="00DB4F47"/>
    <w:rsid w:val="00DB522E"/>
    <w:rsid w:val="00DB7426"/>
    <w:rsid w:val="00DC03B8"/>
    <w:rsid w:val="00DC0858"/>
    <w:rsid w:val="00DC10A1"/>
    <w:rsid w:val="00DC11DB"/>
    <w:rsid w:val="00DC1F7E"/>
    <w:rsid w:val="00DC2539"/>
    <w:rsid w:val="00DC294E"/>
    <w:rsid w:val="00DC2AEF"/>
    <w:rsid w:val="00DC3681"/>
    <w:rsid w:val="00DC3BC7"/>
    <w:rsid w:val="00DC4991"/>
    <w:rsid w:val="00DC4B50"/>
    <w:rsid w:val="00DC5B9E"/>
    <w:rsid w:val="00DC655F"/>
    <w:rsid w:val="00DC76DA"/>
    <w:rsid w:val="00DD0B59"/>
    <w:rsid w:val="00DD2241"/>
    <w:rsid w:val="00DD2521"/>
    <w:rsid w:val="00DD2803"/>
    <w:rsid w:val="00DD2DE4"/>
    <w:rsid w:val="00DD3186"/>
    <w:rsid w:val="00DD3456"/>
    <w:rsid w:val="00DD38C2"/>
    <w:rsid w:val="00DD3BE8"/>
    <w:rsid w:val="00DD46ED"/>
    <w:rsid w:val="00DD4CBD"/>
    <w:rsid w:val="00DD4F73"/>
    <w:rsid w:val="00DD5029"/>
    <w:rsid w:val="00DD5064"/>
    <w:rsid w:val="00DD5786"/>
    <w:rsid w:val="00DD667D"/>
    <w:rsid w:val="00DD7EBD"/>
    <w:rsid w:val="00DE0889"/>
    <w:rsid w:val="00DE0AA3"/>
    <w:rsid w:val="00DE0E3D"/>
    <w:rsid w:val="00DE2F00"/>
    <w:rsid w:val="00DE439C"/>
    <w:rsid w:val="00DE4957"/>
    <w:rsid w:val="00DE5364"/>
    <w:rsid w:val="00DE559B"/>
    <w:rsid w:val="00DE5753"/>
    <w:rsid w:val="00DE6250"/>
    <w:rsid w:val="00DE662F"/>
    <w:rsid w:val="00DE6F41"/>
    <w:rsid w:val="00DF031F"/>
    <w:rsid w:val="00DF03B7"/>
    <w:rsid w:val="00DF05CB"/>
    <w:rsid w:val="00DF2787"/>
    <w:rsid w:val="00DF31A0"/>
    <w:rsid w:val="00DF32B2"/>
    <w:rsid w:val="00DF44B6"/>
    <w:rsid w:val="00DF577E"/>
    <w:rsid w:val="00DF62B6"/>
    <w:rsid w:val="00DF6905"/>
    <w:rsid w:val="00DF71B8"/>
    <w:rsid w:val="00E00C5F"/>
    <w:rsid w:val="00E00CC0"/>
    <w:rsid w:val="00E03911"/>
    <w:rsid w:val="00E03D7C"/>
    <w:rsid w:val="00E03E35"/>
    <w:rsid w:val="00E03F30"/>
    <w:rsid w:val="00E04C30"/>
    <w:rsid w:val="00E04D4F"/>
    <w:rsid w:val="00E04F37"/>
    <w:rsid w:val="00E05024"/>
    <w:rsid w:val="00E05992"/>
    <w:rsid w:val="00E05E60"/>
    <w:rsid w:val="00E07225"/>
    <w:rsid w:val="00E07364"/>
    <w:rsid w:val="00E12BC2"/>
    <w:rsid w:val="00E15567"/>
    <w:rsid w:val="00E157D6"/>
    <w:rsid w:val="00E169FE"/>
    <w:rsid w:val="00E17991"/>
    <w:rsid w:val="00E20221"/>
    <w:rsid w:val="00E20420"/>
    <w:rsid w:val="00E20865"/>
    <w:rsid w:val="00E21446"/>
    <w:rsid w:val="00E214EE"/>
    <w:rsid w:val="00E219D0"/>
    <w:rsid w:val="00E21A65"/>
    <w:rsid w:val="00E21C0C"/>
    <w:rsid w:val="00E22210"/>
    <w:rsid w:val="00E222EB"/>
    <w:rsid w:val="00E24563"/>
    <w:rsid w:val="00E24D96"/>
    <w:rsid w:val="00E250C8"/>
    <w:rsid w:val="00E2658A"/>
    <w:rsid w:val="00E27989"/>
    <w:rsid w:val="00E27CB7"/>
    <w:rsid w:val="00E305DF"/>
    <w:rsid w:val="00E308D1"/>
    <w:rsid w:val="00E30F1B"/>
    <w:rsid w:val="00E31B07"/>
    <w:rsid w:val="00E3350E"/>
    <w:rsid w:val="00E33AE0"/>
    <w:rsid w:val="00E3432F"/>
    <w:rsid w:val="00E373BA"/>
    <w:rsid w:val="00E40372"/>
    <w:rsid w:val="00E42944"/>
    <w:rsid w:val="00E43DBA"/>
    <w:rsid w:val="00E44697"/>
    <w:rsid w:val="00E446CB"/>
    <w:rsid w:val="00E452DB"/>
    <w:rsid w:val="00E46357"/>
    <w:rsid w:val="00E46BE9"/>
    <w:rsid w:val="00E472F3"/>
    <w:rsid w:val="00E47AC9"/>
    <w:rsid w:val="00E47C35"/>
    <w:rsid w:val="00E47EB6"/>
    <w:rsid w:val="00E505A1"/>
    <w:rsid w:val="00E50F53"/>
    <w:rsid w:val="00E52827"/>
    <w:rsid w:val="00E53898"/>
    <w:rsid w:val="00E53FB1"/>
    <w:rsid w:val="00E54037"/>
    <w:rsid w:val="00E5409F"/>
    <w:rsid w:val="00E5444F"/>
    <w:rsid w:val="00E54EE7"/>
    <w:rsid w:val="00E55354"/>
    <w:rsid w:val="00E5592B"/>
    <w:rsid w:val="00E55E21"/>
    <w:rsid w:val="00E56F5F"/>
    <w:rsid w:val="00E5730D"/>
    <w:rsid w:val="00E57793"/>
    <w:rsid w:val="00E5792A"/>
    <w:rsid w:val="00E61610"/>
    <w:rsid w:val="00E61FBD"/>
    <w:rsid w:val="00E6217D"/>
    <w:rsid w:val="00E62464"/>
    <w:rsid w:val="00E62E1B"/>
    <w:rsid w:val="00E63360"/>
    <w:rsid w:val="00E64E47"/>
    <w:rsid w:val="00E674C6"/>
    <w:rsid w:val="00E6763B"/>
    <w:rsid w:val="00E70268"/>
    <w:rsid w:val="00E704CA"/>
    <w:rsid w:val="00E70B94"/>
    <w:rsid w:val="00E71AF5"/>
    <w:rsid w:val="00E72063"/>
    <w:rsid w:val="00E72E44"/>
    <w:rsid w:val="00E736BF"/>
    <w:rsid w:val="00E73BD1"/>
    <w:rsid w:val="00E74105"/>
    <w:rsid w:val="00E742C0"/>
    <w:rsid w:val="00E744EE"/>
    <w:rsid w:val="00E74789"/>
    <w:rsid w:val="00E754AE"/>
    <w:rsid w:val="00E75C5A"/>
    <w:rsid w:val="00E75EEB"/>
    <w:rsid w:val="00E7655D"/>
    <w:rsid w:val="00E76737"/>
    <w:rsid w:val="00E775BD"/>
    <w:rsid w:val="00E8027A"/>
    <w:rsid w:val="00E8052C"/>
    <w:rsid w:val="00E805D5"/>
    <w:rsid w:val="00E80B31"/>
    <w:rsid w:val="00E81210"/>
    <w:rsid w:val="00E8180A"/>
    <w:rsid w:val="00E81D37"/>
    <w:rsid w:val="00E842FF"/>
    <w:rsid w:val="00E848C3"/>
    <w:rsid w:val="00E858CC"/>
    <w:rsid w:val="00E85978"/>
    <w:rsid w:val="00E8608B"/>
    <w:rsid w:val="00E87476"/>
    <w:rsid w:val="00E87830"/>
    <w:rsid w:val="00E9012F"/>
    <w:rsid w:val="00E91B47"/>
    <w:rsid w:val="00E92052"/>
    <w:rsid w:val="00E92713"/>
    <w:rsid w:val="00E929D9"/>
    <w:rsid w:val="00E9303F"/>
    <w:rsid w:val="00E93C3F"/>
    <w:rsid w:val="00E94DAC"/>
    <w:rsid w:val="00EA0759"/>
    <w:rsid w:val="00EA1470"/>
    <w:rsid w:val="00EA2070"/>
    <w:rsid w:val="00EA2C3B"/>
    <w:rsid w:val="00EA3EC3"/>
    <w:rsid w:val="00EA4A7C"/>
    <w:rsid w:val="00EA6CA0"/>
    <w:rsid w:val="00EA7047"/>
    <w:rsid w:val="00EA7147"/>
    <w:rsid w:val="00EA7781"/>
    <w:rsid w:val="00EA7859"/>
    <w:rsid w:val="00EB07EA"/>
    <w:rsid w:val="00EB0A6B"/>
    <w:rsid w:val="00EB0DAA"/>
    <w:rsid w:val="00EB1AB6"/>
    <w:rsid w:val="00EB2FA1"/>
    <w:rsid w:val="00EB324B"/>
    <w:rsid w:val="00EB3DC6"/>
    <w:rsid w:val="00EB5993"/>
    <w:rsid w:val="00EB6710"/>
    <w:rsid w:val="00EB787B"/>
    <w:rsid w:val="00EC13A3"/>
    <w:rsid w:val="00EC2123"/>
    <w:rsid w:val="00EC344E"/>
    <w:rsid w:val="00EC34AC"/>
    <w:rsid w:val="00EC59DE"/>
    <w:rsid w:val="00EC5BCE"/>
    <w:rsid w:val="00EC6195"/>
    <w:rsid w:val="00EC72F5"/>
    <w:rsid w:val="00EC7EA5"/>
    <w:rsid w:val="00ED026E"/>
    <w:rsid w:val="00ED03E5"/>
    <w:rsid w:val="00ED0CA2"/>
    <w:rsid w:val="00ED2697"/>
    <w:rsid w:val="00ED273E"/>
    <w:rsid w:val="00ED2CFB"/>
    <w:rsid w:val="00ED3D9A"/>
    <w:rsid w:val="00ED49DE"/>
    <w:rsid w:val="00ED6106"/>
    <w:rsid w:val="00ED6D8E"/>
    <w:rsid w:val="00ED6E14"/>
    <w:rsid w:val="00ED700E"/>
    <w:rsid w:val="00ED702C"/>
    <w:rsid w:val="00ED787C"/>
    <w:rsid w:val="00ED7E12"/>
    <w:rsid w:val="00EE1E10"/>
    <w:rsid w:val="00EE3C15"/>
    <w:rsid w:val="00EE40C4"/>
    <w:rsid w:val="00EE4162"/>
    <w:rsid w:val="00EE502A"/>
    <w:rsid w:val="00EE5272"/>
    <w:rsid w:val="00EE5C6B"/>
    <w:rsid w:val="00EE5DE1"/>
    <w:rsid w:val="00EE6488"/>
    <w:rsid w:val="00EE65DC"/>
    <w:rsid w:val="00EE7679"/>
    <w:rsid w:val="00EE7DC8"/>
    <w:rsid w:val="00EF0E72"/>
    <w:rsid w:val="00EF2420"/>
    <w:rsid w:val="00EF2496"/>
    <w:rsid w:val="00EF3E94"/>
    <w:rsid w:val="00EF4A8F"/>
    <w:rsid w:val="00EF5FAD"/>
    <w:rsid w:val="00EF614F"/>
    <w:rsid w:val="00EF76C0"/>
    <w:rsid w:val="00EF7A97"/>
    <w:rsid w:val="00EF7D9D"/>
    <w:rsid w:val="00F00970"/>
    <w:rsid w:val="00F00CC1"/>
    <w:rsid w:val="00F00FBA"/>
    <w:rsid w:val="00F01F20"/>
    <w:rsid w:val="00F021FA"/>
    <w:rsid w:val="00F0307A"/>
    <w:rsid w:val="00F042C0"/>
    <w:rsid w:val="00F04816"/>
    <w:rsid w:val="00F0493B"/>
    <w:rsid w:val="00F05063"/>
    <w:rsid w:val="00F05409"/>
    <w:rsid w:val="00F05854"/>
    <w:rsid w:val="00F0597E"/>
    <w:rsid w:val="00F06992"/>
    <w:rsid w:val="00F07391"/>
    <w:rsid w:val="00F10098"/>
    <w:rsid w:val="00F10636"/>
    <w:rsid w:val="00F10A4F"/>
    <w:rsid w:val="00F10A55"/>
    <w:rsid w:val="00F10F95"/>
    <w:rsid w:val="00F113E2"/>
    <w:rsid w:val="00F1165B"/>
    <w:rsid w:val="00F163E1"/>
    <w:rsid w:val="00F200DD"/>
    <w:rsid w:val="00F213BD"/>
    <w:rsid w:val="00F22E54"/>
    <w:rsid w:val="00F24AD6"/>
    <w:rsid w:val="00F24B43"/>
    <w:rsid w:val="00F24BA8"/>
    <w:rsid w:val="00F24FCC"/>
    <w:rsid w:val="00F2508A"/>
    <w:rsid w:val="00F26478"/>
    <w:rsid w:val="00F26F58"/>
    <w:rsid w:val="00F27374"/>
    <w:rsid w:val="00F27AAF"/>
    <w:rsid w:val="00F30B89"/>
    <w:rsid w:val="00F33614"/>
    <w:rsid w:val="00F342E3"/>
    <w:rsid w:val="00F34BE5"/>
    <w:rsid w:val="00F34EBA"/>
    <w:rsid w:val="00F35F2E"/>
    <w:rsid w:val="00F3700F"/>
    <w:rsid w:val="00F370D1"/>
    <w:rsid w:val="00F373CE"/>
    <w:rsid w:val="00F375D7"/>
    <w:rsid w:val="00F400E1"/>
    <w:rsid w:val="00F40DE7"/>
    <w:rsid w:val="00F41319"/>
    <w:rsid w:val="00F4176B"/>
    <w:rsid w:val="00F419D1"/>
    <w:rsid w:val="00F424A7"/>
    <w:rsid w:val="00F4295E"/>
    <w:rsid w:val="00F433BD"/>
    <w:rsid w:val="00F43D45"/>
    <w:rsid w:val="00F4419C"/>
    <w:rsid w:val="00F454D3"/>
    <w:rsid w:val="00F4620D"/>
    <w:rsid w:val="00F51D7B"/>
    <w:rsid w:val="00F51E8D"/>
    <w:rsid w:val="00F5209C"/>
    <w:rsid w:val="00F524BE"/>
    <w:rsid w:val="00F52DA4"/>
    <w:rsid w:val="00F52DAD"/>
    <w:rsid w:val="00F53810"/>
    <w:rsid w:val="00F54BF0"/>
    <w:rsid w:val="00F54FD6"/>
    <w:rsid w:val="00F55505"/>
    <w:rsid w:val="00F55987"/>
    <w:rsid w:val="00F56926"/>
    <w:rsid w:val="00F6072B"/>
    <w:rsid w:val="00F60C56"/>
    <w:rsid w:val="00F6153F"/>
    <w:rsid w:val="00F6230B"/>
    <w:rsid w:val="00F62E97"/>
    <w:rsid w:val="00F6323E"/>
    <w:rsid w:val="00F635D6"/>
    <w:rsid w:val="00F63B18"/>
    <w:rsid w:val="00F63CD0"/>
    <w:rsid w:val="00F64089"/>
    <w:rsid w:val="00F64153"/>
    <w:rsid w:val="00F64209"/>
    <w:rsid w:val="00F64F4F"/>
    <w:rsid w:val="00F67051"/>
    <w:rsid w:val="00F6721C"/>
    <w:rsid w:val="00F67496"/>
    <w:rsid w:val="00F70D33"/>
    <w:rsid w:val="00F72B58"/>
    <w:rsid w:val="00F73079"/>
    <w:rsid w:val="00F73C05"/>
    <w:rsid w:val="00F7430E"/>
    <w:rsid w:val="00F744F4"/>
    <w:rsid w:val="00F747AB"/>
    <w:rsid w:val="00F813D0"/>
    <w:rsid w:val="00F8399B"/>
    <w:rsid w:val="00F845B6"/>
    <w:rsid w:val="00F848E6"/>
    <w:rsid w:val="00F8748B"/>
    <w:rsid w:val="00F87DE4"/>
    <w:rsid w:val="00F91221"/>
    <w:rsid w:val="00F92327"/>
    <w:rsid w:val="00F933E2"/>
    <w:rsid w:val="00F93BF5"/>
    <w:rsid w:val="00F9417A"/>
    <w:rsid w:val="00F94E59"/>
    <w:rsid w:val="00F95B7F"/>
    <w:rsid w:val="00F9661A"/>
    <w:rsid w:val="00F96D42"/>
    <w:rsid w:val="00F97432"/>
    <w:rsid w:val="00FA084A"/>
    <w:rsid w:val="00FA08E5"/>
    <w:rsid w:val="00FA155A"/>
    <w:rsid w:val="00FA1590"/>
    <w:rsid w:val="00FA2074"/>
    <w:rsid w:val="00FA2923"/>
    <w:rsid w:val="00FA3A16"/>
    <w:rsid w:val="00FA3E20"/>
    <w:rsid w:val="00FA5B06"/>
    <w:rsid w:val="00FA62D2"/>
    <w:rsid w:val="00FA7662"/>
    <w:rsid w:val="00FA7737"/>
    <w:rsid w:val="00FA7E57"/>
    <w:rsid w:val="00FB0173"/>
    <w:rsid w:val="00FB1EF5"/>
    <w:rsid w:val="00FB2379"/>
    <w:rsid w:val="00FB2AE3"/>
    <w:rsid w:val="00FB4168"/>
    <w:rsid w:val="00FB4C11"/>
    <w:rsid w:val="00FB6397"/>
    <w:rsid w:val="00FB6641"/>
    <w:rsid w:val="00FB6903"/>
    <w:rsid w:val="00FB7D24"/>
    <w:rsid w:val="00FB7F9D"/>
    <w:rsid w:val="00FC434F"/>
    <w:rsid w:val="00FC7C85"/>
    <w:rsid w:val="00FD0797"/>
    <w:rsid w:val="00FD1A81"/>
    <w:rsid w:val="00FD274A"/>
    <w:rsid w:val="00FD2954"/>
    <w:rsid w:val="00FD448E"/>
    <w:rsid w:val="00FD4AD3"/>
    <w:rsid w:val="00FD4D12"/>
    <w:rsid w:val="00FD5DDA"/>
    <w:rsid w:val="00FD605C"/>
    <w:rsid w:val="00FD65A7"/>
    <w:rsid w:val="00FE14CA"/>
    <w:rsid w:val="00FE172A"/>
    <w:rsid w:val="00FE1781"/>
    <w:rsid w:val="00FE2291"/>
    <w:rsid w:val="00FE250E"/>
    <w:rsid w:val="00FE2B21"/>
    <w:rsid w:val="00FE48A2"/>
    <w:rsid w:val="00FE48FD"/>
    <w:rsid w:val="00FE5135"/>
    <w:rsid w:val="00FE602A"/>
    <w:rsid w:val="00FE63E0"/>
    <w:rsid w:val="00FE75D6"/>
    <w:rsid w:val="00FE777F"/>
    <w:rsid w:val="00FE7F2C"/>
    <w:rsid w:val="00FE7FEA"/>
    <w:rsid w:val="00FF087E"/>
    <w:rsid w:val="00FF1F23"/>
    <w:rsid w:val="00FF3BA7"/>
    <w:rsid w:val="00FF50C6"/>
    <w:rsid w:val="00FF551A"/>
    <w:rsid w:val="00FF5653"/>
    <w:rsid w:val="00FF7F96"/>
    <w:rsid w:val="00FF7FF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98F80F8-9CE7-4181-A5A5-AFF7F851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FCF"/>
    <w:pPr>
      <w:widowControl w:val="0"/>
    </w:pPr>
    <w:rPr>
      <w:snapToGrid w:val="0"/>
      <w:kern w:val="28"/>
      <w:sz w:val="22"/>
    </w:rPr>
  </w:style>
  <w:style w:type="paragraph" w:styleId="Heading1">
    <w:name w:val="heading 1"/>
    <w:basedOn w:val="Normal"/>
    <w:next w:val="ParaNum"/>
    <w:qFormat/>
    <w:rsid w:val="00010FC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10FCF"/>
    <w:pPr>
      <w:keepNext/>
      <w:numPr>
        <w:ilvl w:val="1"/>
        <w:numId w:val="3"/>
      </w:numPr>
      <w:spacing w:after="120"/>
      <w:outlineLvl w:val="1"/>
    </w:pPr>
    <w:rPr>
      <w:b/>
    </w:rPr>
  </w:style>
  <w:style w:type="paragraph" w:styleId="Heading3">
    <w:name w:val="heading 3"/>
    <w:basedOn w:val="Normal"/>
    <w:next w:val="ParaNum"/>
    <w:qFormat/>
    <w:rsid w:val="00010FCF"/>
    <w:pPr>
      <w:keepNext/>
      <w:numPr>
        <w:ilvl w:val="2"/>
        <w:numId w:val="3"/>
      </w:numPr>
      <w:tabs>
        <w:tab w:val="left" w:pos="2160"/>
      </w:tabs>
      <w:spacing w:after="120"/>
      <w:outlineLvl w:val="2"/>
    </w:pPr>
    <w:rPr>
      <w:b/>
    </w:rPr>
  </w:style>
  <w:style w:type="paragraph" w:styleId="Heading4">
    <w:name w:val="heading 4"/>
    <w:basedOn w:val="Normal"/>
    <w:next w:val="ParaNum"/>
    <w:qFormat/>
    <w:rsid w:val="00010FCF"/>
    <w:pPr>
      <w:keepNext/>
      <w:numPr>
        <w:ilvl w:val="3"/>
        <w:numId w:val="3"/>
      </w:numPr>
      <w:tabs>
        <w:tab w:val="left" w:pos="2880"/>
      </w:tabs>
      <w:spacing w:after="120"/>
      <w:outlineLvl w:val="3"/>
    </w:pPr>
    <w:rPr>
      <w:b/>
    </w:rPr>
  </w:style>
  <w:style w:type="paragraph" w:styleId="Heading5">
    <w:name w:val="heading 5"/>
    <w:basedOn w:val="Normal"/>
    <w:next w:val="ParaNum"/>
    <w:qFormat/>
    <w:rsid w:val="00010FC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10FCF"/>
    <w:pPr>
      <w:numPr>
        <w:ilvl w:val="5"/>
        <w:numId w:val="3"/>
      </w:numPr>
      <w:tabs>
        <w:tab w:val="left" w:pos="4320"/>
      </w:tabs>
      <w:spacing w:after="120"/>
      <w:outlineLvl w:val="5"/>
    </w:pPr>
    <w:rPr>
      <w:b/>
    </w:rPr>
  </w:style>
  <w:style w:type="paragraph" w:styleId="Heading7">
    <w:name w:val="heading 7"/>
    <w:basedOn w:val="Normal"/>
    <w:next w:val="ParaNum"/>
    <w:qFormat/>
    <w:rsid w:val="00010FC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10FC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10FC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10F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0FCF"/>
  </w:style>
  <w:style w:type="paragraph" w:customStyle="1" w:styleId="ParaNum">
    <w:name w:val="ParaNum"/>
    <w:basedOn w:val="Normal"/>
    <w:rsid w:val="00010FCF"/>
    <w:pPr>
      <w:numPr>
        <w:numId w:val="2"/>
      </w:numPr>
      <w:tabs>
        <w:tab w:val="clear" w:pos="1080"/>
        <w:tab w:val="num" w:pos="1440"/>
      </w:tabs>
      <w:spacing w:after="120"/>
    </w:pPr>
  </w:style>
  <w:style w:type="paragraph" w:styleId="EndnoteText">
    <w:name w:val="endnote text"/>
    <w:basedOn w:val="Normal"/>
    <w:semiHidden/>
    <w:rsid w:val="00010FCF"/>
    <w:rPr>
      <w:sz w:val="20"/>
    </w:rPr>
  </w:style>
  <w:style w:type="character" w:styleId="EndnoteReference">
    <w:name w:val="endnote reference"/>
    <w:semiHidden/>
    <w:rsid w:val="00010FCF"/>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link w:val="FootnoteTextChar"/>
    <w:rsid w:val="00010FCF"/>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10FCF"/>
    <w:rPr>
      <w:rFonts w:ascii="Times New Roman" w:hAnsi="Times New Roman"/>
      <w:dstrike w:val="0"/>
      <w:color w:val="auto"/>
      <w:sz w:val="20"/>
      <w:vertAlign w:val="superscript"/>
    </w:rPr>
  </w:style>
  <w:style w:type="paragraph" w:styleId="TOC1">
    <w:name w:val="toc 1"/>
    <w:basedOn w:val="Normal"/>
    <w:next w:val="Normal"/>
    <w:semiHidden/>
    <w:rsid w:val="00010FC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10FCF"/>
    <w:pPr>
      <w:tabs>
        <w:tab w:val="left" w:pos="720"/>
        <w:tab w:val="right" w:leader="dot" w:pos="9360"/>
      </w:tabs>
      <w:suppressAutoHyphens/>
      <w:ind w:left="720" w:right="720" w:hanging="360"/>
    </w:pPr>
    <w:rPr>
      <w:noProof/>
    </w:rPr>
  </w:style>
  <w:style w:type="paragraph" w:styleId="TOC3">
    <w:name w:val="toc 3"/>
    <w:basedOn w:val="Normal"/>
    <w:next w:val="Normal"/>
    <w:semiHidden/>
    <w:rsid w:val="00010FC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10FC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10FC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10FC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10FC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10FC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10FC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10FCF"/>
    <w:pPr>
      <w:tabs>
        <w:tab w:val="right" w:pos="9360"/>
      </w:tabs>
      <w:suppressAutoHyphens/>
    </w:pPr>
  </w:style>
  <w:style w:type="character" w:customStyle="1" w:styleId="EquationCaption">
    <w:name w:val="_Equation Caption"/>
    <w:rsid w:val="00010FCF"/>
  </w:style>
  <w:style w:type="paragraph" w:styleId="Header">
    <w:name w:val="header"/>
    <w:basedOn w:val="Normal"/>
    <w:autoRedefine/>
    <w:rsid w:val="00010FCF"/>
    <w:pPr>
      <w:tabs>
        <w:tab w:val="center" w:pos="4680"/>
        <w:tab w:val="right" w:pos="9360"/>
      </w:tabs>
    </w:pPr>
    <w:rPr>
      <w:b/>
    </w:rPr>
  </w:style>
  <w:style w:type="paragraph" w:styleId="Footer">
    <w:name w:val="footer"/>
    <w:basedOn w:val="Normal"/>
    <w:link w:val="FooterChar"/>
    <w:uiPriority w:val="99"/>
    <w:rsid w:val="00010FCF"/>
    <w:pPr>
      <w:tabs>
        <w:tab w:val="center" w:pos="4320"/>
        <w:tab w:val="right" w:pos="8640"/>
      </w:tabs>
    </w:pPr>
  </w:style>
  <w:style w:type="character" w:styleId="PageNumber">
    <w:name w:val="page number"/>
    <w:basedOn w:val="DefaultParagraphFont"/>
    <w:rsid w:val="00010FCF"/>
  </w:style>
  <w:style w:type="paragraph" w:styleId="BlockText">
    <w:name w:val="Block Text"/>
    <w:basedOn w:val="Normal"/>
    <w:rsid w:val="00010FCF"/>
    <w:pPr>
      <w:spacing w:after="240"/>
      <w:ind w:left="1440" w:right="1440"/>
    </w:pPr>
  </w:style>
  <w:style w:type="paragraph" w:customStyle="1" w:styleId="Paratitle">
    <w:name w:val="Para title"/>
    <w:basedOn w:val="Normal"/>
    <w:rsid w:val="00010FCF"/>
    <w:pPr>
      <w:tabs>
        <w:tab w:val="center" w:pos="9270"/>
      </w:tabs>
      <w:spacing w:after="240"/>
    </w:pPr>
    <w:rPr>
      <w:spacing w:val="-2"/>
    </w:rPr>
  </w:style>
  <w:style w:type="paragraph" w:customStyle="1" w:styleId="Bullet">
    <w:name w:val="Bullet"/>
    <w:basedOn w:val="Normal"/>
    <w:rsid w:val="00010FCF"/>
    <w:pPr>
      <w:tabs>
        <w:tab w:val="left" w:pos="2160"/>
      </w:tabs>
      <w:spacing w:after="220"/>
      <w:ind w:left="2160" w:hanging="720"/>
    </w:pPr>
  </w:style>
  <w:style w:type="paragraph" w:customStyle="1" w:styleId="TableFormat">
    <w:name w:val="TableFormat"/>
    <w:basedOn w:val="Bullet"/>
    <w:rsid w:val="00010FCF"/>
    <w:pPr>
      <w:tabs>
        <w:tab w:val="clear" w:pos="2160"/>
        <w:tab w:val="left" w:pos="5040"/>
      </w:tabs>
      <w:ind w:left="5040" w:hanging="3600"/>
    </w:pPr>
  </w:style>
  <w:style w:type="paragraph" w:customStyle="1" w:styleId="TOCTitle">
    <w:name w:val="TOC Title"/>
    <w:basedOn w:val="Normal"/>
    <w:rsid w:val="00010FC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10FCF"/>
    <w:pPr>
      <w:jc w:val="center"/>
    </w:pPr>
    <w:rPr>
      <w:rFonts w:ascii="Times New Roman Bold" w:hAnsi="Times New Roman Bold"/>
      <w:b/>
      <w:bCs/>
      <w:caps/>
      <w:szCs w:val="22"/>
    </w:rPr>
  </w:style>
  <w:style w:type="character" w:styleId="Hyperlink">
    <w:name w:val="Hyperlink"/>
    <w:rsid w:val="00010FCF"/>
    <w:rPr>
      <w:color w:val="0000FF"/>
      <w:u w:val="single"/>
    </w:rPr>
  </w:style>
  <w:style w:type="character" w:customStyle="1" w:styleId="FooterChar">
    <w:name w:val="Footer Char"/>
    <w:link w:val="Footer"/>
    <w:uiPriority w:val="99"/>
    <w:rsid w:val="00010FCF"/>
    <w:rPr>
      <w:snapToGrid w:val="0"/>
      <w:kern w:val="28"/>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n Char Char,fn Char1,fn Char1 Char Char"/>
    <w:link w:val="FootnoteText"/>
    <w:rsid w:val="00E305DF"/>
  </w:style>
  <w:style w:type="paragraph" w:styleId="BalloonText">
    <w:name w:val="Balloon Text"/>
    <w:basedOn w:val="Normal"/>
    <w:link w:val="BalloonTextChar"/>
    <w:rsid w:val="007F3E9C"/>
    <w:rPr>
      <w:rFonts w:ascii="Segoe UI" w:hAnsi="Segoe UI" w:cs="Segoe UI"/>
      <w:sz w:val="18"/>
      <w:szCs w:val="18"/>
    </w:rPr>
  </w:style>
  <w:style w:type="character" w:customStyle="1" w:styleId="BalloonTextChar">
    <w:name w:val="Balloon Text Char"/>
    <w:basedOn w:val="DefaultParagraphFont"/>
    <w:link w:val="BalloonText"/>
    <w:rsid w:val="007F3E9C"/>
    <w:rPr>
      <w:rFonts w:ascii="Segoe UI" w:hAnsi="Segoe UI" w:cs="Segoe UI"/>
      <w:snapToGrid w:val="0"/>
      <w:kern w:val="28"/>
      <w:sz w:val="18"/>
      <w:szCs w:val="18"/>
    </w:rPr>
  </w:style>
  <w:style w:type="character" w:styleId="CommentReference">
    <w:name w:val="annotation reference"/>
    <w:basedOn w:val="DefaultParagraphFont"/>
    <w:uiPriority w:val="99"/>
    <w:rsid w:val="00B05BBE"/>
    <w:rPr>
      <w:sz w:val="16"/>
      <w:szCs w:val="16"/>
    </w:rPr>
  </w:style>
  <w:style w:type="paragraph" w:styleId="CommentText">
    <w:name w:val="annotation text"/>
    <w:basedOn w:val="Normal"/>
    <w:link w:val="CommentTextChar"/>
    <w:rsid w:val="00B05BBE"/>
    <w:rPr>
      <w:sz w:val="20"/>
    </w:rPr>
  </w:style>
  <w:style w:type="character" w:customStyle="1" w:styleId="CommentTextChar">
    <w:name w:val="Comment Text Char"/>
    <w:basedOn w:val="DefaultParagraphFont"/>
    <w:link w:val="CommentText"/>
    <w:rsid w:val="00B05BBE"/>
    <w:rPr>
      <w:snapToGrid w:val="0"/>
      <w:kern w:val="28"/>
    </w:rPr>
  </w:style>
  <w:style w:type="paragraph" w:styleId="CommentSubject">
    <w:name w:val="annotation subject"/>
    <w:basedOn w:val="CommentText"/>
    <w:next w:val="CommentText"/>
    <w:link w:val="CommentSubjectChar"/>
    <w:rsid w:val="00B05BBE"/>
    <w:rPr>
      <w:b/>
      <w:bCs/>
    </w:rPr>
  </w:style>
  <w:style w:type="character" w:customStyle="1" w:styleId="CommentSubjectChar">
    <w:name w:val="Comment Subject Char"/>
    <w:basedOn w:val="CommentTextChar"/>
    <w:link w:val="CommentSubject"/>
    <w:rsid w:val="00B05BBE"/>
    <w:rPr>
      <w:b/>
      <w:bCs/>
      <w:snapToGrid w:val="0"/>
      <w:kern w:val="28"/>
    </w:rPr>
  </w:style>
  <w:style w:type="character" w:customStyle="1" w:styleId="UnresolvedMention">
    <w:name w:val="Unresolved Mention"/>
    <w:basedOn w:val="DefaultParagraphFont"/>
    <w:uiPriority w:val="99"/>
    <w:semiHidden/>
    <w:unhideWhenUsed/>
    <w:rsid w:val="004E0E1F"/>
    <w:rPr>
      <w:color w:val="605E5C"/>
      <w:shd w:val="clear" w:color="auto" w:fill="E1DFDD"/>
    </w:rPr>
  </w:style>
  <w:style w:type="paragraph" w:styleId="Revision">
    <w:name w:val="Revision"/>
    <w:hidden/>
    <w:uiPriority w:val="99"/>
    <w:semiHidden/>
    <w:rsid w:val="00F4620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broadband.gov/download-plan/" TargetMode="External" /><Relationship Id="rId2" Type="http://schemas.openxmlformats.org/officeDocument/2006/relationships/hyperlink" Target="https://www2.census.gov/geo/maps/metroarea/stcbsa_pg/Feb2013/cbsa2013_AK.pdf" TargetMode="External" /><Relationship Id="rId3" Type="http://schemas.openxmlformats.org/officeDocument/2006/relationships/hyperlink" Target="https://www.census.gov/geographies/reference-files/time-series/demo/metro-micro/delineation-files.html" TargetMode="External" /><Relationship Id="rId4" Type="http://schemas.openxmlformats.org/officeDocument/2006/relationships/hyperlink" Target="https://rhc.usac.org/ratesdb/" TargetMode="External" /><Relationship Id="rId5" Type="http://schemas.openxmlformats.org/officeDocument/2006/relationships/hyperlink" Target="https://opendata.usac.org/stories/s/Rural-Health-Care-Tools/qi66-q66c/" TargetMode="External" /><Relationship Id="rId6" Type="http://schemas.openxmlformats.org/officeDocument/2006/relationships/hyperlink" Target="https://www.akbizmag.com/industry/education/how-big-is-alaska/" TargetMode="External" /><Relationship Id="rId7" Type="http://schemas.openxmlformats.org/officeDocument/2006/relationships/hyperlink" Target="https://www.census.gov/quickfacts/fact/table/anchoragemunicipalityalaska,AK/PST045219"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