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1DD6FE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71BD1D5" w14:textId="77777777">
      <w:pPr>
        <w:pStyle w:val="StyleBoldCentered"/>
      </w:pPr>
      <w:r>
        <w:t>F</w:t>
      </w:r>
      <w:r>
        <w:rPr>
          <w:caps w:val="0"/>
        </w:rPr>
        <w:t>ederal Communications Commission</w:t>
      </w:r>
    </w:p>
    <w:p w:rsidR="004C2EE3" w:rsidP="00096D8C" w14:paraId="714DA016" w14:textId="77777777">
      <w:pPr>
        <w:pStyle w:val="StyleBoldCentered"/>
      </w:pPr>
      <w:r>
        <w:rPr>
          <w:caps w:val="0"/>
        </w:rPr>
        <w:t>Washington, D.C. 20554</w:t>
      </w:r>
    </w:p>
    <w:p w:rsidR="004C2EE3" w:rsidP="0070224F" w14:paraId="4A035651" w14:textId="77777777"/>
    <w:p w:rsidR="004C2EE3" w:rsidP="0070224F" w14:paraId="7D1331AC" w14:textId="77777777"/>
    <w:tbl>
      <w:tblPr>
        <w:tblW w:w="0" w:type="auto"/>
        <w:tblLayout w:type="fixed"/>
        <w:tblLook w:val="0000"/>
      </w:tblPr>
      <w:tblGrid>
        <w:gridCol w:w="4698"/>
        <w:gridCol w:w="630"/>
        <w:gridCol w:w="4248"/>
      </w:tblGrid>
      <w:tr w14:paraId="14648808" w14:textId="77777777">
        <w:tblPrEx>
          <w:tblW w:w="0" w:type="auto"/>
          <w:tblLayout w:type="fixed"/>
          <w:tblLook w:val="0000"/>
        </w:tblPrEx>
        <w:tc>
          <w:tcPr>
            <w:tcW w:w="4698" w:type="dxa"/>
          </w:tcPr>
          <w:p w:rsidR="004C2EE3" w14:paraId="646581ED" w14:textId="77777777">
            <w:pPr>
              <w:tabs>
                <w:tab w:val="center" w:pos="4680"/>
              </w:tabs>
              <w:suppressAutoHyphens/>
              <w:rPr>
                <w:spacing w:val="-2"/>
              </w:rPr>
            </w:pPr>
            <w:r>
              <w:rPr>
                <w:spacing w:val="-2"/>
              </w:rPr>
              <w:t>In the Matter of</w:t>
            </w:r>
          </w:p>
          <w:p w:rsidR="004C2EE3" w14:paraId="25365769" w14:textId="77777777">
            <w:pPr>
              <w:tabs>
                <w:tab w:val="center" w:pos="4680"/>
              </w:tabs>
              <w:suppressAutoHyphens/>
              <w:rPr>
                <w:spacing w:val="-2"/>
              </w:rPr>
            </w:pPr>
          </w:p>
          <w:p w:rsidR="004C2EE3" w:rsidRPr="007115F7" w:rsidP="007115F7" w14:paraId="30C429B7" w14:textId="34A830FB">
            <w:pPr>
              <w:tabs>
                <w:tab w:val="center" w:pos="4680"/>
              </w:tabs>
              <w:suppressAutoHyphens/>
              <w:rPr>
                <w:spacing w:val="-2"/>
              </w:rPr>
            </w:pPr>
            <w:r>
              <w:rPr>
                <w:spacing w:val="-2"/>
              </w:rPr>
              <w:t>COVID-19 Telehealth Program</w:t>
            </w:r>
          </w:p>
        </w:tc>
        <w:tc>
          <w:tcPr>
            <w:tcW w:w="630" w:type="dxa"/>
          </w:tcPr>
          <w:p w:rsidR="004C2EE3" w14:paraId="708131C3" w14:textId="77777777">
            <w:pPr>
              <w:tabs>
                <w:tab w:val="center" w:pos="4680"/>
              </w:tabs>
              <w:suppressAutoHyphens/>
              <w:rPr>
                <w:b/>
                <w:spacing w:val="-2"/>
              </w:rPr>
            </w:pPr>
            <w:r>
              <w:rPr>
                <w:b/>
                <w:spacing w:val="-2"/>
              </w:rPr>
              <w:t>)</w:t>
            </w:r>
          </w:p>
          <w:p w:rsidR="004C2EE3" w14:paraId="275EEF57" w14:textId="77777777">
            <w:pPr>
              <w:tabs>
                <w:tab w:val="center" w:pos="4680"/>
              </w:tabs>
              <w:suppressAutoHyphens/>
              <w:rPr>
                <w:b/>
                <w:spacing w:val="-2"/>
              </w:rPr>
            </w:pPr>
            <w:r>
              <w:rPr>
                <w:b/>
                <w:spacing w:val="-2"/>
              </w:rPr>
              <w:t>)</w:t>
            </w:r>
          </w:p>
          <w:p w:rsidR="004C2EE3" w14:paraId="0010ACDC" w14:textId="77777777">
            <w:pPr>
              <w:tabs>
                <w:tab w:val="center" w:pos="4680"/>
              </w:tabs>
              <w:suppressAutoHyphens/>
              <w:rPr>
                <w:b/>
                <w:spacing w:val="-2"/>
              </w:rPr>
            </w:pPr>
            <w:r>
              <w:rPr>
                <w:b/>
                <w:spacing w:val="-2"/>
              </w:rPr>
              <w:t>)</w:t>
            </w:r>
          </w:p>
          <w:p w:rsidR="004C2EE3" w14:paraId="1AC415A4" w14:textId="77777777">
            <w:pPr>
              <w:tabs>
                <w:tab w:val="center" w:pos="4680"/>
              </w:tabs>
              <w:suppressAutoHyphens/>
              <w:rPr>
                <w:b/>
                <w:spacing w:val="-2"/>
              </w:rPr>
            </w:pPr>
            <w:r>
              <w:rPr>
                <w:b/>
                <w:spacing w:val="-2"/>
              </w:rPr>
              <w:t>)</w:t>
            </w:r>
          </w:p>
          <w:p w:rsidR="004C2EE3" w14:paraId="6F7F0460" w14:textId="77777777">
            <w:pPr>
              <w:tabs>
                <w:tab w:val="center" w:pos="4680"/>
              </w:tabs>
              <w:suppressAutoHyphens/>
              <w:rPr>
                <w:b/>
                <w:spacing w:val="-2"/>
              </w:rPr>
            </w:pPr>
            <w:r>
              <w:rPr>
                <w:b/>
                <w:spacing w:val="-2"/>
              </w:rPr>
              <w:t>)</w:t>
            </w:r>
          </w:p>
          <w:p w:rsidR="004C2EE3" w:rsidRPr="00EE4AC7" w14:paraId="0D5C1E2B" w14:textId="61F67EB1">
            <w:pPr>
              <w:tabs>
                <w:tab w:val="center" w:pos="4680"/>
              </w:tabs>
              <w:suppressAutoHyphens/>
              <w:rPr>
                <w:b/>
                <w:spacing w:val="-2"/>
              </w:rPr>
            </w:pPr>
            <w:r>
              <w:rPr>
                <w:b/>
                <w:spacing w:val="-2"/>
              </w:rPr>
              <w:t>)</w:t>
            </w:r>
          </w:p>
        </w:tc>
        <w:tc>
          <w:tcPr>
            <w:tcW w:w="4248" w:type="dxa"/>
          </w:tcPr>
          <w:p w:rsidR="004C2EE3" w14:paraId="21FE040E" w14:textId="77777777">
            <w:pPr>
              <w:tabs>
                <w:tab w:val="center" w:pos="4680"/>
              </w:tabs>
              <w:suppressAutoHyphens/>
              <w:rPr>
                <w:spacing w:val="-2"/>
              </w:rPr>
            </w:pPr>
          </w:p>
          <w:p w:rsidR="004C2EE3" w14:paraId="28EE5BEA" w14:textId="77777777">
            <w:pPr>
              <w:pStyle w:val="TOAHeading"/>
              <w:tabs>
                <w:tab w:val="center" w:pos="4680"/>
                <w:tab w:val="clear" w:pos="9360"/>
              </w:tabs>
              <w:rPr>
                <w:spacing w:val="-2"/>
              </w:rPr>
            </w:pPr>
          </w:p>
          <w:p w:rsidR="004C2EE3" w14:paraId="5B48D6C7" w14:textId="4D3AAE79">
            <w:pPr>
              <w:tabs>
                <w:tab w:val="center" w:pos="4680"/>
              </w:tabs>
              <w:suppressAutoHyphens/>
              <w:rPr>
                <w:spacing w:val="-2"/>
              </w:rPr>
            </w:pPr>
            <w:r>
              <w:rPr>
                <w:spacing w:val="-2"/>
              </w:rPr>
              <w:t>WC Docket No. 20-89</w:t>
            </w:r>
          </w:p>
        </w:tc>
      </w:tr>
    </w:tbl>
    <w:p w:rsidR="004C2EE3" w:rsidP="0070224F" w14:paraId="6FC3586B" w14:textId="77777777"/>
    <w:p w:rsidR="00841AB1" w:rsidP="00F021FA" w14:paraId="342405F2" w14:textId="1F6123D2">
      <w:pPr>
        <w:pStyle w:val="StyleBoldCentered"/>
      </w:pPr>
      <w:r>
        <w:t>ORDER</w:t>
      </w:r>
    </w:p>
    <w:p w:rsidR="004C2EE3" w14:paraId="6504DF2B" w14:textId="77777777">
      <w:pPr>
        <w:tabs>
          <w:tab w:val="left" w:pos="-720"/>
        </w:tabs>
        <w:suppressAutoHyphens/>
        <w:spacing w:line="227" w:lineRule="auto"/>
        <w:rPr>
          <w:spacing w:val="-2"/>
        </w:rPr>
      </w:pPr>
    </w:p>
    <w:p w:rsidR="004C2EE3" w:rsidP="00133F79" w14:paraId="06F24EB0" w14:textId="302CF2C2">
      <w:pPr>
        <w:tabs>
          <w:tab w:val="left" w:pos="720"/>
          <w:tab w:val="right" w:pos="9360"/>
        </w:tabs>
        <w:suppressAutoHyphens/>
        <w:spacing w:line="227" w:lineRule="auto"/>
        <w:rPr>
          <w:spacing w:val="-2"/>
        </w:rPr>
      </w:pPr>
      <w:r>
        <w:rPr>
          <w:b/>
          <w:spacing w:val="-2"/>
        </w:rPr>
        <w:t xml:space="preserve">Adopted:  </w:t>
      </w:r>
      <w:r w:rsidR="00EE4AC7">
        <w:rPr>
          <w:b/>
          <w:spacing w:val="-2"/>
        </w:rPr>
        <w:t>June 2</w:t>
      </w:r>
      <w:r w:rsidR="00D704C3">
        <w:rPr>
          <w:b/>
          <w:spacing w:val="-2"/>
        </w:rPr>
        <w:t>9</w:t>
      </w:r>
      <w:r w:rsidR="00EE4AC7">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E4AC7">
        <w:rPr>
          <w:b/>
          <w:spacing w:val="-2"/>
        </w:rPr>
        <w:t>June 2</w:t>
      </w:r>
      <w:r w:rsidR="00D704C3">
        <w:rPr>
          <w:b/>
          <w:spacing w:val="-2"/>
        </w:rPr>
        <w:t>9</w:t>
      </w:r>
      <w:r w:rsidR="00EE4AC7">
        <w:rPr>
          <w:b/>
          <w:spacing w:val="-2"/>
        </w:rPr>
        <w:t>, 2021</w:t>
      </w:r>
    </w:p>
    <w:p w:rsidR="00822CE0" w14:paraId="18C17627" w14:textId="77777777"/>
    <w:p w:rsidR="004C2EE3" w14:paraId="50DE8332" w14:textId="65B4FA33">
      <w:pPr>
        <w:rPr>
          <w:spacing w:val="-2"/>
        </w:rPr>
      </w:pPr>
      <w:r>
        <w:t xml:space="preserve">By </w:t>
      </w:r>
      <w:r w:rsidR="004E4A22">
        <w:t>the</w:t>
      </w:r>
      <w:r w:rsidR="002A2D2E">
        <w:t xml:space="preserve"> </w:t>
      </w:r>
      <w:r w:rsidR="00EE4AC7">
        <w:rPr>
          <w:spacing w:val="-2"/>
        </w:rPr>
        <w:t>Chief, Wireline Competition Bureau</w:t>
      </w:r>
      <w:r>
        <w:rPr>
          <w:spacing w:val="-2"/>
        </w:rPr>
        <w:t>:</w:t>
      </w:r>
    </w:p>
    <w:p w:rsidR="00822CE0" w14:paraId="035BE484" w14:textId="77777777">
      <w:pPr>
        <w:rPr>
          <w:spacing w:val="-2"/>
        </w:rPr>
      </w:pPr>
    </w:p>
    <w:p w:rsidR="00EE4AC7" w:rsidP="00EE4AC7" w14:paraId="7F4AD7E4" w14:textId="77777777">
      <w:pPr>
        <w:pStyle w:val="Heading1"/>
      </w:pPr>
      <w:r>
        <w:t>Introduction</w:t>
      </w:r>
    </w:p>
    <w:p w:rsidR="00EE4AC7" w:rsidP="00EE4AC7" w14:paraId="75492F2D" w14:textId="77777777">
      <w:pPr>
        <w:pStyle w:val="ParaNum"/>
      </w:pPr>
      <w:r>
        <w:t>In this Order, we address the requests of potential applicants seeking additional time to submit applications for the second round of the COVID-19 Telehealth Program (Program)</w:t>
      </w:r>
      <w:r>
        <w:rPr>
          <w:rStyle w:val="FootnoteReference"/>
        </w:rPr>
        <w:footnoteReference w:id="3"/>
      </w:r>
      <w:r>
        <w:t xml:space="preserve"> by granting, </w:t>
      </w:r>
      <w:r>
        <w:rPr>
          <w:i/>
          <w:iCs/>
        </w:rPr>
        <w:t>sua sponte</w:t>
      </w:r>
      <w:r>
        <w:t>, a waiver of the Program’s application filing deadline for potential applicants that meet the conditions described below.</w:t>
      </w:r>
      <w:r>
        <w:rPr>
          <w:rStyle w:val="FootnoteReference"/>
        </w:rPr>
        <w:footnoteReference w:id="4"/>
      </w:r>
      <w:r>
        <w:t xml:space="preserve">  The Commission accepted applications for the second round of the COVID-19 Telehealth Program from 12:00 PM ET on April 29, 2021, to 12:00 PM ET on May 6, 2021.  Potential applicants cited various reasons as to why they could not timely submit their applications, such as circumstances outside the applicant’s control including natural disasters; lack of resources; applicant confusion; the duration of the filing window; and time zone differences.</w:t>
      </w:r>
    </w:p>
    <w:p w:rsidR="00EE4AC7" w:rsidP="00EE4AC7" w14:paraId="13A3BA2D" w14:textId="77777777">
      <w:pPr>
        <w:pStyle w:val="ParaNum"/>
      </w:pPr>
      <w:r>
        <w:t>After considering the totality of the circumstances and the public interest, we grant in part the requests for extension of time and waive the application filing deadline.  Specifically, we grant a waiver to</w:t>
      </w:r>
      <w:r w:rsidRPr="009065D0">
        <w:t xml:space="preserve"> potential applicant</w:t>
      </w:r>
      <w:r>
        <w:t>s</w:t>
      </w:r>
      <w:r w:rsidRPr="009065D0">
        <w:t xml:space="preserve"> that (1) began </w:t>
      </w:r>
      <w:r>
        <w:t xml:space="preserve">and saved </w:t>
      </w:r>
      <w:r w:rsidRPr="009065D0">
        <w:t>a</w:t>
      </w:r>
      <w:r>
        <w:t xml:space="preserve"> draft</w:t>
      </w:r>
      <w:r w:rsidRPr="009065D0">
        <w:t xml:space="preserve"> application </w:t>
      </w:r>
      <w:r>
        <w:t xml:space="preserve">in the COVID-19 Telehealth application filing system </w:t>
      </w:r>
      <w:r w:rsidRPr="009065D0">
        <w:t>before</w:t>
      </w:r>
      <w:r>
        <w:t xml:space="preserve"> the close of the application filing window</w:t>
      </w:r>
      <w:r w:rsidRPr="009065D0">
        <w:t xml:space="preserve"> </w:t>
      </w:r>
      <w:r>
        <w:t xml:space="preserve">at 12:00 PM ET on </w:t>
      </w:r>
      <w:r w:rsidRPr="009065D0">
        <w:t>May 6</w:t>
      </w:r>
      <w:r>
        <w:t xml:space="preserve">, 2021; </w:t>
      </w:r>
      <w:r w:rsidRPr="009065D0">
        <w:t xml:space="preserve">and (2) </w:t>
      </w:r>
      <w:bookmarkStart w:id="0" w:name="_Hlk75418056"/>
      <w:r w:rsidRPr="009065D0">
        <w:t>contacted</w:t>
      </w:r>
      <w:r>
        <w:t>,</w:t>
      </w:r>
      <w:r w:rsidRPr="009065D0">
        <w:t xml:space="preserve"> </w:t>
      </w:r>
      <w:r>
        <w:t>in writing,</w:t>
      </w:r>
      <w:r w:rsidRPr="009065D0">
        <w:t xml:space="preserve"> </w:t>
      </w:r>
      <w:bookmarkStart w:id="1" w:name="_Hlk75523875"/>
      <w:r>
        <w:t xml:space="preserve">the Universal Service Administrative Company </w:t>
      </w:r>
      <w:bookmarkEnd w:id="1"/>
      <w:r>
        <w:t xml:space="preserve">(USAC) </w:t>
      </w:r>
      <w:r w:rsidRPr="009065D0">
        <w:t xml:space="preserve">or the </w:t>
      </w:r>
      <w:r>
        <w:t>Commission within two weeks of the filing deadline, that is, by 12:00 PM ET on May 20, 2021, to</w:t>
      </w:r>
      <w:r w:rsidRPr="009065D0">
        <w:t xml:space="preserve"> request additional time to submit their application</w:t>
      </w:r>
      <w:r>
        <w:t>s</w:t>
      </w:r>
      <w:bookmarkEnd w:id="0"/>
      <w:r>
        <w:t>.  These potential applicants, listed in the Appendix attached to this Order, will be permitted to certify their applications as they currently exist</w:t>
      </w:r>
      <w:r w:rsidRPr="000A7E09">
        <w:t xml:space="preserve"> </w:t>
      </w:r>
      <w:r>
        <w:t>in the Program’s application filing system.  Commission staff will submit the certified applications, and we direct USAC to review the submitted applications as part of the Program’s initial commitment phase.</w:t>
      </w:r>
      <w:r>
        <w:rPr>
          <w:rStyle w:val="FootnoteReference"/>
        </w:rPr>
        <w:footnoteReference w:id="5"/>
      </w:r>
      <w:r>
        <w:t xml:space="preserve">  </w:t>
      </w:r>
      <w:r>
        <w:t>Potential applicants that are not listed in the attached Appendix will not be provided additional time to certify their applications.</w:t>
      </w:r>
    </w:p>
    <w:p w:rsidR="00EE4AC7" w:rsidP="00EE4AC7" w14:paraId="0B2A0853" w14:textId="77777777">
      <w:pPr>
        <w:pStyle w:val="Heading1"/>
      </w:pPr>
      <w:r>
        <w:t>Background</w:t>
      </w:r>
    </w:p>
    <w:p w:rsidR="00EE4AC7" w:rsidP="00EE4AC7" w14:paraId="668DFF90" w14:textId="77777777">
      <w:pPr>
        <w:pStyle w:val="ParaNum"/>
      </w:pPr>
      <w:r>
        <w:t xml:space="preserve">The Commission established the COVID-19 Telehealth Program in April 2020 pursuant to the </w:t>
      </w:r>
      <w:r w:rsidRPr="00934432">
        <w:t>Coronavirus Aid, Relief, and Economic Security (CARES) Act</w:t>
      </w:r>
      <w:r>
        <w:t xml:space="preserve"> to administer an initial $200 million in funding for telehealth and connected care services to eligible health care providers in response to the COVID-19 pandemic.</w:t>
      </w:r>
      <w:r>
        <w:rPr>
          <w:rStyle w:val="FootnoteReference"/>
        </w:rPr>
        <w:footnoteReference w:id="6"/>
      </w:r>
      <w:r>
        <w:t xml:space="preserve">  In December 2020, under the Consolidated Appropriations Act, Congress appropriated an additional $249.95 million in funding to the Commission for the Program.</w:t>
      </w:r>
      <w:r>
        <w:rPr>
          <w:rStyle w:val="FootnoteReference"/>
        </w:rPr>
        <w:footnoteReference w:id="7"/>
      </w:r>
      <w:r>
        <w:t xml:space="preserve">  The Consolidated Appropriations Act also required the Commission to consider and make several changes to the Program.  The Bureau sought comment on these potential changes and improvements to the Program in January 2021,</w:t>
      </w:r>
      <w:r>
        <w:rPr>
          <w:rStyle w:val="FootnoteReference"/>
        </w:rPr>
        <w:footnoteReference w:id="8"/>
      </w:r>
      <w:r>
        <w:t xml:space="preserve"> the Commission adopted a </w:t>
      </w:r>
      <w:r w:rsidRPr="007D3000">
        <w:rPr>
          <w:i/>
          <w:iCs/>
        </w:rPr>
        <w:t>Report and Order</w:t>
      </w:r>
      <w:r>
        <w:t xml:space="preserve"> to expand the responsibilities of USAC to include the Program’s administration in February 2021,</w:t>
      </w:r>
      <w:r>
        <w:rPr>
          <w:rStyle w:val="FootnoteReference"/>
        </w:rPr>
        <w:footnoteReference w:id="9"/>
      </w:r>
      <w:r>
        <w:t xml:space="preserve"> and, in March 2021, the Commission adopted the </w:t>
      </w:r>
      <w:r w:rsidRPr="00987D8D">
        <w:rPr>
          <w:i/>
          <w:iCs/>
        </w:rPr>
        <w:t>Second COVID-19 Report and Order</w:t>
      </w:r>
      <w:r>
        <w:t>, which established the</w:t>
      </w:r>
      <w:r w:rsidRPr="003B6908">
        <w:t xml:space="preserve"> requirements, processes, and procedures for the second round of Program</w:t>
      </w:r>
      <w:r>
        <w:t xml:space="preserve"> </w:t>
      </w:r>
      <w:r w:rsidRPr="003B6908">
        <w:t>funding appropriated</w:t>
      </w:r>
      <w:r>
        <w:t xml:space="preserve"> </w:t>
      </w:r>
      <w:r w:rsidRPr="003B6908">
        <w:t>under the Consolidated Appropriations Act</w:t>
      </w:r>
      <w:r>
        <w:t xml:space="preserve"> </w:t>
      </w:r>
      <w:r w:rsidRPr="003B6908">
        <w:t>(Round 2)</w:t>
      </w:r>
      <w:r>
        <w:t>.</w:t>
      </w:r>
      <w:r>
        <w:rPr>
          <w:rStyle w:val="FootnoteReference"/>
        </w:rPr>
        <w:footnoteReference w:id="10"/>
      </w:r>
    </w:p>
    <w:p w:rsidR="00EE4AC7" w:rsidP="007323F9" w14:paraId="709225FB" w14:textId="77777777">
      <w:pPr>
        <w:pStyle w:val="ParaNum"/>
        <w:widowControl/>
      </w:pPr>
      <w:r>
        <w:t xml:space="preserve">To incorporate these changes to the Program, and to improve the quality of the applications submitted for Round 2, both the application and the application filing system were modified.  One such modification required applicants to complete certain fields in the application, and only allowed applications that contained the required information in the designated field to be submitted.  The information required on the application was discussed in detail in the </w:t>
      </w:r>
      <w:r w:rsidRPr="009C588A">
        <w:rPr>
          <w:i/>
          <w:iCs/>
        </w:rPr>
        <w:t>Second COVID-19 Report and Order</w:t>
      </w:r>
      <w:r>
        <w:rPr>
          <w:i/>
          <w:iCs/>
        </w:rPr>
        <w:t xml:space="preserve"> </w:t>
      </w:r>
      <w:r>
        <w:t>and all required fields were denoted on the application with an asterisk.</w:t>
      </w:r>
      <w:r>
        <w:rPr>
          <w:rStyle w:val="FootnoteReference"/>
        </w:rPr>
        <w:footnoteReference w:id="11"/>
      </w:r>
      <w:r>
        <w:t xml:space="preserve">  Among other things, applicants were required to designate a lead health care provider;</w:t>
      </w:r>
      <w:r>
        <w:rPr>
          <w:rStyle w:val="FootnoteReference"/>
        </w:rPr>
        <w:footnoteReference w:id="12"/>
      </w:r>
      <w:r>
        <w:t xml:space="preserve"> provide information on the services and devices for which they were requesting funding, along with supporting documentation such as invoices or vendor quotes;</w:t>
      </w:r>
      <w:r>
        <w:rPr>
          <w:rStyle w:val="FootnoteReference"/>
        </w:rPr>
        <w:footnoteReference w:id="13"/>
      </w:r>
      <w:r>
        <w:t xml:space="preserve"> and provide information for the nine objective evaluation metrics that the Commission directed USAC to use to evaluate the applications.</w:t>
      </w:r>
      <w:r>
        <w:rPr>
          <w:rStyle w:val="FootnoteReference"/>
        </w:rPr>
        <w:footnoteReference w:id="14"/>
      </w:r>
      <w:r>
        <w:t xml:space="preserve">  Applicants that did not include information in all of the required fields of the application were not able to submit their application and received an error message in the application filing system informing them that their application was </w:t>
      </w:r>
      <w:r>
        <w:t>incomplete and directing them to the incomplete field(s).  Similarly, applicants were not able to certify or submit applications after the close of the application filing window.</w:t>
      </w:r>
    </w:p>
    <w:p w:rsidR="00EE4AC7" w:rsidP="00EE4AC7" w14:paraId="31C7F2E3" w14:textId="77777777">
      <w:pPr>
        <w:pStyle w:val="ParaNum"/>
      </w:pPr>
      <w:r>
        <w:t>The Commission established a one-week application filing window for Round 2 of the Program.</w:t>
      </w:r>
      <w:r>
        <w:rPr>
          <w:rStyle w:val="FootnoteReference"/>
        </w:rPr>
        <w:footnoteReference w:id="15"/>
      </w:r>
      <w:r>
        <w:t xml:space="preserve">  The application filing window was announced on April 15, 2021, two weeks before the application filing window opened.</w:t>
      </w:r>
      <w:r>
        <w:rPr>
          <w:rStyle w:val="FootnoteReference"/>
        </w:rPr>
        <w:footnoteReference w:id="16"/>
      </w:r>
      <w:r>
        <w:t xml:space="preserve">  The application filing window was open from 12:00 PM ET on April 29, 2021, to 12:00 PM ET on May 6, 2021.</w:t>
      </w:r>
      <w:r>
        <w:rPr>
          <w:rStyle w:val="FootnoteReference"/>
        </w:rPr>
        <w:footnoteReference w:id="17"/>
      </w:r>
      <w:r>
        <w:t xml:space="preserve">  </w:t>
      </w:r>
      <w:r w:rsidRPr="001D5C65">
        <w:t xml:space="preserve">At the close of the application filing window, </w:t>
      </w:r>
      <w:r>
        <w:t xml:space="preserve">over </w:t>
      </w:r>
      <w:r w:rsidRPr="001D5C65">
        <w:t>1,8</w:t>
      </w:r>
      <w:r>
        <w:t>00</w:t>
      </w:r>
      <w:r w:rsidRPr="001D5C65">
        <w:t xml:space="preserve"> applications</w:t>
      </w:r>
      <w:r>
        <w:t xml:space="preserve"> had been submitted</w:t>
      </w:r>
      <w:r w:rsidRPr="001D5C65">
        <w:t>,</w:t>
      </w:r>
      <w:r>
        <w:t xml:space="preserve"> with applications from</w:t>
      </w:r>
      <w:r w:rsidRPr="001D5C65">
        <w:t xml:space="preserve"> all 50 states, the District of Columbia, American Samoa, Guam, </w:t>
      </w:r>
      <w:r>
        <w:t xml:space="preserve">the </w:t>
      </w:r>
      <w:r w:rsidRPr="001D5C65">
        <w:t>Northern Mariana Islands, Puerto Rico, and the U.S. Virgin Islands</w:t>
      </w:r>
      <w:r>
        <w:t>.</w:t>
      </w:r>
    </w:p>
    <w:p w:rsidR="00EE4AC7" w:rsidP="00EE4AC7" w14:paraId="5EBDCD19" w14:textId="77777777">
      <w:pPr>
        <w:pStyle w:val="ParaNum"/>
      </w:pPr>
      <w:r>
        <w:t>Immediately before and just after the close of the filing window, multiple potential applicants contacted USAC or Commission staff to request additional time to submit their applications.  Some had not started applications at all; others had otherwise completed applications but for various reasons were unable to submit them.  Wireline Competition Bureau staff reviewed over 180 inquiries from potential applicants, as well as any corresponding draft applications in the application filing system.  Staff determined that many potential applicants</w:t>
      </w:r>
      <w:r w:rsidRPr="00661546">
        <w:t xml:space="preserve"> were unable to timely submit their applications due to a combination of</w:t>
      </w:r>
      <w:r>
        <w:t>:</w:t>
      </w:r>
      <w:r w:rsidRPr="00661546">
        <w:t xml:space="preserve"> (1) </w:t>
      </w:r>
      <w:r>
        <w:t>delays due to circumstances outside of the applicant’s control, such as natural disasters; (2) lack of resources; (3) applicant confusion that lead to incomplete applications or other errors in filling out the application; (3) duration of the filing window;</w:t>
      </w:r>
      <w:r w:rsidRPr="00661546">
        <w:t xml:space="preserve"> </w:t>
      </w:r>
      <w:r>
        <w:t xml:space="preserve">and </w:t>
      </w:r>
      <w:r w:rsidRPr="00661546">
        <w:t>(</w:t>
      </w:r>
      <w:r>
        <w:t>4</w:t>
      </w:r>
      <w:r w:rsidRPr="00661546">
        <w:t xml:space="preserve">) </w:t>
      </w:r>
      <w:r>
        <w:t xml:space="preserve">time zone differences, e.g., applicants </w:t>
      </w:r>
      <w:r w:rsidRPr="00661546">
        <w:t>not allotting enough time to complete the application</w:t>
      </w:r>
      <w:r>
        <w:t>.  Staff have not</w:t>
      </w:r>
      <w:r w:rsidRPr="00661546">
        <w:t xml:space="preserve"> identif</w:t>
      </w:r>
      <w:r>
        <w:t>ied</w:t>
      </w:r>
      <w:r w:rsidRPr="00661546">
        <w:t xml:space="preserve"> any </w:t>
      </w:r>
      <w:r>
        <w:t>global</w:t>
      </w:r>
      <w:r w:rsidRPr="00661546">
        <w:t xml:space="preserve"> issues</w:t>
      </w:r>
      <w:r>
        <w:t xml:space="preserve"> or system</w:t>
      </w:r>
      <w:r w:rsidRPr="00661546">
        <w:t xml:space="preserve"> failures</w:t>
      </w:r>
      <w:r>
        <w:t xml:space="preserve"> in the application filing system that would have prevented applicants from timely submitting complete applications.  Nonetheless, because Congress directed funding to this Program on an emergency basis and given ongoing challenges that health care providers face due to the COVID-19 pandemic, we find it appropriate to provide relief to those applicants that made good faith efforts to comply with Program policies, procedures, and requirements and made timely extension requests.  Accordingly, we provide relief to applicants who reasonably attempted to meet the deadline but were unable to do so and who also, within a reasonable amount of time after the application window closed, requested additional time within which to submit an application.</w:t>
      </w:r>
      <w:r>
        <w:rPr>
          <w:rStyle w:val="FootnoteReference"/>
        </w:rPr>
        <w:footnoteReference w:id="18"/>
      </w:r>
    </w:p>
    <w:p w:rsidR="00EE4AC7" w:rsidP="00EE4AC7" w14:paraId="327221BB" w14:textId="77777777">
      <w:pPr>
        <w:pStyle w:val="Heading1"/>
      </w:pPr>
      <w:r>
        <w:t>Discussion</w:t>
      </w:r>
    </w:p>
    <w:p w:rsidR="00EE4AC7" w:rsidRPr="00CF1DD1" w:rsidP="00EE4AC7" w14:paraId="5F84E11E" w14:textId="77777777">
      <w:pPr>
        <w:pStyle w:val="ParaNum"/>
      </w:pPr>
      <w:r>
        <w:t xml:space="preserve">In this Order, we </w:t>
      </w:r>
      <w:r w:rsidRPr="00470400">
        <w:rPr>
          <w:i/>
          <w:iCs/>
        </w:rPr>
        <w:t>sua</w:t>
      </w:r>
      <w:r>
        <w:t xml:space="preserve"> </w:t>
      </w:r>
      <w:r w:rsidRPr="00470400">
        <w:rPr>
          <w:i/>
          <w:iCs/>
        </w:rPr>
        <w:t>sponte</w:t>
      </w:r>
      <w:r>
        <w:t xml:space="preserve"> grant a waiver of the application filing deadline to the potential applicants identified in the Appendix attached to this Order.</w:t>
      </w:r>
      <w:r>
        <w:rPr>
          <w:rStyle w:val="FootnoteReference"/>
        </w:rPr>
        <w:footnoteReference w:id="19"/>
      </w:r>
      <w:r>
        <w:t xml:space="preserve">  We afford relief only to those potential applicants who both </w:t>
      </w:r>
      <w:r w:rsidRPr="00AC720A">
        <w:t>(1) began</w:t>
      </w:r>
      <w:r>
        <w:t xml:space="preserve"> and saved</w:t>
      </w:r>
      <w:r w:rsidRPr="00AC720A">
        <w:t xml:space="preserve"> an application before </w:t>
      </w:r>
      <w:r>
        <w:t xml:space="preserve">12:00 PM ET </w:t>
      </w:r>
      <w:r w:rsidRPr="00AC720A">
        <w:t xml:space="preserve">on May </w:t>
      </w:r>
      <w:r>
        <w:t>6, 2021,</w:t>
      </w:r>
      <w:r w:rsidRPr="00AC720A">
        <w:t xml:space="preserve"> and (2) contacted USAC or the </w:t>
      </w:r>
      <w:r>
        <w:t>Commission, in writing, by 12:00 PM ET on May 20, 2021, to</w:t>
      </w:r>
      <w:r w:rsidRPr="00AC720A">
        <w:t xml:space="preserve"> request additional time to submit their application.</w:t>
      </w:r>
      <w:r>
        <w:rPr>
          <w:rStyle w:val="FootnoteReference"/>
        </w:rPr>
        <w:footnoteReference w:id="20"/>
      </w:r>
      <w:r>
        <w:t xml:space="preserve">  </w:t>
      </w:r>
    </w:p>
    <w:p w:rsidR="00EE4AC7" w:rsidP="00EE4AC7" w14:paraId="07BD221B" w14:textId="77777777">
      <w:pPr>
        <w:pStyle w:val="ParaNum"/>
      </w:pPr>
      <w:r>
        <w:t xml:space="preserve">Generally, </w:t>
      </w:r>
      <w:r w:rsidRPr="00520968">
        <w:t>the Commission’s rules may be waived or suspended for good cause shown.</w:t>
      </w:r>
      <w:r>
        <w:rPr>
          <w:vertAlign w:val="superscript"/>
        </w:rPr>
        <w:footnoteReference w:id="21"/>
      </w:r>
      <w:r w:rsidRPr="00520968">
        <w:t xml:space="preserve">  The Commission may exercise its discretion to waive a rule where the particular facts make strict compliance inconsistent with the public interest.</w:t>
      </w:r>
      <w:r>
        <w:rPr>
          <w:vertAlign w:val="superscript"/>
        </w:rPr>
        <w:footnoteReference w:id="22"/>
      </w:r>
      <w:r w:rsidRPr="00520968">
        <w:t xml:space="preserve">  In addition, the Commission may take into account considerations of hardship, equity, or more effective implementation of overall policy on an individual basis.</w:t>
      </w:r>
      <w:r>
        <w:rPr>
          <w:vertAlign w:val="superscript"/>
        </w:rPr>
        <w:footnoteReference w:id="23"/>
      </w:r>
      <w:r w:rsidRPr="00520968">
        <w:t xml:space="preserve">  Waiver of the Commission’s rules is appropriate only if both (1) special circumstances warrant a deviation from the general rule, and (2) such deviation will serve the public interest.</w:t>
      </w:r>
      <w:r>
        <w:rPr>
          <w:vertAlign w:val="superscript"/>
        </w:rPr>
        <w:footnoteReference w:id="24"/>
      </w:r>
      <w:r w:rsidRPr="00520968">
        <w:t xml:space="preserve">  </w:t>
      </w:r>
    </w:p>
    <w:p w:rsidR="00EE4AC7" w:rsidP="00EE4AC7" w14:paraId="7DD20FFD" w14:textId="77777777">
      <w:pPr>
        <w:pStyle w:val="ParaNum"/>
      </w:pPr>
      <w:r>
        <w:t>After a careful review, we conclude that both conditions are met here.  First, we conclude that the disruption caused by the ongoing COVID-19 pandemic and the burdens that health care providers have faced in response to the pandemic constitute special circumstances that justify this limited waiver.</w:t>
      </w:r>
      <w:r>
        <w:rPr>
          <w:rStyle w:val="FootnoteReference"/>
        </w:rPr>
        <w:footnoteReference w:id="25"/>
      </w:r>
      <w:r>
        <w:t xml:space="preserve">  Second, we conclude that this limited waiver will serve the public interest by providing an opportunity to obtain Program funding to a greater number of eligible and worthy health care providers during the ongoing pandemic.</w:t>
      </w:r>
    </w:p>
    <w:p w:rsidR="00EE4AC7" w:rsidP="00EE4AC7" w14:paraId="7EBC6739" w14:textId="77777777">
      <w:pPr>
        <w:pStyle w:val="ParaNum"/>
      </w:pPr>
      <w:r>
        <w:t>There is a general presumption that deadlines for Commission programs may not be waived absent special circumstances;</w:t>
      </w:r>
      <w:r>
        <w:rPr>
          <w:rStyle w:val="FootnoteReference"/>
        </w:rPr>
        <w:footnoteReference w:id="26"/>
      </w:r>
      <w:r>
        <w:t xml:space="preserve"> however, we conclude that special circumstances are present here.</w:t>
      </w:r>
      <w:r>
        <w:rPr>
          <w:rStyle w:val="FootnoteReference"/>
        </w:rPr>
        <w:footnoteReference w:id="27"/>
      </w:r>
      <w:r>
        <w:t xml:space="preserve">  The unprecedented nature of the COVID-19 pandemic, which has placed an extraordinary strain on health care providers, caused many providers to struggle to complete their applications by the application filing deadline while still providing health care to their vulnerable patient populations.  Additionally, the emergency nature of the Program and the changes implemented for Round 2 meant that all potential applicants were unfamiliar with the application and application filing system requirements, which made it more difficult for many applicants to complete their applications before the filing deadline.</w:t>
      </w:r>
    </w:p>
    <w:p w:rsidR="00EE4AC7" w:rsidP="00EE4AC7" w14:paraId="1CD101E6" w14:textId="77777777">
      <w:pPr>
        <w:pStyle w:val="ParaNum"/>
      </w:pPr>
      <w:r>
        <w:t xml:space="preserve">Granting a limited waiver in this instance will serve the public interest by allowing additional health care providers the opportunity to obtain Program funding.  In the </w:t>
      </w:r>
      <w:r w:rsidRPr="002605E8">
        <w:rPr>
          <w:i/>
          <w:iCs/>
        </w:rPr>
        <w:t>Second COVID-19 Report and Order</w:t>
      </w:r>
      <w:r>
        <w:t>, in accordance with Congressional directives, the Commission adopted a set of objective evaluation metrics that will be used to identify the applications that would provide funding to communities that need the most support.</w:t>
      </w:r>
      <w:r>
        <w:rPr>
          <w:rStyle w:val="FootnoteReference"/>
        </w:rPr>
        <w:footnoteReference w:id="28"/>
      </w:r>
      <w:r>
        <w:t xml:space="preserve">  By granting this limited waiver, we allow the potential applicants an opportunity to have their applications considered for Round 2 funding, which serves the Commission’s goal of ensuring that Program funding is used to fund eligible health care providers that will benefit most from the telehealth program funding.</w:t>
      </w:r>
      <w:r>
        <w:rPr>
          <w:rStyle w:val="FootnoteReference"/>
        </w:rPr>
        <w:footnoteReference w:id="29"/>
      </w:r>
    </w:p>
    <w:p w:rsidR="00EE4AC7" w:rsidP="007323F9" w14:paraId="1942A8B4" w14:textId="77777777">
      <w:pPr>
        <w:pStyle w:val="ParaNum"/>
        <w:widowControl/>
      </w:pPr>
      <w:r>
        <w:t xml:space="preserve">We conclude that this limited waiver is only appropriate for potential applicants who both began their application before the application deadline and who submitted a written request for additional time to submit their applications within two weeks of the close of the application filing window.  We find that potential applicants who took both these steps have displayed a good faith effort to apply for Round 2 and to comply with Program requirements.  Accordingly, we find it appropriate to provide relief to this discrete set of potential applicants, so that they are afforded the opportunity to have their existing applications considered using the objective application evaluation metrics set out in the </w:t>
      </w:r>
      <w:r w:rsidRPr="00AE7E3C">
        <w:rPr>
          <w:i/>
          <w:iCs/>
        </w:rPr>
        <w:t>Second COVID-19 Report and Order</w:t>
      </w:r>
      <w:r>
        <w:t xml:space="preserve">.  </w:t>
      </w:r>
    </w:p>
    <w:p w:rsidR="00EE4AC7" w:rsidP="00EE4AC7" w14:paraId="2D4EB432" w14:textId="77777777">
      <w:pPr>
        <w:pStyle w:val="ParaNum"/>
      </w:pPr>
      <w:r>
        <w:t>For the purposes of this Order, we will judge an entity to have begun an application before the deadline if its application was successfully saved within the application filing system.  Entities that did not save and/or do not have a draft application in the system are not eligible for this relief because, absent evidence of a draft application, we cannot verify that the entity began an application prior to the deadline.</w:t>
      </w:r>
      <w:r>
        <w:rPr>
          <w:rStyle w:val="FootnoteReference"/>
        </w:rPr>
        <w:footnoteReference w:id="30"/>
      </w:r>
      <w:r>
        <w:t xml:space="preserve">  We decline to grant a waiver to entities without draft applications in the system or those who have not reached out in writing to request additional time to submit their applications.</w:t>
      </w:r>
      <w:r>
        <w:rPr>
          <w:rStyle w:val="FootnoteReference"/>
        </w:rPr>
        <w:footnoteReference w:id="31"/>
      </w:r>
      <w:r>
        <w:t xml:space="preserve">  By limiting this relief to potential applicants who both began their applications before the application deadline and requested additional time to complete their applications, we support the Commission’s intent to facilitate an “efficient and equitable application review process,”</w:t>
      </w:r>
      <w:r>
        <w:rPr>
          <w:rStyle w:val="FootnoteReference"/>
        </w:rPr>
        <w:footnoteReference w:id="32"/>
      </w:r>
      <w:r>
        <w:t xml:space="preserve"> enable the timely distribution of this emergency funding to health care providers, and ensure that some entities are not afforded more time to complete their applications than others.  As noted below, the relief provided today only allows potential applicants the opportunity to certify their applications; it does not allow potential applicants to make additional changes to their applications.</w:t>
      </w:r>
      <w:r>
        <w:rPr>
          <w:rStyle w:val="FootnoteReference"/>
        </w:rPr>
        <w:footnoteReference w:id="33"/>
      </w:r>
    </w:p>
    <w:p w:rsidR="00EE4AC7" w:rsidP="00EE4AC7" w14:paraId="3F639B7C" w14:textId="3501E2D3">
      <w:pPr>
        <w:pStyle w:val="ParaNum"/>
        <w:tabs>
          <w:tab w:val="left" w:pos="8550"/>
        </w:tabs>
      </w:pPr>
      <w:r>
        <w:t>Accordingly, we g</w:t>
      </w:r>
      <w:r w:rsidRPr="00AC720A">
        <w:t>rant a waiver to potential applicant</w:t>
      </w:r>
      <w:r>
        <w:t>s</w:t>
      </w:r>
      <w:r w:rsidRPr="00AC720A">
        <w:t xml:space="preserve"> that (1) </w:t>
      </w:r>
      <w:r>
        <w:t xml:space="preserve">began and saved an application before 12:00 PM ET </w:t>
      </w:r>
      <w:r w:rsidRPr="00AC720A">
        <w:t>on May 6</w:t>
      </w:r>
      <w:r>
        <w:t>, 2021,</w:t>
      </w:r>
      <w:r w:rsidRPr="00AC720A">
        <w:t xml:space="preserve"> and (2) contacted USAC or the </w:t>
      </w:r>
      <w:r>
        <w:t>Commission, within two weeks, that is, by 12:00 PM ET on May 20, 2021,</w:t>
      </w:r>
      <w:r w:rsidRPr="00AC720A">
        <w:t xml:space="preserve"> requesting additional time to submit their application</w:t>
      </w:r>
      <w:r>
        <w:t xml:space="preserve"> in writing</w:t>
      </w:r>
      <w:r w:rsidRPr="00AC720A">
        <w:t>.</w:t>
      </w:r>
      <w:r>
        <w:t xml:space="preserve">  To avail themselves of this waiver grant, the potential applicants listed in the Appendix must log into their account in the application filing system, available here:  </w:t>
      </w:r>
      <w:hyperlink r:id="rId5" w:history="1">
        <w:r w:rsidRPr="00924163">
          <w:rPr>
            <w:rStyle w:val="Hyperlink"/>
          </w:rPr>
          <w:t>https:/</w:t>
        </w:r>
        <w:r w:rsidRPr="00924163">
          <w:rPr>
            <w:rStyle w:val="Hyperlink"/>
          </w:rPr>
          <w:t>/bit.ly/3zRdUe8</w:t>
        </w:r>
      </w:hyperlink>
      <w:r>
        <w:t xml:space="preserve">, within seven (7) days from the release of this Order and certify their application.  Potential applicants may not add or alter other information on their applications.  Commission staff will submit any applications certified by 11:59 PM ET on July </w:t>
      </w:r>
      <w:r w:rsidR="00BB413A">
        <w:t>6</w:t>
      </w:r>
      <w:r>
        <w:t>, 2021.</w:t>
      </w:r>
    </w:p>
    <w:p w:rsidR="00EE4AC7" w:rsidP="00EE4AC7" w14:paraId="6B50BC29" w14:textId="77777777">
      <w:pPr>
        <w:pStyle w:val="ParaNum"/>
      </w:pPr>
      <w:r>
        <w:t xml:space="preserve">Applicants that have questions about how to certify their applications should contact </w:t>
      </w:r>
      <w:r w:rsidRPr="00F40A45">
        <w:t xml:space="preserve">USAC </w:t>
      </w:r>
      <w:r>
        <w:t xml:space="preserve">by email </w:t>
      </w:r>
      <w:r w:rsidRPr="00F40A45">
        <w:t xml:space="preserve">at </w:t>
      </w:r>
      <w:hyperlink r:id="rId6" w:history="1">
        <w:r w:rsidRPr="00041193">
          <w:rPr>
            <w:rStyle w:val="Hyperlink"/>
          </w:rPr>
          <w:t>Round2TelehealthApplicationSupport@usac.org</w:t>
        </w:r>
      </w:hyperlink>
      <w:r>
        <w:t xml:space="preserve"> </w:t>
      </w:r>
      <w:r w:rsidRPr="00F40A45">
        <w:t xml:space="preserve">or </w:t>
      </w:r>
      <w:r>
        <w:t xml:space="preserve">should </w:t>
      </w:r>
      <w:r w:rsidRPr="00F40A45">
        <w:t xml:space="preserve">call </w:t>
      </w:r>
      <w:r>
        <w:t xml:space="preserve">USAC’s </w:t>
      </w:r>
      <w:r w:rsidRPr="00F40A45">
        <w:t>support center at 833-832-7086</w:t>
      </w:r>
      <w:r>
        <w:t>.</w:t>
      </w:r>
    </w:p>
    <w:p w:rsidR="00EE4AC7" w:rsidP="00EE4AC7" w14:paraId="134F621D" w14:textId="77777777">
      <w:pPr>
        <w:pStyle w:val="Heading1"/>
      </w:pPr>
      <w:r>
        <w:t>ORDERING Clauses</w:t>
      </w:r>
    </w:p>
    <w:p w:rsidR="00EE4AC7" w:rsidRPr="008D5F71" w:rsidP="00EE4AC7" w14:paraId="6773B7B1" w14:textId="77777777">
      <w:pPr>
        <w:pStyle w:val="ParaNum"/>
      </w:pPr>
      <w:r>
        <w:rPr>
          <w:rStyle w:val="qowt-stl-stylenumberedparagraphs11ptchar"/>
          <w:color w:val="000000"/>
          <w:szCs w:val="22"/>
          <w:shd w:val="clear" w:color="auto" w:fill="FFFFFF"/>
        </w:rPr>
        <w:t xml:space="preserve">ACCORDINGLY, IT IS ORDERED that, </w:t>
      </w:r>
      <w:r>
        <w:rPr>
          <w:color w:val="000000"/>
          <w:szCs w:val="22"/>
          <w:shd w:val="clear" w:color="auto" w:fill="FFFFFF"/>
        </w:rPr>
        <w:t xml:space="preserve">pursuant to the authority contained in sections 1-4 and 254 of the Communications Act of 1934, as amended, 47 U.S.C. §§ 151-154 and 254, and </w:t>
      </w:r>
      <w:r>
        <w:rPr>
          <w:color w:val="000000"/>
          <w:szCs w:val="22"/>
          <w:shd w:val="clear" w:color="auto" w:fill="FFFFFF"/>
        </w:rPr>
        <w:t>pursuant to sections 0.91, 0.291, 1.3 of the Commission’s rules, 47 CFR §§ 0.91, 0.291, 1.3, that the application filing deadline for Round 2 of the COVID-19 Telehealth Program is waived to the limited extent provided herein.</w:t>
      </w:r>
    </w:p>
    <w:p w:rsidR="00EE4AC7" w:rsidRPr="00BB413A" w:rsidP="00EE4AC7" w14:paraId="5D5AF43D" w14:textId="7D84B65A">
      <w:pPr>
        <w:pStyle w:val="ParaNum"/>
        <w:rPr>
          <w:rStyle w:val="qowt-stl-stylenumberedparagraphs11ptchar"/>
        </w:rPr>
      </w:pPr>
      <w:r>
        <w:rPr>
          <w:color w:val="000000"/>
          <w:szCs w:val="22"/>
          <w:shd w:val="clear" w:color="auto" w:fill="FFFFFF"/>
        </w:rPr>
        <w:t>IT IS FURTHER ORDERED that, pursuant to the authority delegated in section 1.102(b)(1) of the Commission’s rules, 47 CFR</w:t>
      </w:r>
      <w:r>
        <w:rPr>
          <w:rStyle w:val="qowt-stl-stylenumberedparagraphs11ptchar"/>
          <w:color w:val="000000"/>
          <w:szCs w:val="22"/>
          <w:shd w:val="clear" w:color="auto" w:fill="FFFFFF"/>
        </w:rPr>
        <w:t xml:space="preserve"> § 1.102(b)(1), this order SHALL BE EFFECTIVE upon release.</w:t>
      </w:r>
    </w:p>
    <w:p w:rsidR="00BB413A" w:rsidRPr="005E67E9" w:rsidP="00BB413A" w14:paraId="67548AF0" w14:textId="77777777">
      <w:pPr>
        <w:pStyle w:val="ParaNum"/>
        <w:numPr>
          <w:ilvl w:val="0"/>
          <w:numId w:val="0"/>
        </w:numPr>
        <w:ind w:left="720"/>
        <w:rPr>
          <w:rStyle w:val="qowt-stl-stylenumberedparagraphs11ptchar"/>
        </w:rPr>
      </w:pPr>
    </w:p>
    <w:p w:rsidR="00EE4AC7" w:rsidP="0017296B" w14:paraId="314EFAE7" w14:textId="77777777">
      <w:r>
        <w:tab/>
      </w:r>
      <w:r>
        <w:tab/>
      </w:r>
      <w:r>
        <w:tab/>
      </w:r>
      <w:r>
        <w:tab/>
      </w:r>
      <w:r>
        <w:tab/>
      </w:r>
      <w:r>
        <w:tab/>
        <w:t>FEDERAL COMMUNICATIONS COMMISSION</w:t>
      </w:r>
    </w:p>
    <w:p w:rsidR="00EE4AC7" w:rsidP="0017296B" w14:paraId="3DFC49D5" w14:textId="77777777"/>
    <w:p w:rsidR="00EE4AC7" w:rsidP="0017296B" w14:paraId="12A94906" w14:textId="77777777"/>
    <w:p w:rsidR="00EE4AC7" w:rsidP="0017296B" w14:paraId="03631A17" w14:textId="77777777"/>
    <w:p w:rsidR="00EE4AC7" w:rsidP="0017296B" w14:paraId="0BEC8C98" w14:textId="77777777"/>
    <w:p w:rsidR="00EE4AC7" w:rsidP="0017296B" w14:paraId="0CDA6B74" w14:textId="08E509AD">
      <w:r>
        <w:tab/>
      </w:r>
      <w:r>
        <w:tab/>
      </w:r>
      <w:r>
        <w:tab/>
      </w:r>
      <w:r>
        <w:tab/>
      </w:r>
      <w:r>
        <w:tab/>
      </w:r>
      <w:r>
        <w:tab/>
      </w:r>
      <w:r w:rsidRPr="00EE4AC7">
        <w:t>Kris Anne Monteith</w:t>
      </w:r>
    </w:p>
    <w:p w:rsidR="00EE4AC7" w:rsidP="0017296B" w14:paraId="3258F884" w14:textId="7AFA4E97">
      <w:r>
        <w:tab/>
      </w:r>
      <w:r>
        <w:tab/>
      </w:r>
      <w:r>
        <w:tab/>
      </w:r>
      <w:r>
        <w:tab/>
      </w:r>
      <w:r>
        <w:tab/>
      </w:r>
      <w:r>
        <w:tab/>
        <w:t>Chief</w:t>
      </w:r>
    </w:p>
    <w:p w:rsidR="00EE4AC7" w:rsidP="0017296B" w14:paraId="6FA5E991" w14:textId="5E2CF051">
      <w:r>
        <w:tab/>
      </w:r>
      <w:r>
        <w:tab/>
      </w:r>
      <w:r>
        <w:tab/>
      </w:r>
      <w:r>
        <w:tab/>
      </w:r>
      <w:r>
        <w:tab/>
      </w:r>
      <w:r>
        <w:tab/>
        <w:t>Wireline Competition Bureau</w:t>
      </w:r>
    </w:p>
    <w:p w:rsidR="00EE4AC7" w:rsidP="0017296B" w14:paraId="7D0C3EF2" w14:textId="77777777"/>
    <w:p w:rsidR="00EE4AC7" w:rsidP="00EE4AC7" w14:paraId="23DC86D2" w14:textId="77777777">
      <w:pPr>
        <w:pStyle w:val="Heading1"/>
        <w:numPr>
          <w:ilvl w:val="0"/>
          <w:numId w:val="0"/>
        </w:numPr>
        <w:sectPr w:rsidSect="00BB413A">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EE4AC7" w:rsidRPr="007323F9" w:rsidP="007323F9" w14:paraId="3DC0DA87" w14:textId="03BB7F96">
      <w:pPr>
        <w:jc w:val="center"/>
        <w:rPr>
          <w:b/>
          <w:bCs/>
        </w:rPr>
      </w:pPr>
      <w:r w:rsidRPr="007323F9">
        <w:rPr>
          <w:b/>
          <w:bCs/>
        </w:rPr>
        <w:t>APPENDIX</w:t>
      </w:r>
    </w:p>
    <w:p w:rsidR="00EE4AC7" w:rsidRPr="007323F9" w:rsidP="007323F9" w14:paraId="121E9F66" w14:textId="118D20E9">
      <w:pPr>
        <w:jc w:val="center"/>
        <w:rPr>
          <w:b/>
          <w:bCs/>
        </w:rPr>
      </w:pPr>
      <w:r w:rsidRPr="007323F9">
        <w:rPr>
          <w:b/>
          <w:bCs/>
        </w:rPr>
        <w:t>LIST OF POTENTIAL APPLICANTS AFFORDED RELIEF</w:t>
      </w:r>
    </w:p>
    <w:p w:rsidR="00EE4AC7" w:rsidRPr="00EE4AC7" w:rsidP="007323F9" w14:paraId="6E343A86" w14:textId="77777777">
      <w:pPr>
        <w:pStyle w:val="ParaNum"/>
        <w:numPr>
          <w:ilvl w:val="0"/>
          <w:numId w:val="0"/>
        </w:numPr>
        <w:spacing w:after="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532"/>
      </w:tblGrid>
      <w:tr w14:paraId="034497B9" w14:textId="77777777" w:rsidTr="00BB413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9"/>
          <w:tblHeader/>
          <w:jc w:val="center"/>
        </w:trPr>
        <w:tc>
          <w:tcPr>
            <w:tcW w:w="1818" w:type="dxa"/>
            <w:shd w:val="clear" w:color="auto" w:fill="auto"/>
            <w:hideMark/>
          </w:tcPr>
          <w:p w:rsidR="00EE4AC7" w:rsidRPr="00EE4AC7" w:rsidP="00EE4AC7" w14:paraId="05C6B4FC" w14:textId="77777777">
            <w:pPr>
              <w:widowControl/>
              <w:rPr>
                <w:b/>
                <w:bCs/>
                <w:snapToGrid/>
                <w:color w:val="000000"/>
                <w:kern w:val="0"/>
                <w:szCs w:val="22"/>
              </w:rPr>
            </w:pPr>
            <w:r w:rsidRPr="00EE4AC7">
              <w:rPr>
                <w:b/>
                <w:bCs/>
                <w:snapToGrid/>
                <w:color w:val="000000"/>
                <w:kern w:val="0"/>
                <w:szCs w:val="22"/>
              </w:rPr>
              <w:t>Application Number</w:t>
            </w:r>
          </w:p>
        </w:tc>
        <w:tc>
          <w:tcPr>
            <w:tcW w:w="7532" w:type="dxa"/>
            <w:shd w:val="clear" w:color="auto" w:fill="auto"/>
            <w:hideMark/>
          </w:tcPr>
          <w:p w:rsidR="00EE4AC7" w:rsidRPr="00EE4AC7" w:rsidP="00EE4AC7" w14:paraId="3319E3CA" w14:textId="77777777">
            <w:pPr>
              <w:widowControl/>
              <w:rPr>
                <w:b/>
                <w:bCs/>
                <w:snapToGrid/>
                <w:color w:val="000000"/>
                <w:kern w:val="0"/>
                <w:szCs w:val="22"/>
              </w:rPr>
            </w:pPr>
            <w:r w:rsidRPr="00EE4AC7">
              <w:rPr>
                <w:b/>
                <w:bCs/>
                <w:snapToGrid/>
                <w:color w:val="000000"/>
                <w:kern w:val="0"/>
                <w:szCs w:val="22"/>
              </w:rPr>
              <w:t>Name of Applicant Institution</w:t>
            </w:r>
          </w:p>
        </w:tc>
      </w:tr>
      <w:tr w14:paraId="3AD20DC6"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797D57CA" w14:textId="77777777">
            <w:pPr>
              <w:widowControl/>
              <w:rPr>
                <w:snapToGrid/>
                <w:color w:val="000000"/>
                <w:kern w:val="0"/>
                <w:szCs w:val="22"/>
              </w:rPr>
            </w:pPr>
            <w:r w:rsidRPr="00EE4AC7">
              <w:rPr>
                <w:snapToGrid/>
                <w:color w:val="000000"/>
                <w:kern w:val="0"/>
                <w:szCs w:val="22"/>
              </w:rPr>
              <w:t>GRA0013648</w:t>
            </w:r>
          </w:p>
        </w:tc>
        <w:tc>
          <w:tcPr>
            <w:tcW w:w="7532" w:type="dxa"/>
            <w:shd w:val="clear" w:color="auto" w:fill="auto"/>
            <w:noWrap/>
            <w:hideMark/>
          </w:tcPr>
          <w:p w:rsidR="00EE4AC7" w:rsidRPr="00EE4AC7" w:rsidP="00EE4AC7" w14:paraId="589DDA71" w14:textId="77777777">
            <w:pPr>
              <w:widowControl/>
              <w:rPr>
                <w:snapToGrid/>
                <w:color w:val="000000"/>
                <w:kern w:val="0"/>
                <w:szCs w:val="22"/>
              </w:rPr>
            </w:pPr>
            <w:r w:rsidRPr="00EE4AC7">
              <w:rPr>
                <w:snapToGrid/>
                <w:color w:val="000000"/>
                <w:kern w:val="0"/>
                <w:szCs w:val="22"/>
              </w:rPr>
              <w:t>Su Clinica Familiar</w:t>
            </w:r>
          </w:p>
        </w:tc>
      </w:tr>
      <w:tr w14:paraId="41543527"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7672DE9" w14:textId="77777777">
            <w:pPr>
              <w:widowControl/>
              <w:rPr>
                <w:snapToGrid/>
                <w:color w:val="000000"/>
                <w:kern w:val="0"/>
                <w:szCs w:val="22"/>
              </w:rPr>
            </w:pPr>
            <w:r w:rsidRPr="00EE4AC7">
              <w:rPr>
                <w:snapToGrid/>
                <w:color w:val="000000"/>
                <w:kern w:val="0"/>
                <w:szCs w:val="22"/>
              </w:rPr>
              <w:t>GRA0010475</w:t>
            </w:r>
          </w:p>
        </w:tc>
        <w:tc>
          <w:tcPr>
            <w:tcW w:w="7532" w:type="dxa"/>
            <w:shd w:val="clear" w:color="auto" w:fill="auto"/>
            <w:noWrap/>
            <w:hideMark/>
          </w:tcPr>
          <w:p w:rsidR="00EE4AC7" w:rsidRPr="00EE4AC7" w:rsidP="00EE4AC7" w14:paraId="3C591A56" w14:textId="77777777">
            <w:pPr>
              <w:widowControl/>
              <w:rPr>
                <w:snapToGrid/>
                <w:color w:val="000000"/>
                <w:kern w:val="0"/>
                <w:szCs w:val="22"/>
              </w:rPr>
            </w:pPr>
            <w:r w:rsidRPr="00EE4AC7">
              <w:rPr>
                <w:snapToGrid/>
                <w:color w:val="000000"/>
                <w:kern w:val="0"/>
                <w:szCs w:val="22"/>
              </w:rPr>
              <w:t>Westbrook Health Services, Inc.</w:t>
            </w:r>
          </w:p>
        </w:tc>
      </w:tr>
      <w:tr w14:paraId="370EEF6F"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687DFD3" w14:textId="77777777">
            <w:pPr>
              <w:widowControl/>
              <w:rPr>
                <w:snapToGrid/>
                <w:color w:val="000000"/>
                <w:kern w:val="0"/>
                <w:szCs w:val="22"/>
              </w:rPr>
            </w:pPr>
            <w:r w:rsidRPr="00EE4AC7">
              <w:rPr>
                <w:snapToGrid/>
                <w:color w:val="000000"/>
                <w:kern w:val="0"/>
                <w:szCs w:val="22"/>
              </w:rPr>
              <w:t>GRA0010477</w:t>
            </w:r>
          </w:p>
        </w:tc>
        <w:tc>
          <w:tcPr>
            <w:tcW w:w="7532" w:type="dxa"/>
            <w:shd w:val="clear" w:color="auto" w:fill="auto"/>
            <w:noWrap/>
            <w:hideMark/>
          </w:tcPr>
          <w:p w:rsidR="00EE4AC7" w:rsidRPr="00EE4AC7" w:rsidP="00EE4AC7" w14:paraId="35A28682" w14:textId="77777777">
            <w:pPr>
              <w:widowControl/>
              <w:rPr>
                <w:snapToGrid/>
                <w:color w:val="000000"/>
                <w:kern w:val="0"/>
                <w:szCs w:val="22"/>
              </w:rPr>
            </w:pPr>
            <w:r w:rsidRPr="00EE4AC7">
              <w:rPr>
                <w:snapToGrid/>
                <w:color w:val="000000"/>
                <w:kern w:val="0"/>
                <w:szCs w:val="22"/>
              </w:rPr>
              <w:t>East Texas Border Health Clinic d/b/a Genesis PrimeCare</w:t>
            </w:r>
          </w:p>
        </w:tc>
      </w:tr>
      <w:tr w14:paraId="16C67DCF"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30456BB" w14:textId="77777777">
            <w:pPr>
              <w:widowControl/>
              <w:rPr>
                <w:snapToGrid/>
                <w:color w:val="000000"/>
                <w:kern w:val="0"/>
                <w:szCs w:val="22"/>
              </w:rPr>
            </w:pPr>
            <w:r w:rsidRPr="00EE4AC7">
              <w:rPr>
                <w:snapToGrid/>
                <w:color w:val="000000"/>
                <w:kern w:val="0"/>
                <w:szCs w:val="22"/>
              </w:rPr>
              <w:t>GRA0010572</w:t>
            </w:r>
          </w:p>
        </w:tc>
        <w:tc>
          <w:tcPr>
            <w:tcW w:w="7532" w:type="dxa"/>
            <w:shd w:val="clear" w:color="auto" w:fill="auto"/>
            <w:noWrap/>
            <w:hideMark/>
          </w:tcPr>
          <w:p w:rsidR="00EE4AC7" w:rsidRPr="00EE4AC7" w:rsidP="00EE4AC7" w14:paraId="688022DE" w14:textId="77777777">
            <w:pPr>
              <w:widowControl/>
              <w:rPr>
                <w:snapToGrid/>
                <w:color w:val="000000"/>
                <w:kern w:val="0"/>
                <w:szCs w:val="22"/>
              </w:rPr>
            </w:pPr>
            <w:r w:rsidRPr="00EE4AC7">
              <w:rPr>
                <w:snapToGrid/>
                <w:color w:val="000000"/>
                <w:kern w:val="0"/>
                <w:szCs w:val="22"/>
              </w:rPr>
              <w:t>Willamette Family, Inc.</w:t>
            </w:r>
          </w:p>
        </w:tc>
      </w:tr>
      <w:tr w14:paraId="6B607C70"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7D53BE6" w14:textId="77777777">
            <w:pPr>
              <w:widowControl/>
              <w:rPr>
                <w:snapToGrid/>
                <w:color w:val="000000"/>
                <w:kern w:val="0"/>
                <w:szCs w:val="22"/>
              </w:rPr>
            </w:pPr>
            <w:r w:rsidRPr="00EE4AC7">
              <w:rPr>
                <w:snapToGrid/>
                <w:color w:val="000000"/>
                <w:kern w:val="0"/>
                <w:szCs w:val="22"/>
              </w:rPr>
              <w:t>GRA0010672</w:t>
            </w:r>
          </w:p>
        </w:tc>
        <w:tc>
          <w:tcPr>
            <w:tcW w:w="7532" w:type="dxa"/>
            <w:shd w:val="clear" w:color="auto" w:fill="auto"/>
            <w:noWrap/>
            <w:hideMark/>
          </w:tcPr>
          <w:p w:rsidR="00EE4AC7" w:rsidRPr="00EE4AC7" w:rsidP="00EE4AC7" w14:paraId="2A67CE42" w14:textId="77777777">
            <w:pPr>
              <w:widowControl/>
              <w:rPr>
                <w:snapToGrid/>
                <w:color w:val="000000"/>
                <w:kern w:val="0"/>
                <w:szCs w:val="22"/>
              </w:rPr>
            </w:pPr>
            <w:r w:rsidRPr="00EE4AC7">
              <w:rPr>
                <w:snapToGrid/>
                <w:color w:val="000000"/>
                <w:kern w:val="0"/>
                <w:szCs w:val="22"/>
              </w:rPr>
              <w:t>Weill Cornell Medical College of Cornell University</w:t>
            </w:r>
          </w:p>
        </w:tc>
      </w:tr>
      <w:tr w14:paraId="7ED2673B"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6F92B2F2" w14:textId="77777777">
            <w:pPr>
              <w:widowControl/>
              <w:rPr>
                <w:snapToGrid/>
                <w:color w:val="000000"/>
                <w:kern w:val="0"/>
                <w:szCs w:val="22"/>
              </w:rPr>
            </w:pPr>
            <w:r w:rsidRPr="00EE4AC7">
              <w:rPr>
                <w:snapToGrid/>
                <w:color w:val="000000"/>
                <w:kern w:val="0"/>
                <w:szCs w:val="22"/>
              </w:rPr>
              <w:t>GRA0010737</w:t>
            </w:r>
          </w:p>
        </w:tc>
        <w:tc>
          <w:tcPr>
            <w:tcW w:w="7532" w:type="dxa"/>
            <w:shd w:val="clear" w:color="auto" w:fill="auto"/>
            <w:noWrap/>
            <w:hideMark/>
          </w:tcPr>
          <w:p w:rsidR="00EE4AC7" w:rsidRPr="00EE4AC7" w:rsidP="00EE4AC7" w14:paraId="69E7DB3B" w14:textId="77777777">
            <w:pPr>
              <w:widowControl/>
              <w:rPr>
                <w:snapToGrid/>
                <w:color w:val="000000"/>
                <w:kern w:val="0"/>
                <w:szCs w:val="22"/>
              </w:rPr>
            </w:pPr>
            <w:r w:rsidRPr="00EE4AC7">
              <w:rPr>
                <w:snapToGrid/>
                <w:color w:val="000000"/>
                <w:kern w:val="0"/>
                <w:szCs w:val="22"/>
              </w:rPr>
              <w:t>Rehabilitation Institute of Chicago d/b/a Shirley Ryan AbilityLab</w:t>
            </w:r>
          </w:p>
        </w:tc>
      </w:tr>
      <w:tr w14:paraId="0739D627"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68CF4BDA" w14:textId="77777777">
            <w:pPr>
              <w:widowControl/>
              <w:rPr>
                <w:snapToGrid/>
                <w:color w:val="000000"/>
                <w:kern w:val="0"/>
                <w:szCs w:val="22"/>
              </w:rPr>
            </w:pPr>
            <w:r w:rsidRPr="00EE4AC7">
              <w:rPr>
                <w:snapToGrid/>
                <w:color w:val="000000"/>
                <w:kern w:val="0"/>
                <w:szCs w:val="22"/>
              </w:rPr>
              <w:t>GRA0010886</w:t>
            </w:r>
          </w:p>
        </w:tc>
        <w:tc>
          <w:tcPr>
            <w:tcW w:w="7532" w:type="dxa"/>
            <w:shd w:val="clear" w:color="auto" w:fill="auto"/>
            <w:noWrap/>
            <w:hideMark/>
          </w:tcPr>
          <w:p w:rsidR="00EE4AC7" w:rsidRPr="00EE4AC7" w:rsidP="00EE4AC7" w14:paraId="739DC920" w14:textId="77777777">
            <w:pPr>
              <w:widowControl/>
              <w:rPr>
                <w:snapToGrid/>
                <w:color w:val="000000"/>
                <w:kern w:val="0"/>
                <w:szCs w:val="22"/>
              </w:rPr>
            </w:pPr>
            <w:r w:rsidRPr="00EE4AC7">
              <w:rPr>
                <w:snapToGrid/>
                <w:color w:val="000000"/>
                <w:kern w:val="0"/>
                <w:szCs w:val="22"/>
              </w:rPr>
              <w:t>Houlton Regional Hospital</w:t>
            </w:r>
          </w:p>
        </w:tc>
      </w:tr>
      <w:tr w14:paraId="7AE701EA"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0D93DA8" w14:textId="77777777">
            <w:pPr>
              <w:widowControl/>
              <w:rPr>
                <w:snapToGrid/>
                <w:color w:val="000000"/>
                <w:kern w:val="0"/>
                <w:szCs w:val="22"/>
              </w:rPr>
            </w:pPr>
            <w:r w:rsidRPr="00EE4AC7">
              <w:rPr>
                <w:snapToGrid/>
                <w:color w:val="000000"/>
                <w:kern w:val="0"/>
                <w:szCs w:val="22"/>
              </w:rPr>
              <w:t>GRA0010931</w:t>
            </w:r>
          </w:p>
        </w:tc>
        <w:tc>
          <w:tcPr>
            <w:tcW w:w="7532" w:type="dxa"/>
            <w:shd w:val="clear" w:color="auto" w:fill="auto"/>
            <w:noWrap/>
            <w:hideMark/>
          </w:tcPr>
          <w:p w:rsidR="00EE4AC7" w:rsidRPr="00EE4AC7" w:rsidP="00EE4AC7" w14:paraId="391F254E" w14:textId="77777777">
            <w:pPr>
              <w:widowControl/>
              <w:rPr>
                <w:snapToGrid/>
                <w:color w:val="000000"/>
                <w:kern w:val="0"/>
                <w:szCs w:val="22"/>
              </w:rPr>
            </w:pPr>
            <w:r w:rsidRPr="00EE4AC7">
              <w:rPr>
                <w:snapToGrid/>
                <w:color w:val="000000"/>
                <w:kern w:val="0"/>
                <w:szCs w:val="22"/>
              </w:rPr>
              <w:t>St. Tammany Parish Hospital</w:t>
            </w:r>
          </w:p>
        </w:tc>
      </w:tr>
      <w:tr w14:paraId="7BD67DBA"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0B417362" w14:textId="77777777">
            <w:pPr>
              <w:widowControl/>
              <w:rPr>
                <w:snapToGrid/>
                <w:color w:val="000000"/>
                <w:kern w:val="0"/>
                <w:szCs w:val="22"/>
              </w:rPr>
            </w:pPr>
            <w:r w:rsidRPr="00EE4AC7">
              <w:rPr>
                <w:snapToGrid/>
                <w:color w:val="000000"/>
                <w:kern w:val="0"/>
                <w:szCs w:val="22"/>
              </w:rPr>
              <w:t>GRA0010944</w:t>
            </w:r>
          </w:p>
        </w:tc>
        <w:tc>
          <w:tcPr>
            <w:tcW w:w="7532" w:type="dxa"/>
            <w:shd w:val="clear" w:color="auto" w:fill="auto"/>
            <w:noWrap/>
            <w:hideMark/>
          </w:tcPr>
          <w:p w:rsidR="00EE4AC7" w:rsidRPr="00EE4AC7" w:rsidP="00EE4AC7" w14:paraId="68F4365D" w14:textId="77777777">
            <w:pPr>
              <w:widowControl/>
              <w:rPr>
                <w:snapToGrid/>
                <w:color w:val="000000"/>
                <w:kern w:val="0"/>
                <w:szCs w:val="22"/>
              </w:rPr>
            </w:pPr>
            <w:r w:rsidRPr="00EE4AC7">
              <w:rPr>
                <w:snapToGrid/>
                <w:color w:val="000000"/>
                <w:kern w:val="0"/>
                <w:szCs w:val="22"/>
              </w:rPr>
              <w:t>Kahuku Medical Center</w:t>
            </w:r>
          </w:p>
        </w:tc>
      </w:tr>
      <w:tr w14:paraId="78258D7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6EA230A5" w14:textId="77777777">
            <w:pPr>
              <w:widowControl/>
              <w:rPr>
                <w:snapToGrid/>
                <w:color w:val="000000"/>
                <w:kern w:val="0"/>
                <w:szCs w:val="22"/>
              </w:rPr>
            </w:pPr>
            <w:r w:rsidRPr="00EE4AC7">
              <w:rPr>
                <w:snapToGrid/>
                <w:color w:val="000000"/>
                <w:kern w:val="0"/>
                <w:szCs w:val="22"/>
              </w:rPr>
              <w:t>GRA0010976</w:t>
            </w:r>
          </w:p>
        </w:tc>
        <w:tc>
          <w:tcPr>
            <w:tcW w:w="7532" w:type="dxa"/>
            <w:shd w:val="clear" w:color="auto" w:fill="auto"/>
            <w:noWrap/>
            <w:hideMark/>
          </w:tcPr>
          <w:p w:rsidR="00EE4AC7" w:rsidRPr="00EE4AC7" w:rsidP="00EE4AC7" w14:paraId="5F310F51" w14:textId="77777777">
            <w:pPr>
              <w:widowControl/>
              <w:rPr>
                <w:snapToGrid/>
                <w:color w:val="000000"/>
                <w:kern w:val="0"/>
                <w:szCs w:val="22"/>
              </w:rPr>
            </w:pPr>
            <w:r w:rsidRPr="00EE4AC7">
              <w:rPr>
                <w:snapToGrid/>
                <w:color w:val="000000"/>
                <w:kern w:val="0"/>
                <w:szCs w:val="22"/>
              </w:rPr>
              <w:t>Castle Family Health Centers</w:t>
            </w:r>
          </w:p>
        </w:tc>
      </w:tr>
      <w:tr w14:paraId="2CEBBC02"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3B1BFF0" w14:textId="77777777">
            <w:pPr>
              <w:widowControl/>
              <w:rPr>
                <w:snapToGrid/>
                <w:color w:val="000000"/>
                <w:kern w:val="0"/>
                <w:szCs w:val="22"/>
              </w:rPr>
            </w:pPr>
            <w:r w:rsidRPr="00EE4AC7">
              <w:rPr>
                <w:snapToGrid/>
                <w:color w:val="000000"/>
                <w:kern w:val="0"/>
                <w:szCs w:val="22"/>
              </w:rPr>
              <w:t>GRA0011079</w:t>
            </w:r>
          </w:p>
        </w:tc>
        <w:tc>
          <w:tcPr>
            <w:tcW w:w="7532" w:type="dxa"/>
            <w:shd w:val="clear" w:color="auto" w:fill="auto"/>
            <w:noWrap/>
            <w:hideMark/>
          </w:tcPr>
          <w:p w:rsidR="00EE4AC7" w:rsidRPr="00EE4AC7" w:rsidP="00EE4AC7" w14:paraId="651D379F" w14:textId="77777777">
            <w:pPr>
              <w:widowControl/>
              <w:rPr>
                <w:snapToGrid/>
                <w:color w:val="000000"/>
                <w:kern w:val="0"/>
                <w:szCs w:val="22"/>
              </w:rPr>
            </w:pPr>
            <w:r w:rsidRPr="00EE4AC7">
              <w:rPr>
                <w:snapToGrid/>
                <w:color w:val="000000"/>
                <w:kern w:val="0"/>
                <w:szCs w:val="22"/>
              </w:rPr>
              <w:t>Family Recovery Services</w:t>
            </w:r>
          </w:p>
        </w:tc>
      </w:tr>
      <w:tr w14:paraId="57A2FB20"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6A986C1F" w14:textId="77777777">
            <w:pPr>
              <w:widowControl/>
              <w:rPr>
                <w:snapToGrid/>
                <w:color w:val="000000"/>
                <w:kern w:val="0"/>
                <w:szCs w:val="22"/>
              </w:rPr>
            </w:pPr>
            <w:r w:rsidRPr="00EE4AC7">
              <w:rPr>
                <w:snapToGrid/>
                <w:color w:val="000000"/>
                <w:kern w:val="0"/>
                <w:szCs w:val="22"/>
              </w:rPr>
              <w:t>GRA0011129</w:t>
            </w:r>
          </w:p>
        </w:tc>
        <w:tc>
          <w:tcPr>
            <w:tcW w:w="7532" w:type="dxa"/>
            <w:shd w:val="clear" w:color="auto" w:fill="auto"/>
            <w:noWrap/>
            <w:hideMark/>
          </w:tcPr>
          <w:p w:rsidR="00EE4AC7" w:rsidRPr="00EE4AC7" w:rsidP="00EE4AC7" w14:paraId="7478C177" w14:textId="77777777">
            <w:pPr>
              <w:widowControl/>
              <w:rPr>
                <w:snapToGrid/>
                <w:color w:val="000000"/>
                <w:kern w:val="0"/>
                <w:szCs w:val="22"/>
              </w:rPr>
            </w:pPr>
            <w:r w:rsidRPr="00EE4AC7">
              <w:rPr>
                <w:snapToGrid/>
                <w:color w:val="000000"/>
                <w:kern w:val="0"/>
                <w:szCs w:val="22"/>
              </w:rPr>
              <w:t>Lexington Center for Recovery, Inc.</w:t>
            </w:r>
          </w:p>
        </w:tc>
      </w:tr>
      <w:tr w14:paraId="4C1A712E"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288CF12" w14:textId="77777777">
            <w:pPr>
              <w:widowControl/>
              <w:rPr>
                <w:snapToGrid/>
                <w:color w:val="000000"/>
                <w:kern w:val="0"/>
                <w:szCs w:val="22"/>
              </w:rPr>
            </w:pPr>
            <w:r w:rsidRPr="00EE4AC7">
              <w:rPr>
                <w:snapToGrid/>
                <w:color w:val="000000"/>
                <w:kern w:val="0"/>
                <w:szCs w:val="22"/>
              </w:rPr>
              <w:t>GRA0011140</w:t>
            </w:r>
          </w:p>
        </w:tc>
        <w:tc>
          <w:tcPr>
            <w:tcW w:w="7532" w:type="dxa"/>
            <w:shd w:val="clear" w:color="auto" w:fill="auto"/>
            <w:noWrap/>
            <w:hideMark/>
          </w:tcPr>
          <w:p w:rsidR="00EE4AC7" w:rsidRPr="00EE4AC7" w:rsidP="00EE4AC7" w14:paraId="757CB436" w14:textId="77777777">
            <w:pPr>
              <w:widowControl/>
              <w:rPr>
                <w:snapToGrid/>
                <w:color w:val="000000"/>
                <w:kern w:val="0"/>
                <w:szCs w:val="22"/>
              </w:rPr>
            </w:pPr>
            <w:r w:rsidRPr="00EE4AC7">
              <w:rPr>
                <w:snapToGrid/>
                <w:color w:val="000000"/>
                <w:kern w:val="0"/>
                <w:szCs w:val="22"/>
              </w:rPr>
              <w:t>Douglas County Hospital d/b/a Alomere Health</w:t>
            </w:r>
          </w:p>
        </w:tc>
      </w:tr>
      <w:tr w14:paraId="0375A3CE"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D74CB67" w14:textId="77777777">
            <w:pPr>
              <w:widowControl/>
              <w:rPr>
                <w:snapToGrid/>
                <w:color w:val="000000"/>
                <w:kern w:val="0"/>
                <w:szCs w:val="22"/>
              </w:rPr>
            </w:pPr>
            <w:r w:rsidRPr="00EE4AC7">
              <w:rPr>
                <w:snapToGrid/>
                <w:color w:val="000000"/>
                <w:kern w:val="0"/>
                <w:szCs w:val="22"/>
              </w:rPr>
              <w:t>GRA0011156</w:t>
            </w:r>
          </w:p>
        </w:tc>
        <w:tc>
          <w:tcPr>
            <w:tcW w:w="7532" w:type="dxa"/>
            <w:shd w:val="clear" w:color="auto" w:fill="auto"/>
            <w:noWrap/>
            <w:hideMark/>
          </w:tcPr>
          <w:p w:rsidR="00EE4AC7" w:rsidRPr="00EE4AC7" w:rsidP="00EE4AC7" w14:paraId="74ABF226" w14:textId="77777777">
            <w:pPr>
              <w:widowControl/>
              <w:rPr>
                <w:snapToGrid/>
                <w:color w:val="000000"/>
                <w:kern w:val="0"/>
                <w:szCs w:val="22"/>
              </w:rPr>
            </w:pPr>
            <w:r w:rsidRPr="00EE4AC7">
              <w:rPr>
                <w:snapToGrid/>
                <w:color w:val="000000"/>
                <w:kern w:val="0"/>
                <w:szCs w:val="22"/>
              </w:rPr>
              <w:t>Operation Samahan, Inc. d/b/a Samahan Health Centers</w:t>
            </w:r>
          </w:p>
        </w:tc>
      </w:tr>
      <w:tr w14:paraId="3C47D69E"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319BD06" w14:textId="77777777">
            <w:pPr>
              <w:widowControl/>
              <w:rPr>
                <w:snapToGrid/>
                <w:color w:val="000000"/>
                <w:kern w:val="0"/>
                <w:szCs w:val="22"/>
              </w:rPr>
            </w:pPr>
            <w:r w:rsidRPr="00EE4AC7">
              <w:rPr>
                <w:snapToGrid/>
                <w:color w:val="000000"/>
                <w:kern w:val="0"/>
                <w:szCs w:val="22"/>
              </w:rPr>
              <w:t>GRA0011194</w:t>
            </w:r>
          </w:p>
        </w:tc>
        <w:tc>
          <w:tcPr>
            <w:tcW w:w="7532" w:type="dxa"/>
            <w:shd w:val="clear" w:color="auto" w:fill="auto"/>
            <w:noWrap/>
            <w:hideMark/>
          </w:tcPr>
          <w:p w:rsidR="00EE4AC7" w:rsidRPr="00EE4AC7" w:rsidP="00EE4AC7" w14:paraId="1D7568F2" w14:textId="77777777">
            <w:pPr>
              <w:widowControl/>
              <w:rPr>
                <w:snapToGrid/>
                <w:color w:val="000000"/>
                <w:kern w:val="0"/>
                <w:szCs w:val="22"/>
              </w:rPr>
            </w:pPr>
            <w:r w:rsidRPr="00EE4AC7">
              <w:rPr>
                <w:snapToGrid/>
                <w:color w:val="000000"/>
                <w:kern w:val="0"/>
                <w:szCs w:val="22"/>
              </w:rPr>
              <w:t>Parker Jewish Institute for Health Care and Rehabilitation</w:t>
            </w:r>
          </w:p>
        </w:tc>
      </w:tr>
      <w:tr w14:paraId="7EEF3768"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B0148E9" w14:textId="77777777">
            <w:pPr>
              <w:widowControl/>
              <w:rPr>
                <w:snapToGrid/>
                <w:color w:val="000000"/>
                <w:kern w:val="0"/>
                <w:szCs w:val="22"/>
              </w:rPr>
            </w:pPr>
            <w:r w:rsidRPr="00EE4AC7">
              <w:rPr>
                <w:snapToGrid/>
                <w:color w:val="000000"/>
                <w:kern w:val="0"/>
                <w:szCs w:val="22"/>
              </w:rPr>
              <w:t>GRA0011237</w:t>
            </w:r>
          </w:p>
        </w:tc>
        <w:tc>
          <w:tcPr>
            <w:tcW w:w="7532" w:type="dxa"/>
            <w:shd w:val="clear" w:color="auto" w:fill="auto"/>
            <w:noWrap/>
            <w:hideMark/>
          </w:tcPr>
          <w:p w:rsidR="00EE4AC7" w:rsidRPr="00EE4AC7" w:rsidP="00EE4AC7" w14:paraId="6B56E07E" w14:textId="77777777">
            <w:pPr>
              <w:widowControl/>
              <w:rPr>
                <w:snapToGrid/>
                <w:color w:val="000000"/>
                <w:kern w:val="0"/>
                <w:szCs w:val="22"/>
              </w:rPr>
            </w:pPr>
            <w:r w:rsidRPr="00EE4AC7">
              <w:rPr>
                <w:snapToGrid/>
                <w:color w:val="000000"/>
                <w:kern w:val="0"/>
                <w:szCs w:val="22"/>
              </w:rPr>
              <w:t>Preventative Care Health Services d/b/a Presidio County Health Services</w:t>
            </w:r>
          </w:p>
        </w:tc>
      </w:tr>
      <w:tr w14:paraId="60FA5C8B"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A2D97E1" w14:textId="77777777">
            <w:pPr>
              <w:widowControl/>
              <w:rPr>
                <w:snapToGrid/>
                <w:color w:val="000000"/>
                <w:kern w:val="0"/>
                <w:szCs w:val="22"/>
              </w:rPr>
            </w:pPr>
            <w:r w:rsidRPr="00EE4AC7">
              <w:rPr>
                <w:snapToGrid/>
                <w:color w:val="000000"/>
                <w:kern w:val="0"/>
                <w:szCs w:val="22"/>
              </w:rPr>
              <w:t>GRA0011245</w:t>
            </w:r>
          </w:p>
        </w:tc>
        <w:tc>
          <w:tcPr>
            <w:tcW w:w="7532" w:type="dxa"/>
            <w:shd w:val="clear" w:color="auto" w:fill="auto"/>
            <w:noWrap/>
            <w:hideMark/>
          </w:tcPr>
          <w:p w:rsidR="00EE4AC7" w:rsidRPr="00EE4AC7" w:rsidP="00EE4AC7" w14:paraId="02285966" w14:textId="77777777">
            <w:pPr>
              <w:widowControl/>
              <w:rPr>
                <w:snapToGrid/>
                <w:color w:val="000000"/>
                <w:kern w:val="0"/>
                <w:szCs w:val="22"/>
              </w:rPr>
            </w:pPr>
            <w:r w:rsidRPr="00EE4AC7">
              <w:rPr>
                <w:snapToGrid/>
                <w:color w:val="000000"/>
                <w:kern w:val="0"/>
                <w:szCs w:val="22"/>
              </w:rPr>
              <w:t>Apex Community Care, Inc.</w:t>
            </w:r>
          </w:p>
        </w:tc>
      </w:tr>
      <w:tr w14:paraId="461F996F"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7FBD2D11" w14:textId="77777777">
            <w:pPr>
              <w:widowControl/>
              <w:rPr>
                <w:snapToGrid/>
                <w:color w:val="000000"/>
                <w:kern w:val="0"/>
                <w:szCs w:val="22"/>
              </w:rPr>
            </w:pPr>
            <w:r w:rsidRPr="00EE4AC7">
              <w:rPr>
                <w:snapToGrid/>
                <w:color w:val="000000"/>
                <w:kern w:val="0"/>
                <w:szCs w:val="22"/>
              </w:rPr>
              <w:t>GRA0011275</w:t>
            </w:r>
          </w:p>
        </w:tc>
        <w:tc>
          <w:tcPr>
            <w:tcW w:w="7532" w:type="dxa"/>
            <w:shd w:val="clear" w:color="auto" w:fill="auto"/>
            <w:noWrap/>
            <w:hideMark/>
          </w:tcPr>
          <w:p w:rsidR="00EE4AC7" w:rsidRPr="00EE4AC7" w:rsidP="00EE4AC7" w14:paraId="1776DD97" w14:textId="77777777">
            <w:pPr>
              <w:widowControl/>
              <w:rPr>
                <w:snapToGrid/>
                <w:color w:val="000000"/>
                <w:kern w:val="0"/>
                <w:szCs w:val="22"/>
              </w:rPr>
            </w:pPr>
            <w:r w:rsidRPr="00EE4AC7">
              <w:rPr>
                <w:snapToGrid/>
                <w:color w:val="000000"/>
                <w:kern w:val="0"/>
                <w:szCs w:val="22"/>
              </w:rPr>
              <w:t>St. Luke Community Healthcare</w:t>
            </w:r>
          </w:p>
        </w:tc>
      </w:tr>
      <w:tr w14:paraId="65446BB7"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54E1E47" w14:textId="77777777">
            <w:pPr>
              <w:widowControl/>
              <w:rPr>
                <w:snapToGrid/>
                <w:color w:val="000000"/>
                <w:kern w:val="0"/>
                <w:szCs w:val="22"/>
              </w:rPr>
            </w:pPr>
            <w:r w:rsidRPr="00EE4AC7">
              <w:rPr>
                <w:snapToGrid/>
                <w:color w:val="000000"/>
                <w:kern w:val="0"/>
                <w:szCs w:val="22"/>
              </w:rPr>
              <w:t>GRA0011371</w:t>
            </w:r>
          </w:p>
        </w:tc>
        <w:tc>
          <w:tcPr>
            <w:tcW w:w="7532" w:type="dxa"/>
            <w:shd w:val="clear" w:color="auto" w:fill="auto"/>
            <w:noWrap/>
            <w:hideMark/>
          </w:tcPr>
          <w:p w:rsidR="00EE4AC7" w:rsidRPr="00EE4AC7" w:rsidP="00EE4AC7" w14:paraId="60EC534C" w14:textId="77777777">
            <w:pPr>
              <w:widowControl/>
              <w:rPr>
                <w:snapToGrid/>
                <w:color w:val="000000"/>
                <w:kern w:val="0"/>
                <w:szCs w:val="22"/>
              </w:rPr>
            </w:pPr>
            <w:r w:rsidRPr="00EE4AC7">
              <w:rPr>
                <w:snapToGrid/>
                <w:color w:val="000000"/>
                <w:kern w:val="0"/>
                <w:szCs w:val="22"/>
              </w:rPr>
              <w:t>Borrego Community Health Foundation</w:t>
            </w:r>
          </w:p>
        </w:tc>
      </w:tr>
      <w:tr w14:paraId="2DB06D84"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0CE534E8" w14:textId="77777777">
            <w:pPr>
              <w:widowControl/>
              <w:rPr>
                <w:snapToGrid/>
                <w:color w:val="000000"/>
                <w:kern w:val="0"/>
                <w:szCs w:val="22"/>
              </w:rPr>
            </w:pPr>
            <w:r w:rsidRPr="00EE4AC7">
              <w:rPr>
                <w:snapToGrid/>
                <w:color w:val="000000"/>
                <w:kern w:val="0"/>
                <w:szCs w:val="22"/>
              </w:rPr>
              <w:t>GRA0011377</w:t>
            </w:r>
          </w:p>
        </w:tc>
        <w:tc>
          <w:tcPr>
            <w:tcW w:w="7532" w:type="dxa"/>
            <w:shd w:val="clear" w:color="auto" w:fill="auto"/>
            <w:noWrap/>
            <w:hideMark/>
          </w:tcPr>
          <w:p w:rsidR="00EE4AC7" w:rsidRPr="00EE4AC7" w:rsidP="00EE4AC7" w14:paraId="502B718F" w14:textId="77777777">
            <w:pPr>
              <w:widowControl/>
              <w:rPr>
                <w:snapToGrid/>
                <w:color w:val="000000"/>
                <w:kern w:val="0"/>
                <w:szCs w:val="22"/>
              </w:rPr>
            </w:pPr>
            <w:r w:rsidRPr="00EE4AC7">
              <w:rPr>
                <w:snapToGrid/>
                <w:color w:val="000000"/>
                <w:kern w:val="0"/>
                <w:szCs w:val="22"/>
              </w:rPr>
              <w:t>CORE Health</w:t>
            </w:r>
          </w:p>
        </w:tc>
      </w:tr>
      <w:tr w14:paraId="17BA1676"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64663060" w14:textId="77777777">
            <w:pPr>
              <w:widowControl/>
              <w:rPr>
                <w:snapToGrid/>
                <w:color w:val="000000"/>
                <w:kern w:val="0"/>
                <w:szCs w:val="22"/>
              </w:rPr>
            </w:pPr>
            <w:r w:rsidRPr="00EE4AC7">
              <w:rPr>
                <w:snapToGrid/>
                <w:color w:val="000000"/>
                <w:kern w:val="0"/>
                <w:szCs w:val="22"/>
              </w:rPr>
              <w:t>GRA0011422</w:t>
            </w:r>
          </w:p>
        </w:tc>
        <w:tc>
          <w:tcPr>
            <w:tcW w:w="7532" w:type="dxa"/>
            <w:shd w:val="clear" w:color="auto" w:fill="auto"/>
            <w:noWrap/>
            <w:hideMark/>
          </w:tcPr>
          <w:p w:rsidR="00EE4AC7" w:rsidRPr="00EE4AC7" w:rsidP="00EE4AC7" w14:paraId="3F5AC165" w14:textId="77777777">
            <w:pPr>
              <w:widowControl/>
              <w:rPr>
                <w:snapToGrid/>
                <w:color w:val="000000"/>
                <w:kern w:val="0"/>
                <w:szCs w:val="22"/>
              </w:rPr>
            </w:pPr>
            <w:r w:rsidRPr="00EE4AC7">
              <w:rPr>
                <w:snapToGrid/>
                <w:color w:val="000000"/>
                <w:kern w:val="0"/>
                <w:szCs w:val="22"/>
              </w:rPr>
              <w:t>Geisinger Clinic</w:t>
            </w:r>
          </w:p>
        </w:tc>
      </w:tr>
      <w:tr w14:paraId="14A122F2"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8FC6D61" w14:textId="77777777">
            <w:pPr>
              <w:widowControl/>
              <w:rPr>
                <w:snapToGrid/>
                <w:color w:val="000000"/>
                <w:kern w:val="0"/>
                <w:szCs w:val="22"/>
              </w:rPr>
            </w:pPr>
            <w:r w:rsidRPr="00EE4AC7">
              <w:rPr>
                <w:snapToGrid/>
                <w:color w:val="000000"/>
                <w:kern w:val="0"/>
                <w:szCs w:val="22"/>
              </w:rPr>
              <w:t>GRA0011463</w:t>
            </w:r>
          </w:p>
        </w:tc>
        <w:tc>
          <w:tcPr>
            <w:tcW w:w="7532" w:type="dxa"/>
            <w:shd w:val="clear" w:color="auto" w:fill="auto"/>
            <w:noWrap/>
            <w:hideMark/>
          </w:tcPr>
          <w:p w:rsidR="00EE4AC7" w:rsidRPr="00EE4AC7" w:rsidP="00EE4AC7" w14:paraId="66FD0B23" w14:textId="77777777">
            <w:pPr>
              <w:widowControl/>
              <w:rPr>
                <w:snapToGrid/>
                <w:color w:val="000000"/>
                <w:kern w:val="0"/>
                <w:szCs w:val="22"/>
              </w:rPr>
            </w:pPr>
            <w:r w:rsidRPr="00EE4AC7">
              <w:rPr>
                <w:snapToGrid/>
                <w:color w:val="000000"/>
                <w:kern w:val="0"/>
                <w:szCs w:val="22"/>
              </w:rPr>
              <w:t>Opportunities Industrialization Center, Inc. d/b/a OIC Family Medical Center</w:t>
            </w:r>
          </w:p>
        </w:tc>
      </w:tr>
      <w:tr w14:paraId="1F134032"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04C6609B" w14:textId="77777777">
            <w:pPr>
              <w:widowControl/>
              <w:rPr>
                <w:snapToGrid/>
                <w:color w:val="000000"/>
                <w:kern w:val="0"/>
                <w:szCs w:val="22"/>
              </w:rPr>
            </w:pPr>
            <w:r w:rsidRPr="00EE4AC7">
              <w:rPr>
                <w:snapToGrid/>
                <w:color w:val="000000"/>
                <w:kern w:val="0"/>
                <w:szCs w:val="22"/>
              </w:rPr>
              <w:t>GRA0011469</w:t>
            </w:r>
          </w:p>
        </w:tc>
        <w:tc>
          <w:tcPr>
            <w:tcW w:w="7532" w:type="dxa"/>
            <w:shd w:val="clear" w:color="auto" w:fill="auto"/>
            <w:noWrap/>
            <w:hideMark/>
          </w:tcPr>
          <w:p w:rsidR="00EE4AC7" w:rsidRPr="00EE4AC7" w:rsidP="00EE4AC7" w14:paraId="4974C0BF" w14:textId="77777777">
            <w:pPr>
              <w:widowControl/>
              <w:rPr>
                <w:snapToGrid/>
                <w:color w:val="000000"/>
                <w:kern w:val="0"/>
                <w:szCs w:val="22"/>
              </w:rPr>
            </w:pPr>
            <w:r w:rsidRPr="00EE4AC7">
              <w:rPr>
                <w:snapToGrid/>
                <w:color w:val="000000"/>
                <w:kern w:val="0"/>
                <w:szCs w:val="22"/>
              </w:rPr>
              <w:t>Masonic Charity Foundation of New Jersey</w:t>
            </w:r>
          </w:p>
        </w:tc>
      </w:tr>
      <w:tr w14:paraId="0BC9CC98"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0928BB7" w14:textId="77777777">
            <w:pPr>
              <w:widowControl/>
              <w:rPr>
                <w:snapToGrid/>
                <w:color w:val="000000"/>
                <w:kern w:val="0"/>
                <w:szCs w:val="22"/>
              </w:rPr>
            </w:pPr>
            <w:r w:rsidRPr="00EE4AC7">
              <w:rPr>
                <w:snapToGrid/>
                <w:color w:val="000000"/>
                <w:kern w:val="0"/>
                <w:szCs w:val="22"/>
              </w:rPr>
              <w:t>GRA0011495</w:t>
            </w:r>
          </w:p>
        </w:tc>
        <w:tc>
          <w:tcPr>
            <w:tcW w:w="7532" w:type="dxa"/>
            <w:shd w:val="clear" w:color="auto" w:fill="auto"/>
            <w:noWrap/>
            <w:hideMark/>
          </w:tcPr>
          <w:p w:rsidR="00EE4AC7" w:rsidRPr="00EE4AC7" w:rsidP="00EE4AC7" w14:paraId="5106C53E" w14:textId="77777777">
            <w:pPr>
              <w:widowControl/>
              <w:rPr>
                <w:snapToGrid/>
                <w:color w:val="000000"/>
                <w:kern w:val="0"/>
                <w:szCs w:val="22"/>
              </w:rPr>
            </w:pPr>
            <w:r w:rsidRPr="00EE4AC7">
              <w:rPr>
                <w:snapToGrid/>
                <w:color w:val="000000"/>
                <w:kern w:val="0"/>
                <w:szCs w:val="22"/>
              </w:rPr>
              <w:t>Claridge Court</w:t>
            </w:r>
          </w:p>
        </w:tc>
      </w:tr>
      <w:tr w14:paraId="7CDE8D45"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7BA9A5D" w14:textId="77777777">
            <w:pPr>
              <w:widowControl/>
              <w:rPr>
                <w:snapToGrid/>
                <w:color w:val="000000"/>
                <w:kern w:val="0"/>
                <w:szCs w:val="22"/>
              </w:rPr>
            </w:pPr>
            <w:r w:rsidRPr="00EE4AC7">
              <w:rPr>
                <w:snapToGrid/>
                <w:color w:val="000000"/>
                <w:kern w:val="0"/>
                <w:szCs w:val="22"/>
              </w:rPr>
              <w:t>GRA0011496</w:t>
            </w:r>
          </w:p>
        </w:tc>
        <w:tc>
          <w:tcPr>
            <w:tcW w:w="7532" w:type="dxa"/>
            <w:shd w:val="clear" w:color="auto" w:fill="auto"/>
            <w:noWrap/>
            <w:hideMark/>
          </w:tcPr>
          <w:p w:rsidR="00EE4AC7" w:rsidRPr="00EE4AC7" w:rsidP="00EE4AC7" w14:paraId="2CC0D600" w14:textId="77777777">
            <w:pPr>
              <w:widowControl/>
              <w:rPr>
                <w:snapToGrid/>
                <w:color w:val="000000"/>
                <w:kern w:val="0"/>
                <w:szCs w:val="22"/>
              </w:rPr>
            </w:pPr>
            <w:r w:rsidRPr="00EE4AC7">
              <w:rPr>
                <w:snapToGrid/>
                <w:color w:val="000000"/>
                <w:kern w:val="0"/>
                <w:szCs w:val="22"/>
              </w:rPr>
              <w:t>Services to Enhance Potential</w:t>
            </w:r>
          </w:p>
        </w:tc>
      </w:tr>
      <w:tr w14:paraId="1655DE16"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00DE9704" w14:textId="77777777">
            <w:pPr>
              <w:widowControl/>
              <w:rPr>
                <w:snapToGrid/>
                <w:color w:val="000000"/>
                <w:kern w:val="0"/>
                <w:szCs w:val="22"/>
              </w:rPr>
            </w:pPr>
            <w:r w:rsidRPr="00EE4AC7">
              <w:rPr>
                <w:snapToGrid/>
                <w:color w:val="000000"/>
                <w:kern w:val="0"/>
                <w:szCs w:val="22"/>
              </w:rPr>
              <w:t>GRA0011557</w:t>
            </w:r>
          </w:p>
        </w:tc>
        <w:tc>
          <w:tcPr>
            <w:tcW w:w="7532" w:type="dxa"/>
            <w:shd w:val="clear" w:color="auto" w:fill="auto"/>
            <w:noWrap/>
            <w:hideMark/>
          </w:tcPr>
          <w:p w:rsidR="00EE4AC7" w:rsidRPr="00EE4AC7" w:rsidP="00EE4AC7" w14:paraId="76542D2C" w14:textId="77777777">
            <w:pPr>
              <w:widowControl/>
              <w:rPr>
                <w:snapToGrid/>
                <w:color w:val="000000"/>
                <w:kern w:val="0"/>
                <w:szCs w:val="22"/>
              </w:rPr>
            </w:pPr>
            <w:r w:rsidRPr="00EE4AC7">
              <w:rPr>
                <w:snapToGrid/>
                <w:color w:val="000000"/>
                <w:kern w:val="0"/>
                <w:szCs w:val="22"/>
              </w:rPr>
              <w:t>Innovative Resources for Independence, Inc.</w:t>
            </w:r>
          </w:p>
        </w:tc>
      </w:tr>
      <w:tr w14:paraId="02304100"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77359CA0" w14:textId="77777777">
            <w:pPr>
              <w:widowControl/>
              <w:rPr>
                <w:snapToGrid/>
                <w:color w:val="000000"/>
                <w:kern w:val="0"/>
                <w:szCs w:val="22"/>
              </w:rPr>
            </w:pPr>
            <w:r w:rsidRPr="00EE4AC7">
              <w:rPr>
                <w:snapToGrid/>
                <w:color w:val="000000"/>
                <w:kern w:val="0"/>
                <w:szCs w:val="22"/>
              </w:rPr>
              <w:t>GRA0011632</w:t>
            </w:r>
          </w:p>
        </w:tc>
        <w:tc>
          <w:tcPr>
            <w:tcW w:w="7532" w:type="dxa"/>
            <w:shd w:val="clear" w:color="auto" w:fill="auto"/>
            <w:noWrap/>
            <w:hideMark/>
          </w:tcPr>
          <w:p w:rsidR="00EE4AC7" w:rsidRPr="00EE4AC7" w:rsidP="00EE4AC7" w14:paraId="5EC68D86" w14:textId="77777777">
            <w:pPr>
              <w:widowControl/>
              <w:rPr>
                <w:snapToGrid/>
                <w:color w:val="000000"/>
                <w:kern w:val="0"/>
                <w:szCs w:val="22"/>
              </w:rPr>
            </w:pPr>
            <w:r w:rsidRPr="00EE4AC7">
              <w:rPr>
                <w:snapToGrid/>
                <w:color w:val="000000"/>
                <w:kern w:val="0"/>
                <w:szCs w:val="22"/>
              </w:rPr>
              <w:t>Southern Trinity Health Services, Inc.</w:t>
            </w:r>
          </w:p>
        </w:tc>
      </w:tr>
      <w:tr w14:paraId="2FF78525"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03A3F05" w14:textId="77777777">
            <w:pPr>
              <w:widowControl/>
              <w:rPr>
                <w:snapToGrid/>
                <w:color w:val="000000"/>
                <w:kern w:val="0"/>
                <w:szCs w:val="22"/>
              </w:rPr>
            </w:pPr>
            <w:r w:rsidRPr="00EE4AC7">
              <w:rPr>
                <w:snapToGrid/>
                <w:color w:val="000000"/>
                <w:kern w:val="0"/>
                <w:szCs w:val="22"/>
              </w:rPr>
              <w:t>GRA0011683</w:t>
            </w:r>
          </w:p>
        </w:tc>
        <w:tc>
          <w:tcPr>
            <w:tcW w:w="7532" w:type="dxa"/>
            <w:shd w:val="clear" w:color="auto" w:fill="auto"/>
            <w:noWrap/>
            <w:hideMark/>
          </w:tcPr>
          <w:p w:rsidR="00EE4AC7" w:rsidRPr="00EE4AC7" w:rsidP="00EE4AC7" w14:paraId="25906821" w14:textId="77777777">
            <w:pPr>
              <w:widowControl/>
              <w:rPr>
                <w:snapToGrid/>
                <w:color w:val="000000"/>
                <w:kern w:val="0"/>
                <w:szCs w:val="22"/>
              </w:rPr>
            </w:pPr>
            <w:r w:rsidRPr="00EE4AC7">
              <w:rPr>
                <w:snapToGrid/>
                <w:color w:val="000000"/>
                <w:kern w:val="0"/>
                <w:szCs w:val="22"/>
              </w:rPr>
              <w:t>OptiMed Hospitalists PLLC</w:t>
            </w:r>
          </w:p>
        </w:tc>
      </w:tr>
      <w:tr w14:paraId="72CF56FF"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5BB9709" w14:textId="77777777">
            <w:pPr>
              <w:widowControl/>
              <w:rPr>
                <w:snapToGrid/>
                <w:color w:val="000000"/>
                <w:kern w:val="0"/>
                <w:szCs w:val="22"/>
              </w:rPr>
            </w:pPr>
            <w:r w:rsidRPr="00EE4AC7">
              <w:rPr>
                <w:snapToGrid/>
                <w:color w:val="000000"/>
                <w:kern w:val="0"/>
                <w:szCs w:val="22"/>
              </w:rPr>
              <w:t>GRA0011767</w:t>
            </w:r>
          </w:p>
        </w:tc>
        <w:tc>
          <w:tcPr>
            <w:tcW w:w="7532" w:type="dxa"/>
            <w:shd w:val="clear" w:color="auto" w:fill="auto"/>
            <w:noWrap/>
            <w:hideMark/>
          </w:tcPr>
          <w:p w:rsidR="00EE4AC7" w:rsidRPr="00EE4AC7" w:rsidP="00EE4AC7" w14:paraId="489E0FC2" w14:textId="77777777">
            <w:pPr>
              <w:widowControl/>
              <w:rPr>
                <w:snapToGrid/>
                <w:color w:val="000000"/>
                <w:kern w:val="0"/>
                <w:szCs w:val="22"/>
              </w:rPr>
            </w:pPr>
            <w:r w:rsidRPr="00EE4AC7">
              <w:rPr>
                <w:snapToGrid/>
                <w:color w:val="000000"/>
                <w:kern w:val="0"/>
                <w:szCs w:val="22"/>
              </w:rPr>
              <w:t>Los Barrios Unidos Community Clinic</w:t>
            </w:r>
          </w:p>
        </w:tc>
      </w:tr>
      <w:tr w14:paraId="0460798D"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7496675" w14:textId="77777777">
            <w:pPr>
              <w:widowControl/>
              <w:rPr>
                <w:snapToGrid/>
                <w:color w:val="000000"/>
                <w:kern w:val="0"/>
                <w:szCs w:val="22"/>
              </w:rPr>
            </w:pPr>
            <w:r w:rsidRPr="00EE4AC7">
              <w:rPr>
                <w:snapToGrid/>
                <w:color w:val="000000"/>
                <w:kern w:val="0"/>
                <w:szCs w:val="22"/>
              </w:rPr>
              <w:t>GRA0011780</w:t>
            </w:r>
          </w:p>
        </w:tc>
        <w:tc>
          <w:tcPr>
            <w:tcW w:w="7532" w:type="dxa"/>
            <w:shd w:val="clear" w:color="auto" w:fill="auto"/>
            <w:noWrap/>
            <w:hideMark/>
          </w:tcPr>
          <w:p w:rsidR="00EE4AC7" w:rsidRPr="00EE4AC7" w:rsidP="00EE4AC7" w14:paraId="75EC46AE" w14:textId="77777777">
            <w:pPr>
              <w:widowControl/>
              <w:rPr>
                <w:snapToGrid/>
                <w:color w:val="000000"/>
                <w:kern w:val="0"/>
                <w:szCs w:val="22"/>
              </w:rPr>
            </w:pPr>
            <w:r w:rsidRPr="00EE4AC7">
              <w:rPr>
                <w:snapToGrid/>
                <w:color w:val="000000"/>
                <w:kern w:val="0"/>
                <w:szCs w:val="22"/>
              </w:rPr>
              <w:t>CAMC - Charleston Area Medical Center</w:t>
            </w:r>
          </w:p>
        </w:tc>
      </w:tr>
      <w:tr w14:paraId="75C88129"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0423BEEA" w14:textId="77777777">
            <w:pPr>
              <w:widowControl/>
              <w:rPr>
                <w:snapToGrid/>
                <w:color w:val="000000"/>
                <w:kern w:val="0"/>
                <w:szCs w:val="22"/>
              </w:rPr>
            </w:pPr>
            <w:r w:rsidRPr="00EE4AC7">
              <w:rPr>
                <w:snapToGrid/>
                <w:color w:val="000000"/>
                <w:kern w:val="0"/>
                <w:szCs w:val="22"/>
              </w:rPr>
              <w:t>GRA0011784</w:t>
            </w:r>
          </w:p>
        </w:tc>
        <w:tc>
          <w:tcPr>
            <w:tcW w:w="7532" w:type="dxa"/>
            <w:shd w:val="clear" w:color="auto" w:fill="auto"/>
            <w:noWrap/>
            <w:hideMark/>
          </w:tcPr>
          <w:p w:rsidR="00EE4AC7" w:rsidRPr="00EE4AC7" w:rsidP="00EE4AC7" w14:paraId="6A5FBC52" w14:textId="77777777">
            <w:pPr>
              <w:widowControl/>
              <w:rPr>
                <w:snapToGrid/>
                <w:color w:val="000000"/>
                <w:kern w:val="0"/>
                <w:szCs w:val="22"/>
              </w:rPr>
            </w:pPr>
            <w:r w:rsidRPr="00EE4AC7">
              <w:rPr>
                <w:snapToGrid/>
                <w:color w:val="000000"/>
                <w:kern w:val="0"/>
                <w:szCs w:val="22"/>
              </w:rPr>
              <w:t>Visiting Nurse Association of Central Jersey Community Health Center</w:t>
            </w:r>
          </w:p>
        </w:tc>
      </w:tr>
      <w:tr w14:paraId="4BC18131"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80FE6E6" w14:textId="77777777">
            <w:pPr>
              <w:widowControl/>
              <w:rPr>
                <w:snapToGrid/>
                <w:color w:val="000000"/>
                <w:kern w:val="0"/>
                <w:szCs w:val="22"/>
              </w:rPr>
            </w:pPr>
            <w:r w:rsidRPr="00EE4AC7">
              <w:rPr>
                <w:snapToGrid/>
                <w:color w:val="000000"/>
                <w:kern w:val="0"/>
                <w:szCs w:val="22"/>
              </w:rPr>
              <w:t>GRA0011862</w:t>
            </w:r>
          </w:p>
        </w:tc>
        <w:tc>
          <w:tcPr>
            <w:tcW w:w="7532" w:type="dxa"/>
            <w:shd w:val="clear" w:color="auto" w:fill="auto"/>
            <w:noWrap/>
            <w:hideMark/>
          </w:tcPr>
          <w:p w:rsidR="00EE4AC7" w:rsidRPr="00EE4AC7" w:rsidP="00EE4AC7" w14:paraId="0519D9B4" w14:textId="5C9E235C">
            <w:pPr>
              <w:widowControl/>
              <w:rPr>
                <w:snapToGrid/>
                <w:color w:val="000000"/>
                <w:kern w:val="0"/>
                <w:szCs w:val="22"/>
              </w:rPr>
            </w:pPr>
            <w:r w:rsidRPr="00EE4AC7">
              <w:rPr>
                <w:snapToGrid/>
                <w:color w:val="000000"/>
                <w:kern w:val="0"/>
                <w:szCs w:val="22"/>
              </w:rPr>
              <w:t>Children</w:t>
            </w:r>
            <w:r w:rsidR="004F141B">
              <w:rPr>
                <w:snapToGrid/>
                <w:color w:val="000000"/>
                <w:kern w:val="0"/>
                <w:szCs w:val="22"/>
              </w:rPr>
              <w:t>’</w:t>
            </w:r>
            <w:r w:rsidRPr="00EE4AC7">
              <w:rPr>
                <w:snapToGrid/>
                <w:color w:val="000000"/>
                <w:kern w:val="0"/>
                <w:szCs w:val="22"/>
              </w:rPr>
              <w:t>s Health System of Texas</w:t>
            </w:r>
          </w:p>
        </w:tc>
      </w:tr>
      <w:tr w14:paraId="52B5631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986147C" w14:textId="77777777">
            <w:pPr>
              <w:widowControl/>
              <w:rPr>
                <w:snapToGrid/>
                <w:color w:val="000000"/>
                <w:kern w:val="0"/>
                <w:szCs w:val="22"/>
              </w:rPr>
            </w:pPr>
            <w:r w:rsidRPr="00EE4AC7">
              <w:rPr>
                <w:snapToGrid/>
                <w:color w:val="000000"/>
                <w:kern w:val="0"/>
                <w:szCs w:val="22"/>
              </w:rPr>
              <w:t>GRA0011897</w:t>
            </w:r>
          </w:p>
        </w:tc>
        <w:tc>
          <w:tcPr>
            <w:tcW w:w="7532" w:type="dxa"/>
            <w:shd w:val="clear" w:color="auto" w:fill="auto"/>
            <w:noWrap/>
            <w:hideMark/>
          </w:tcPr>
          <w:p w:rsidR="00EE4AC7" w:rsidRPr="00EE4AC7" w:rsidP="00EE4AC7" w14:paraId="07CCB12B" w14:textId="77777777">
            <w:pPr>
              <w:widowControl/>
              <w:rPr>
                <w:snapToGrid/>
                <w:color w:val="000000"/>
                <w:kern w:val="0"/>
                <w:szCs w:val="22"/>
              </w:rPr>
            </w:pPr>
            <w:r w:rsidRPr="00EE4AC7">
              <w:rPr>
                <w:snapToGrid/>
                <w:color w:val="000000"/>
                <w:kern w:val="0"/>
                <w:szCs w:val="22"/>
              </w:rPr>
              <w:t>Place of Hope, Inc.</w:t>
            </w:r>
          </w:p>
        </w:tc>
      </w:tr>
      <w:tr w14:paraId="57D85589"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3A8149F" w14:textId="77777777">
            <w:pPr>
              <w:widowControl/>
              <w:rPr>
                <w:snapToGrid/>
                <w:color w:val="000000"/>
                <w:kern w:val="0"/>
                <w:szCs w:val="22"/>
              </w:rPr>
            </w:pPr>
            <w:r w:rsidRPr="00EE4AC7">
              <w:rPr>
                <w:snapToGrid/>
                <w:color w:val="000000"/>
                <w:kern w:val="0"/>
                <w:szCs w:val="22"/>
              </w:rPr>
              <w:t>GRA0012047</w:t>
            </w:r>
          </w:p>
        </w:tc>
        <w:tc>
          <w:tcPr>
            <w:tcW w:w="7532" w:type="dxa"/>
            <w:shd w:val="clear" w:color="auto" w:fill="auto"/>
            <w:noWrap/>
            <w:hideMark/>
          </w:tcPr>
          <w:p w:rsidR="00EE4AC7" w:rsidRPr="00EE4AC7" w:rsidP="00EE4AC7" w14:paraId="322BDD5F" w14:textId="77777777">
            <w:pPr>
              <w:widowControl/>
              <w:rPr>
                <w:snapToGrid/>
                <w:color w:val="000000"/>
                <w:kern w:val="0"/>
                <w:szCs w:val="22"/>
              </w:rPr>
            </w:pPr>
            <w:r w:rsidRPr="00EE4AC7">
              <w:rPr>
                <w:snapToGrid/>
                <w:color w:val="000000"/>
                <w:kern w:val="0"/>
                <w:szCs w:val="22"/>
              </w:rPr>
              <w:t>St. Cloud State University</w:t>
            </w:r>
          </w:p>
        </w:tc>
      </w:tr>
      <w:tr w14:paraId="37065DC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1564250" w14:textId="77777777">
            <w:pPr>
              <w:widowControl/>
              <w:rPr>
                <w:snapToGrid/>
                <w:color w:val="000000"/>
                <w:kern w:val="0"/>
                <w:szCs w:val="22"/>
              </w:rPr>
            </w:pPr>
            <w:r w:rsidRPr="00EE4AC7">
              <w:rPr>
                <w:snapToGrid/>
                <w:color w:val="000000"/>
                <w:kern w:val="0"/>
                <w:szCs w:val="22"/>
              </w:rPr>
              <w:t>GRA0012077</w:t>
            </w:r>
          </w:p>
        </w:tc>
        <w:tc>
          <w:tcPr>
            <w:tcW w:w="7532" w:type="dxa"/>
            <w:shd w:val="clear" w:color="auto" w:fill="auto"/>
            <w:noWrap/>
            <w:hideMark/>
          </w:tcPr>
          <w:p w:rsidR="00EE4AC7" w:rsidRPr="00EE4AC7" w:rsidP="00EE4AC7" w14:paraId="053AACDD" w14:textId="77777777">
            <w:pPr>
              <w:widowControl/>
              <w:rPr>
                <w:snapToGrid/>
                <w:color w:val="000000"/>
                <w:kern w:val="0"/>
                <w:szCs w:val="22"/>
              </w:rPr>
            </w:pPr>
            <w:r w:rsidRPr="00EE4AC7">
              <w:rPr>
                <w:snapToGrid/>
                <w:color w:val="000000"/>
                <w:kern w:val="0"/>
                <w:szCs w:val="22"/>
              </w:rPr>
              <w:t>South County Hospital Healthcare System</w:t>
            </w:r>
          </w:p>
        </w:tc>
      </w:tr>
      <w:tr w14:paraId="539123CD"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0A4927D7" w14:textId="77777777">
            <w:pPr>
              <w:widowControl/>
              <w:rPr>
                <w:snapToGrid/>
                <w:color w:val="000000"/>
                <w:kern w:val="0"/>
                <w:szCs w:val="22"/>
              </w:rPr>
            </w:pPr>
            <w:r w:rsidRPr="00EE4AC7">
              <w:rPr>
                <w:snapToGrid/>
                <w:color w:val="000000"/>
                <w:kern w:val="0"/>
                <w:szCs w:val="22"/>
              </w:rPr>
              <w:t>GRA0012099</w:t>
            </w:r>
          </w:p>
        </w:tc>
        <w:tc>
          <w:tcPr>
            <w:tcW w:w="7532" w:type="dxa"/>
            <w:shd w:val="clear" w:color="auto" w:fill="auto"/>
            <w:noWrap/>
            <w:hideMark/>
          </w:tcPr>
          <w:p w:rsidR="00EE4AC7" w:rsidRPr="00EE4AC7" w:rsidP="00EE4AC7" w14:paraId="338A1695" w14:textId="77777777">
            <w:pPr>
              <w:widowControl/>
              <w:rPr>
                <w:snapToGrid/>
                <w:color w:val="000000"/>
                <w:kern w:val="0"/>
                <w:szCs w:val="22"/>
              </w:rPr>
            </w:pPr>
            <w:r w:rsidRPr="00EE4AC7">
              <w:rPr>
                <w:snapToGrid/>
                <w:color w:val="000000"/>
                <w:kern w:val="0"/>
                <w:szCs w:val="22"/>
              </w:rPr>
              <w:t>Northwestern Mental Health Center, Inc.</w:t>
            </w:r>
          </w:p>
        </w:tc>
      </w:tr>
      <w:tr w14:paraId="5846B158"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021748DE" w14:textId="77777777">
            <w:pPr>
              <w:widowControl/>
              <w:rPr>
                <w:snapToGrid/>
                <w:color w:val="000000"/>
                <w:kern w:val="0"/>
                <w:szCs w:val="22"/>
              </w:rPr>
            </w:pPr>
            <w:r w:rsidRPr="00EE4AC7">
              <w:rPr>
                <w:snapToGrid/>
                <w:color w:val="000000"/>
                <w:kern w:val="0"/>
                <w:szCs w:val="22"/>
              </w:rPr>
              <w:t>GRA0012107</w:t>
            </w:r>
          </w:p>
        </w:tc>
        <w:tc>
          <w:tcPr>
            <w:tcW w:w="7532" w:type="dxa"/>
            <w:shd w:val="clear" w:color="auto" w:fill="auto"/>
            <w:noWrap/>
            <w:hideMark/>
          </w:tcPr>
          <w:p w:rsidR="00EE4AC7" w:rsidRPr="00EE4AC7" w:rsidP="00EE4AC7" w14:paraId="52531482" w14:textId="77777777">
            <w:pPr>
              <w:widowControl/>
              <w:rPr>
                <w:snapToGrid/>
                <w:color w:val="000000"/>
                <w:kern w:val="0"/>
                <w:szCs w:val="22"/>
              </w:rPr>
            </w:pPr>
            <w:r w:rsidRPr="00EE4AC7">
              <w:rPr>
                <w:snapToGrid/>
                <w:color w:val="000000"/>
                <w:kern w:val="0"/>
                <w:szCs w:val="22"/>
              </w:rPr>
              <w:t>DuBois Regional Medical Center d/b/a Penn Highlands DuBois</w:t>
            </w:r>
          </w:p>
        </w:tc>
      </w:tr>
      <w:tr w14:paraId="172CFF11"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B0E5FF3" w14:textId="77777777">
            <w:pPr>
              <w:widowControl/>
              <w:rPr>
                <w:snapToGrid/>
                <w:color w:val="000000"/>
                <w:kern w:val="0"/>
                <w:szCs w:val="22"/>
              </w:rPr>
            </w:pPr>
            <w:r w:rsidRPr="00EE4AC7">
              <w:rPr>
                <w:snapToGrid/>
                <w:color w:val="000000"/>
                <w:kern w:val="0"/>
                <w:szCs w:val="22"/>
              </w:rPr>
              <w:t>GRA0012179</w:t>
            </w:r>
          </w:p>
        </w:tc>
        <w:tc>
          <w:tcPr>
            <w:tcW w:w="7532" w:type="dxa"/>
            <w:shd w:val="clear" w:color="auto" w:fill="auto"/>
            <w:noWrap/>
            <w:hideMark/>
          </w:tcPr>
          <w:p w:rsidR="00EE4AC7" w:rsidRPr="00EE4AC7" w:rsidP="00EE4AC7" w14:paraId="6183C517" w14:textId="125DE85B">
            <w:pPr>
              <w:widowControl/>
              <w:rPr>
                <w:snapToGrid/>
                <w:color w:val="000000"/>
                <w:kern w:val="0"/>
                <w:szCs w:val="22"/>
              </w:rPr>
            </w:pPr>
            <w:r w:rsidRPr="00EE4AC7">
              <w:rPr>
                <w:snapToGrid/>
                <w:color w:val="000000"/>
                <w:kern w:val="0"/>
                <w:szCs w:val="22"/>
              </w:rPr>
              <w:t>Community Health Center of St. Mary</w:t>
            </w:r>
            <w:r w:rsidR="004F141B">
              <w:rPr>
                <w:snapToGrid/>
                <w:color w:val="000000"/>
                <w:kern w:val="0"/>
                <w:szCs w:val="22"/>
              </w:rPr>
              <w:t>’</w:t>
            </w:r>
            <w:r w:rsidRPr="00EE4AC7">
              <w:rPr>
                <w:snapToGrid/>
                <w:color w:val="000000"/>
                <w:kern w:val="0"/>
                <w:szCs w:val="22"/>
              </w:rPr>
              <w:t>s Healthcare and Nathan Littauer Hospital</w:t>
            </w:r>
          </w:p>
        </w:tc>
      </w:tr>
      <w:tr w14:paraId="51D0393A"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441DE62" w14:textId="77777777">
            <w:pPr>
              <w:widowControl/>
              <w:rPr>
                <w:snapToGrid/>
                <w:color w:val="000000"/>
                <w:kern w:val="0"/>
                <w:szCs w:val="22"/>
              </w:rPr>
            </w:pPr>
            <w:r w:rsidRPr="00EE4AC7">
              <w:rPr>
                <w:snapToGrid/>
                <w:color w:val="000000"/>
                <w:kern w:val="0"/>
                <w:szCs w:val="22"/>
              </w:rPr>
              <w:t>GRA0012217</w:t>
            </w:r>
          </w:p>
        </w:tc>
        <w:tc>
          <w:tcPr>
            <w:tcW w:w="7532" w:type="dxa"/>
            <w:shd w:val="clear" w:color="auto" w:fill="auto"/>
            <w:noWrap/>
            <w:hideMark/>
          </w:tcPr>
          <w:p w:rsidR="00EE4AC7" w:rsidRPr="00EE4AC7" w:rsidP="00EE4AC7" w14:paraId="5DFD19B6" w14:textId="77777777">
            <w:pPr>
              <w:widowControl/>
              <w:rPr>
                <w:snapToGrid/>
                <w:color w:val="000000"/>
                <w:kern w:val="0"/>
                <w:szCs w:val="22"/>
              </w:rPr>
            </w:pPr>
            <w:r w:rsidRPr="00EE4AC7">
              <w:rPr>
                <w:snapToGrid/>
                <w:color w:val="000000"/>
                <w:kern w:val="0"/>
                <w:szCs w:val="22"/>
              </w:rPr>
              <w:t>Shawnee Health Service</w:t>
            </w:r>
          </w:p>
        </w:tc>
      </w:tr>
      <w:tr w14:paraId="768A87F1"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C30454E" w14:textId="77777777">
            <w:pPr>
              <w:widowControl/>
              <w:rPr>
                <w:snapToGrid/>
                <w:color w:val="000000"/>
                <w:kern w:val="0"/>
                <w:szCs w:val="22"/>
              </w:rPr>
            </w:pPr>
            <w:r w:rsidRPr="00EE4AC7">
              <w:rPr>
                <w:snapToGrid/>
                <w:color w:val="000000"/>
                <w:kern w:val="0"/>
                <w:szCs w:val="22"/>
              </w:rPr>
              <w:t>GRA0012235</w:t>
            </w:r>
          </w:p>
        </w:tc>
        <w:tc>
          <w:tcPr>
            <w:tcW w:w="7532" w:type="dxa"/>
            <w:shd w:val="clear" w:color="auto" w:fill="auto"/>
            <w:noWrap/>
            <w:hideMark/>
          </w:tcPr>
          <w:p w:rsidR="00EE4AC7" w:rsidRPr="00EE4AC7" w:rsidP="00EE4AC7" w14:paraId="22DF9602" w14:textId="77777777">
            <w:pPr>
              <w:widowControl/>
              <w:rPr>
                <w:snapToGrid/>
                <w:color w:val="000000"/>
                <w:kern w:val="0"/>
                <w:szCs w:val="22"/>
              </w:rPr>
            </w:pPr>
            <w:r w:rsidRPr="00EE4AC7">
              <w:rPr>
                <w:snapToGrid/>
                <w:color w:val="000000"/>
                <w:kern w:val="0"/>
                <w:szCs w:val="22"/>
              </w:rPr>
              <w:t>Aitkin Community Hospital d/b/a Riverwood Healthcare Center</w:t>
            </w:r>
          </w:p>
        </w:tc>
      </w:tr>
      <w:tr w14:paraId="7B170CF9"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B8E11C0" w14:textId="77777777">
            <w:pPr>
              <w:widowControl/>
              <w:rPr>
                <w:snapToGrid/>
                <w:color w:val="000000"/>
                <w:kern w:val="0"/>
                <w:szCs w:val="22"/>
              </w:rPr>
            </w:pPr>
            <w:r w:rsidRPr="00EE4AC7">
              <w:rPr>
                <w:snapToGrid/>
                <w:color w:val="000000"/>
                <w:kern w:val="0"/>
                <w:szCs w:val="22"/>
              </w:rPr>
              <w:t>GRA0012269</w:t>
            </w:r>
          </w:p>
        </w:tc>
        <w:tc>
          <w:tcPr>
            <w:tcW w:w="7532" w:type="dxa"/>
            <w:shd w:val="clear" w:color="auto" w:fill="auto"/>
            <w:noWrap/>
            <w:hideMark/>
          </w:tcPr>
          <w:p w:rsidR="00EE4AC7" w:rsidRPr="00EE4AC7" w:rsidP="00EE4AC7" w14:paraId="544BCD7D" w14:textId="77777777">
            <w:pPr>
              <w:widowControl/>
              <w:rPr>
                <w:snapToGrid/>
                <w:color w:val="000000"/>
                <w:kern w:val="0"/>
                <w:szCs w:val="22"/>
              </w:rPr>
            </w:pPr>
            <w:r w:rsidRPr="00EE4AC7">
              <w:rPr>
                <w:snapToGrid/>
                <w:color w:val="000000"/>
                <w:kern w:val="0"/>
                <w:szCs w:val="22"/>
              </w:rPr>
              <w:t>Cincinnati Children’s Hospital</w:t>
            </w:r>
          </w:p>
        </w:tc>
      </w:tr>
      <w:tr w14:paraId="47740F46"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E59A11F" w14:textId="77777777">
            <w:pPr>
              <w:widowControl/>
              <w:rPr>
                <w:snapToGrid/>
                <w:color w:val="000000"/>
                <w:kern w:val="0"/>
                <w:szCs w:val="22"/>
              </w:rPr>
            </w:pPr>
            <w:r w:rsidRPr="00EE4AC7">
              <w:rPr>
                <w:snapToGrid/>
                <w:color w:val="000000"/>
                <w:kern w:val="0"/>
                <w:szCs w:val="22"/>
              </w:rPr>
              <w:t>GRA0012281</w:t>
            </w:r>
          </w:p>
        </w:tc>
        <w:tc>
          <w:tcPr>
            <w:tcW w:w="7532" w:type="dxa"/>
            <w:shd w:val="clear" w:color="auto" w:fill="auto"/>
            <w:noWrap/>
            <w:hideMark/>
          </w:tcPr>
          <w:p w:rsidR="00EE4AC7" w:rsidRPr="00EE4AC7" w:rsidP="00EE4AC7" w14:paraId="0F86F510" w14:textId="77777777">
            <w:pPr>
              <w:widowControl/>
              <w:rPr>
                <w:snapToGrid/>
                <w:color w:val="000000"/>
                <w:kern w:val="0"/>
                <w:szCs w:val="22"/>
              </w:rPr>
            </w:pPr>
            <w:r w:rsidRPr="00EE4AC7">
              <w:rPr>
                <w:snapToGrid/>
                <w:color w:val="000000"/>
                <w:kern w:val="0"/>
                <w:szCs w:val="22"/>
              </w:rPr>
              <w:t>Integrated Services for Behavioral Health</w:t>
            </w:r>
          </w:p>
        </w:tc>
      </w:tr>
      <w:tr w14:paraId="2E27813D" w14:textId="77777777" w:rsidTr="00BB413A">
        <w:tblPrEx>
          <w:tblW w:w="0" w:type="auto"/>
          <w:jc w:val="center"/>
          <w:tblLook w:val="04A0"/>
        </w:tblPrEx>
        <w:trPr>
          <w:trHeight w:val="288"/>
          <w:jc w:val="center"/>
        </w:trPr>
        <w:tc>
          <w:tcPr>
            <w:tcW w:w="1818" w:type="dxa"/>
            <w:shd w:val="clear" w:color="auto" w:fill="auto"/>
            <w:hideMark/>
          </w:tcPr>
          <w:p w:rsidR="00EE4AC7" w:rsidRPr="00EE4AC7" w:rsidP="00EE4AC7" w14:paraId="4A7ACD91" w14:textId="77777777">
            <w:pPr>
              <w:widowControl/>
              <w:rPr>
                <w:snapToGrid/>
                <w:color w:val="000000"/>
                <w:kern w:val="0"/>
                <w:szCs w:val="22"/>
              </w:rPr>
            </w:pPr>
            <w:r w:rsidRPr="00EE4AC7">
              <w:rPr>
                <w:snapToGrid/>
                <w:color w:val="000000"/>
                <w:kern w:val="0"/>
                <w:szCs w:val="22"/>
              </w:rPr>
              <w:t>GRA0012308</w:t>
            </w:r>
          </w:p>
        </w:tc>
        <w:tc>
          <w:tcPr>
            <w:tcW w:w="7532" w:type="dxa"/>
            <w:shd w:val="clear" w:color="auto" w:fill="auto"/>
            <w:noWrap/>
            <w:hideMark/>
          </w:tcPr>
          <w:p w:rsidR="00EE4AC7" w:rsidRPr="00EE4AC7" w:rsidP="00EE4AC7" w14:paraId="642D050C" w14:textId="77777777">
            <w:pPr>
              <w:widowControl/>
              <w:rPr>
                <w:snapToGrid/>
                <w:color w:val="000000"/>
                <w:kern w:val="0"/>
                <w:szCs w:val="22"/>
              </w:rPr>
            </w:pPr>
            <w:r w:rsidRPr="00EE4AC7">
              <w:rPr>
                <w:snapToGrid/>
                <w:color w:val="000000"/>
                <w:kern w:val="0"/>
                <w:szCs w:val="22"/>
              </w:rPr>
              <w:t>Spectrum Human Services</w:t>
            </w:r>
          </w:p>
        </w:tc>
      </w:tr>
      <w:tr w14:paraId="6F0D62C4"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C95DFDF" w14:textId="77777777">
            <w:pPr>
              <w:widowControl/>
              <w:rPr>
                <w:snapToGrid/>
                <w:color w:val="000000"/>
                <w:kern w:val="0"/>
                <w:szCs w:val="22"/>
              </w:rPr>
            </w:pPr>
            <w:r w:rsidRPr="00EE4AC7">
              <w:rPr>
                <w:snapToGrid/>
                <w:color w:val="000000"/>
                <w:kern w:val="0"/>
                <w:szCs w:val="22"/>
              </w:rPr>
              <w:t>GRA0012344</w:t>
            </w:r>
          </w:p>
        </w:tc>
        <w:tc>
          <w:tcPr>
            <w:tcW w:w="7532" w:type="dxa"/>
            <w:shd w:val="clear" w:color="auto" w:fill="auto"/>
            <w:noWrap/>
            <w:hideMark/>
          </w:tcPr>
          <w:p w:rsidR="00EE4AC7" w:rsidRPr="00EE4AC7" w:rsidP="00EE4AC7" w14:paraId="5CBA3844" w14:textId="77777777">
            <w:pPr>
              <w:widowControl/>
              <w:rPr>
                <w:snapToGrid/>
                <w:color w:val="000000"/>
                <w:kern w:val="0"/>
                <w:szCs w:val="22"/>
              </w:rPr>
            </w:pPr>
            <w:r w:rsidRPr="00EE4AC7">
              <w:rPr>
                <w:snapToGrid/>
                <w:color w:val="000000"/>
                <w:kern w:val="0"/>
                <w:szCs w:val="22"/>
              </w:rPr>
              <w:t>Mountain Valley Child and Family Services, Inc.</w:t>
            </w:r>
          </w:p>
        </w:tc>
      </w:tr>
      <w:tr w14:paraId="3CE590DF"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6F92DFC7" w14:textId="77777777">
            <w:pPr>
              <w:widowControl/>
              <w:rPr>
                <w:snapToGrid/>
                <w:color w:val="000000"/>
                <w:kern w:val="0"/>
                <w:szCs w:val="22"/>
              </w:rPr>
            </w:pPr>
            <w:r w:rsidRPr="00EE4AC7">
              <w:rPr>
                <w:snapToGrid/>
                <w:color w:val="000000"/>
                <w:kern w:val="0"/>
                <w:szCs w:val="22"/>
              </w:rPr>
              <w:t>GRA0012355</w:t>
            </w:r>
          </w:p>
        </w:tc>
        <w:tc>
          <w:tcPr>
            <w:tcW w:w="7532" w:type="dxa"/>
            <w:shd w:val="clear" w:color="auto" w:fill="auto"/>
            <w:noWrap/>
            <w:hideMark/>
          </w:tcPr>
          <w:p w:rsidR="00EE4AC7" w:rsidRPr="00EE4AC7" w:rsidP="00EE4AC7" w14:paraId="709FC8C1" w14:textId="77777777">
            <w:pPr>
              <w:widowControl/>
              <w:rPr>
                <w:snapToGrid/>
                <w:color w:val="000000"/>
                <w:kern w:val="0"/>
                <w:szCs w:val="22"/>
              </w:rPr>
            </w:pPr>
            <w:r w:rsidRPr="00EE4AC7">
              <w:rPr>
                <w:snapToGrid/>
                <w:color w:val="000000"/>
                <w:kern w:val="0"/>
                <w:szCs w:val="22"/>
              </w:rPr>
              <w:t>Blessing Corporate Services</w:t>
            </w:r>
          </w:p>
        </w:tc>
      </w:tr>
      <w:tr w14:paraId="43DB69BF"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DF37F1F" w14:textId="77777777">
            <w:pPr>
              <w:widowControl/>
              <w:rPr>
                <w:snapToGrid/>
                <w:color w:val="000000"/>
                <w:kern w:val="0"/>
                <w:szCs w:val="22"/>
              </w:rPr>
            </w:pPr>
            <w:r w:rsidRPr="00EE4AC7">
              <w:rPr>
                <w:snapToGrid/>
                <w:color w:val="000000"/>
                <w:kern w:val="0"/>
                <w:szCs w:val="22"/>
              </w:rPr>
              <w:t>GRA0012367</w:t>
            </w:r>
          </w:p>
        </w:tc>
        <w:tc>
          <w:tcPr>
            <w:tcW w:w="7532" w:type="dxa"/>
            <w:shd w:val="clear" w:color="auto" w:fill="auto"/>
            <w:noWrap/>
            <w:hideMark/>
          </w:tcPr>
          <w:p w:rsidR="00EE4AC7" w:rsidRPr="00EE4AC7" w:rsidP="00EE4AC7" w14:paraId="1160A660" w14:textId="77777777">
            <w:pPr>
              <w:widowControl/>
              <w:rPr>
                <w:snapToGrid/>
                <w:color w:val="000000"/>
                <w:kern w:val="0"/>
                <w:szCs w:val="22"/>
              </w:rPr>
            </w:pPr>
            <w:r w:rsidRPr="00EE4AC7">
              <w:rPr>
                <w:snapToGrid/>
                <w:color w:val="000000"/>
                <w:kern w:val="0"/>
                <w:szCs w:val="22"/>
              </w:rPr>
              <w:t>Avera Health</w:t>
            </w:r>
          </w:p>
        </w:tc>
      </w:tr>
      <w:tr w14:paraId="6B810FF4"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374990E" w14:textId="77777777">
            <w:pPr>
              <w:widowControl/>
              <w:rPr>
                <w:snapToGrid/>
                <w:color w:val="000000"/>
                <w:kern w:val="0"/>
                <w:szCs w:val="22"/>
              </w:rPr>
            </w:pPr>
            <w:r w:rsidRPr="00EE4AC7">
              <w:rPr>
                <w:snapToGrid/>
                <w:color w:val="000000"/>
                <w:kern w:val="0"/>
                <w:szCs w:val="22"/>
              </w:rPr>
              <w:t>GRA0012447</w:t>
            </w:r>
          </w:p>
        </w:tc>
        <w:tc>
          <w:tcPr>
            <w:tcW w:w="7532" w:type="dxa"/>
            <w:shd w:val="clear" w:color="auto" w:fill="auto"/>
            <w:noWrap/>
            <w:hideMark/>
          </w:tcPr>
          <w:p w:rsidR="00EE4AC7" w:rsidRPr="00EE4AC7" w:rsidP="00EE4AC7" w14:paraId="3B2091AB" w14:textId="77777777">
            <w:pPr>
              <w:widowControl/>
              <w:rPr>
                <w:snapToGrid/>
                <w:color w:val="000000"/>
                <w:kern w:val="0"/>
                <w:szCs w:val="22"/>
              </w:rPr>
            </w:pPr>
            <w:r w:rsidRPr="00EE4AC7">
              <w:rPr>
                <w:snapToGrid/>
                <w:color w:val="000000"/>
                <w:kern w:val="0"/>
                <w:szCs w:val="22"/>
              </w:rPr>
              <w:t>Community Health Centers of South Central Texas, Inc.</w:t>
            </w:r>
          </w:p>
        </w:tc>
      </w:tr>
      <w:tr w14:paraId="0663E008"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14E04BE" w14:textId="77777777">
            <w:pPr>
              <w:widowControl/>
              <w:rPr>
                <w:snapToGrid/>
                <w:color w:val="000000"/>
                <w:kern w:val="0"/>
                <w:szCs w:val="22"/>
              </w:rPr>
            </w:pPr>
            <w:r w:rsidRPr="00EE4AC7">
              <w:rPr>
                <w:snapToGrid/>
                <w:color w:val="000000"/>
                <w:kern w:val="0"/>
                <w:szCs w:val="22"/>
              </w:rPr>
              <w:t>GRA0012448</w:t>
            </w:r>
          </w:p>
        </w:tc>
        <w:tc>
          <w:tcPr>
            <w:tcW w:w="7532" w:type="dxa"/>
            <w:shd w:val="clear" w:color="auto" w:fill="auto"/>
            <w:noWrap/>
            <w:hideMark/>
          </w:tcPr>
          <w:p w:rsidR="00EE4AC7" w:rsidRPr="00EE4AC7" w:rsidP="00EE4AC7" w14:paraId="3918C5AA" w14:textId="77777777">
            <w:pPr>
              <w:widowControl/>
              <w:rPr>
                <w:snapToGrid/>
                <w:color w:val="000000"/>
                <w:kern w:val="0"/>
                <w:szCs w:val="22"/>
              </w:rPr>
            </w:pPr>
            <w:r w:rsidRPr="00EE4AC7">
              <w:rPr>
                <w:snapToGrid/>
                <w:color w:val="000000"/>
                <w:kern w:val="0"/>
                <w:szCs w:val="22"/>
              </w:rPr>
              <w:t>Mental Health Association of Nassau County</w:t>
            </w:r>
          </w:p>
        </w:tc>
      </w:tr>
      <w:tr w14:paraId="4DA41E38"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0963B25" w14:textId="77777777">
            <w:pPr>
              <w:widowControl/>
              <w:rPr>
                <w:snapToGrid/>
                <w:color w:val="000000"/>
                <w:kern w:val="0"/>
                <w:szCs w:val="22"/>
              </w:rPr>
            </w:pPr>
            <w:r w:rsidRPr="00EE4AC7">
              <w:rPr>
                <w:snapToGrid/>
                <w:color w:val="000000"/>
                <w:kern w:val="0"/>
                <w:szCs w:val="22"/>
              </w:rPr>
              <w:t>GRA0012470</w:t>
            </w:r>
          </w:p>
        </w:tc>
        <w:tc>
          <w:tcPr>
            <w:tcW w:w="7532" w:type="dxa"/>
            <w:shd w:val="clear" w:color="auto" w:fill="auto"/>
            <w:noWrap/>
            <w:hideMark/>
          </w:tcPr>
          <w:p w:rsidR="00EE4AC7" w:rsidRPr="00EE4AC7" w:rsidP="00EE4AC7" w14:paraId="5E67C2AC" w14:textId="77777777">
            <w:pPr>
              <w:widowControl/>
              <w:rPr>
                <w:snapToGrid/>
                <w:color w:val="000000"/>
                <w:kern w:val="0"/>
                <w:szCs w:val="22"/>
              </w:rPr>
            </w:pPr>
            <w:r w:rsidRPr="00EE4AC7">
              <w:rPr>
                <w:snapToGrid/>
                <w:color w:val="000000"/>
                <w:kern w:val="0"/>
                <w:szCs w:val="22"/>
              </w:rPr>
              <w:t>University of Rhode Island</w:t>
            </w:r>
          </w:p>
        </w:tc>
      </w:tr>
      <w:tr w14:paraId="50DBE1C4"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C282D1A" w14:textId="77777777">
            <w:pPr>
              <w:widowControl/>
              <w:rPr>
                <w:snapToGrid/>
                <w:color w:val="000000"/>
                <w:kern w:val="0"/>
                <w:szCs w:val="22"/>
              </w:rPr>
            </w:pPr>
            <w:r w:rsidRPr="00EE4AC7">
              <w:rPr>
                <w:snapToGrid/>
                <w:color w:val="000000"/>
                <w:kern w:val="0"/>
                <w:szCs w:val="22"/>
              </w:rPr>
              <w:t>GRA0012474</w:t>
            </w:r>
          </w:p>
        </w:tc>
        <w:tc>
          <w:tcPr>
            <w:tcW w:w="7532" w:type="dxa"/>
            <w:shd w:val="clear" w:color="auto" w:fill="auto"/>
            <w:noWrap/>
            <w:hideMark/>
          </w:tcPr>
          <w:p w:rsidR="00EE4AC7" w:rsidRPr="00EE4AC7" w:rsidP="00EE4AC7" w14:paraId="1C57015C" w14:textId="77777777">
            <w:pPr>
              <w:widowControl/>
              <w:rPr>
                <w:snapToGrid/>
                <w:color w:val="000000"/>
                <w:kern w:val="0"/>
                <w:szCs w:val="22"/>
              </w:rPr>
            </w:pPr>
            <w:r w:rsidRPr="00EE4AC7">
              <w:rPr>
                <w:snapToGrid/>
                <w:color w:val="000000"/>
                <w:kern w:val="0"/>
                <w:szCs w:val="22"/>
              </w:rPr>
              <w:t>Richmond Behavioral Health Authority</w:t>
            </w:r>
          </w:p>
        </w:tc>
      </w:tr>
      <w:tr w14:paraId="67931261"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E70F0A6" w14:textId="77777777">
            <w:pPr>
              <w:widowControl/>
              <w:rPr>
                <w:snapToGrid/>
                <w:color w:val="000000"/>
                <w:kern w:val="0"/>
                <w:szCs w:val="22"/>
              </w:rPr>
            </w:pPr>
            <w:r w:rsidRPr="00EE4AC7">
              <w:rPr>
                <w:snapToGrid/>
                <w:color w:val="000000"/>
                <w:kern w:val="0"/>
                <w:szCs w:val="22"/>
              </w:rPr>
              <w:t>GRA0012561</w:t>
            </w:r>
          </w:p>
        </w:tc>
        <w:tc>
          <w:tcPr>
            <w:tcW w:w="7532" w:type="dxa"/>
            <w:shd w:val="clear" w:color="auto" w:fill="auto"/>
            <w:noWrap/>
            <w:hideMark/>
          </w:tcPr>
          <w:p w:rsidR="00EE4AC7" w:rsidRPr="00EE4AC7" w:rsidP="00EE4AC7" w14:paraId="6DCCDEFA" w14:textId="77777777">
            <w:pPr>
              <w:widowControl/>
              <w:rPr>
                <w:snapToGrid/>
                <w:color w:val="000000"/>
                <w:kern w:val="0"/>
                <w:szCs w:val="22"/>
              </w:rPr>
            </w:pPr>
            <w:r w:rsidRPr="00EE4AC7">
              <w:rPr>
                <w:snapToGrid/>
                <w:color w:val="000000"/>
                <w:kern w:val="0"/>
                <w:szCs w:val="22"/>
              </w:rPr>
              <w:t>Ibn Sina Foundation</w:t>
            </w:r>
          </w:p>
        </w:tc>
      </w:tr>
      <w:tr w14:paraId="189D69D1"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035134B" w14:textId="77777777">
            <w:pPr>
              <w:widowControl/>
              <w:rPr>
                <w:snapToGrid/>
                <w:color w:val="000000"/>
                <w:kern w:val="0"/>
                <w:szCs w:val="22"/>
              </w:rPr>
            </w:pPr>
            <w:r w:rsidRPr="00EE4AC7">
              <w:rPr>
                <w:snapToGrid/>
                <w:color w:val="000000"/>
                <w:kern w:val="0"/>
                <w:szCs w:val="22"/>
              </w:rPr>
              <w:t>GRA0012589</w:t>
            </w:r>
          </w:p>
        </w:tc>
        <w:tc>
          <w:tcPr>
            <w:tcW w:w="7532" w:type="dxa"/>
            <w:shd w:val="clear" w:color="auto" w:fill="auto"/>
            <w:noWrap/>
            <w:hideMark/>
          </w:tcPr>
          <w:p w:rsidR="00EE4AC7" w:rsidRPr="00EE4AC7" w:rsidP="00EE4AC7" w14:paraId="5F31E7FB" w14:textId="77777777">
            <w:pPr>
              <w:widowControl/>
              <w:rPr>
                <w:snapToGrid/>
                <w:color w:val="000000"/>
                <w:kern w:val="0"/>
                <w:szCs w:val="22"/>
              </w:rPr>
            </w:pPr>
            <w:r w:rsidRPr="00EE4AC7">
              <w:rPr>
                <w:snapToGrid/>
                <w:color w:val="000000"/>
                <w:kern w:val="0"/>
                <w:szCs w:val="22"/>
              </w:rPr>
              <w:t>Sociedad de Educacion y Rehabilitacion (SER) de Puerto Rico, Inc.</w:t>
            </w:r>
          </w:p>
        </w:tc>
      </w:tr>
      <w:tr w14:paraId="2FC76ACE"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69F14466" w14:textId="77777777">
            <w:pPr>
              <w:widowControl/>
              <w:rPr>
                <w:snapToGrid/>
                <w:color w:val="000000"/>
                <w:kern w:val="0"/>
                <w:szCs w:val="22"/>
              </w:rPr>
            </w:pPr>
            <w:r w:rsidRPr="00EE4AC7">
              <w:rPr>
                <w:snapToGrid/>
                <w:color w:val="000000"/>
                <w:kern w:val="0"/>
                <w:szCs w:val="22"/>
              </w:rPr>
              <w:t>GRA0012625</w:t>
            </w:r>
          </w:p>
        </w:tc>
        <w:tc>
          <w:tcPr>
            <w:tcW w:w="7532" w:type="dxa"/>
            <w:shd w:val="clear" w:color="auto" w:fill="auto"/>
            <w:noWrap/>
            <w:hideMark/>
          </w:tcPr>
          <w:p w:rsidR="00EE4AC7" w:rsidRPr="00EE4AC7" w:rsidP="00EE4AC7" w14:paraId="67D9F636" w14:textId="77777777">
            <w:pPr>
              <w:widowControl/>
              <w:rPr>
                <w:snapToGrid/>
                <w:color w:val="000000"/>
                <w:kern w:val="0"/>
                <w:szCs w:val="22"/>
              </w:rPr>
            </w:pPr>
            <w:r w:rsidRPr="00EE4AC7">
              <w:rPr>
                <w:snapToGrid/>
                <w:color w:val="000000"/>
                <w:kern w:val="0"/>
                <w:szCs w:val="22"/>
              </w:rPr>
              <w:t>Olathe Community Clinic, Inc. d/b/a River Valley Family Health Centers</w:t>
            </w:r>
          </w:p>
        </w:tc>
      </w:tr>
      <w:tr w14:paraId="28628AE6"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0593DFA" w14:textId="77777777">
            <w:pPr>
              <w:widowControl/>
              <w:rPr>
                <w:snapToGrid/>
                <w:color w:val="000000"/>
                <w:kern w:val="0"/>
                <w:szCs w:val="22"/>
              </w:rPr>
            </w:pPr>
            <w:r w:rsidRPr="00EE4AC7">
              <w:rPr>
                <w:snapToGrid/>
                <w:color w:val="000000"/>
                <w:kern w:val="0"/>
                <w:szCs w:val="22"/>
              </w:rPr>
              <w:t>GRA0012629</w:t>
            </w:r>
          </w:p>
        </w:tc>
        <w:tc>
          <w:tcPr>
            <w:tcW w:w="7532" w:type="dxa"/>
            <w:shd w:val="clear" w:color="auto" w:fill="auto"/>
            <w:noWrap/>
            <w:hideMark/>
          </w:tcPr>
          <w:p w:rsidR="00EE4AC7" w:rsidRPr="00EE4AC7" w:rsidP="00EE4AC7" w14:paraId="4AAB4AD4" w14:textId="77777777">
            <w:pPr>
              <w:widowControl/>
              <w:rPr>
                <w:snapToGrid/>
                <w:color w:val="000000"/>
                <w:kern w:val="0"/>
                <w:szCs w:val="22"/>
              </w:rPr>
            </w:pPr>
            <w:r w:rsidRPr="00EE4AC7">
              <w:rPr>
                <w:snapToGrid/>
                <w:color w:val="000000"/>
                <w:kern w:val="0"/>
                <w:szCs w:val="22"/>
              </w:rPr>
              <w:t>SHIELDS for Families</w:t>
            </w:r>
          </w:p>
        </w:tc>
      </w:tr>
      <w:tr w14:paraId="4737D30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677751E6" w14:textId="77777777">
            <w:pPr>
              <w:widowControl/>
              <w:rPr>
                <w:snapToGrid/>
                <w:color w:val="000000"/>
                <w:kern w:val="0"/>
                <w:szCs w:val="22"/>
              </w:rPr>
            </w:pPr>
            <w:r w:rsidRPr="00EE4AC7">
              <w:rPr>
                <w:snapToGrid/>
                <w:color w:val="000000"/>
                <w:kern w:val="0"/>
                <w:szCs w:val="22"/>
              </w:rPr>
              <w:t>GRA0012666</w:t>
            </w:r>
          </w:p>
        </w:tc>
        <w:tc>
          <w:tcPr>
            <w:tcW w:w="7532" w:type="dxa"/>
            <w:shd w:val="clear" w:color="auto" w:fill="auto"/>
            <w:noWrap/>
            <w:hideMark/>
          </w:tcPr>
          <w:p w:rsidR="00EE4AC7" w:rsidRPr="00EE4AC7" w:rsidP="00EE4AC7" w14:paraId="678DD52B" w14:textId="77777777">
            <w:pPr>
              <w:widowControl/>
              <w:rPr>
                <w:snapToGrid/>
                <w:color w:val="000000"/>
                <w:kern w:val="0"/>
                <w:szCs w:val="22"/>
              </w:rPr>
            </w:pPr>
            <w:r w:rsidRPr="00EE4AC7">
              <w:rPr>
                <w:snapToGrid/>
                <w:color w:val="000000"/>
                <w:kern w:val="0"/>
                <w:szCs w:val="22"/>
              </w:rPr>
              <w:t>University of Colorado Denver</w:t>
            </w:r>
          </w:p>
        </w:tc>
      </w:tr>
      <w:tr w14:paraId="08C72255"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3A859F0" w14:textId="77777777">
            <w:pPr>
              <w:widowControl/>
              <w:rPr>
                <w:snapToGrid/>
                <w:color w:val="000000"/>
                <w:kern w:val="0"/>
                <w:szCs w:val="22"/>
              </w:rPr>
            </w:pPr>
            <w:r w:rsidRPr="00EE4AC7">
              <w:rPr>
                <w:snapToGrid/>
                <w:color w:val="000000"/>
                <w:kern w:val="0"/>
                <w:szCs w:val="22"/>
              </w:rPr>
              <w:t>GRA0012696</w:t>
            </w:r>
          </w:p>
        </w:tc>
        <w:tc>
          <w:tcPr>
            <w:tcW w:w="7532" w:type="dxa"/>
            <w:shd w:val="clear" w:color="auto" w:fill="auto"/>
            <w:noWrap/>
            <w:hideMark/>
          </w:tcPr>
          <w:p w:rsidR="00EE4AC7" w:rsidRPr="00EE4AC7" w:rsidP="00EE4AC7" w14:paraId="2C8F1937" w14:textId="77777777">
            <w:pPr>
              <w:widowControl/>
              <w:rPr>
                <w:snapToGrid/>
                <w:color w:val="000000"/>
                <w:kern w:val="0"/>
                <w:szCs w:val="22"/>
              </w:rPr>
            </w:pPr>
            <w:r w:rsidRPr="00EE4AC7">
              <w:rPr>
                <w:snapToGrid/>
                <w:color w:val="000000"/>
                <w:kern w:val="0"/>
                <w:szCs w:val="22"/>
              </w:rPr>
              <w:t>DeKalb Community Service Board</w:t>
            </w:r>
          </w:p>
        </w:tc>
      </w:tr>
      <w:tr w14:paraId="186F4F51"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A7CD811" w14:textId="77777777">
            <w:pPr>
              <w:widowControl/>
              <w:rPr>
                <w:snapToGrid/>
                <w:color w:val="000000"/>
                <w:kern w:val="0"/>
                <w:szCs w:val="22"/>
              </w:rPr>
            </w:pPr>
            <w:r w:rsidRPr="00EE4AC7">
              <w:rPr>
                <w:snapToGrid/>
                <w:color w:val="000000"/>
                <w:kern w:val="0"/>
                <w:szCs w:val="22"/>
              </w:rPr>
              <w:t>GRA0012761</w:t>
            </w:r>
          </w:p>
        </w:tc>
        <w:tc>
          <w:tcPr>
            <w:tcW w:w="7532" w:type="dxa"/>
            <w:shd w:val="clear" w:color="auto" w:fill="auto"/>
            <w:noWrap/>
            <w:hideMark/>
          </w:tcPr>
          <w:p w:rsidR="00EE4AC7" w:rsidRPr="00EE4AC7" w:rsidP="00EE4AC7" w14:paraId="0279DF11" w14:textId="77777777">
            <w:pPr>
              <w:widowControl/>
              <w:rPr>
                <w:snapToGrid/>
                <w:color w:val="000000"/>
                <w:kern w:val="0"/>
                <w:szCs w:val="22"/>
              </w:rPr>
            </w:pPr>
            <w:r w:rsidRPr="00EE4AC7">
              <w:rPr>
                <w:snapToGrid/>
                <w:color w:val="000000"/>
                <w:kern w:val="0"/>
                <w:szCs w:val="22"/>
              </w:rPr>
              <w:t>University Physicians of Brooklyn, Inc.</w:t>
            </w:r>
          </w:p>
        </w:tc>
      </w:tr>
      <w:tr w14:paraId="30E46B6E"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01429C7D" w14:textId="77777777">
            <w:pPr>
              <w:widowControl/>
              <w:rPr>
                <w:snapToGrid/>
                <w:color w:val="000000"/>
                <w:kern w:val="0"/>
                <w:szCs w:val="22"/>
              </w:rPr>
            </w:pPr>
            <w:r w:rsidRPr="00EE4AC7">
              <w:rPr>
                <w:snapToGrid/>
                <w:color w:val="000000"/>
                <w:kern w:val="0"/>
                <w:szCs w:val="22"/>
              </w:rPr>
              <w:t>GRA0012791</w:t>
            </w:r>
          </w:p>
        </w:tc>
        <w:tc>
          <w:tcPr>
            <w:tcW w:w="7532" w:type="dxa"/>
            <w:shd w:val="clear" w:color="auto" w:fill="auto"/>
            <w:noWrap/>
            <w:hideMark/>
          </w:tcPr>
          <w:p w:rsidR="00EE4AC7" w:rsidRPr="00EE4AC7" w:rsidP="00EE4AC7" w14:paraId="737A2B84" w14:textId="77777777">
            <w:pPr>
              <w:widowControl/>
              <w:rPr>
                <w:snapToGrid/>
                <w:color w:val="000000"/>
                <w:kern w:val="0"/>
                <w:szCs w:val="22"/>
              </w:rPr>
            </w:pPr>
            <w:r w:rsidRPr="00EE4AC7">
              <w:rPr>
                <w:snapToGrid/>
                <w:color w:val="000000"/>
                <w:kern w:val="0"/>
                <w:szCs w:val="22"/>
              </w:rPr>
              <w:t>Henderson Health Care</w:t>
            </w:r>
          </w:p>
        </w:tc>
      </w:tr>
      <w:tr w14:paraId="338C0E1A"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5FA1F5F" w14:textId="77777777">
            <w:pPr>
              <w:widowControl/>
              <w:rPr>
                <w:snapToGrid/>
                <w:color w:val="000000"/>
                <w:kern w:val="0"/>
                <w:szCs w:val="22"/>
              </w:rPr>
            </w:pPr>
            <w:r w:rsidRPr="00EE4AC7">
              <w:rPr>
                <w:snapToGrid/>
                <w:color w:val="000000"/>
                <w:kern w:val="0"/>
                <w:szCs w:val="22"/>
              </w:rPr>
              <w:t>GRA0012802</w:t>
            </w:r>
          </w:p>
        </w:tc>
        <w:tc>
          <w:tcPr>
            <w:tcW w:w="7532" w:type="dxa"/>
            <w:shd w:val="clear" w:color="auto" w:fill="auto"/>
            <w:noWrap/>
            <w:hideMark/>
          </w:tcPr>
          <w:p w:rsidR="00EE4AC7" w:rsidRPr="00EE4AC7" w:rsidP="00EE4AC7" w14:paraId="27925322" w14:textId="77777777">
            <w:pPr>
              <w:widowControl/>
              <w:rPr>
                <w:snapToGrid/>
                <w:color w:val="000000"/>
                <w:kern w:val="0"/>
                <w:szCs w:val="22"/>
              </w:rPr>
            </w:pPr>
            <w:r w:rsidRPr="00EE4AC7">
              <w:rPr>
                <w:snapToGrid/>
                <w:color w:val="000000"/>
                <w:kern w:val="0"/>
                <w:szCs w:val="22"/>
              </w:rPr>
              <w:t>Illinois College of Optometry</w:t>
            </w:r>
          </w:p>
        </w:tc>
      </w:tr>
      <w:tr w14:paraId="72DCA38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F05D19D" w14:textId="77777777">
            <w:pPr>
              <w:widowControl/>
              <w:rPr>
                <w:snapToGrid/>
                <w:color w:val="000000"/>
                <w:kern w:val="0"/>
                <w:szCs w:val="22"/>
              </w:rPr>
            </w:pPr>
            <w:r w:rsidRPr="00EE4AC7">
              <w:rPr>
                <w:snapToGrid/>
                <w:color w:val="000000"/>
                <w:kern w:val="0"/>
                <w:szCs w:val="22"/>
              </w:rPr>
              <w:t>GRA0012821</w:t>
            </w:r>
          </w:p>
        </w:tc>
        <w:tc>
          <w:tcPr>
            <w:tcW w:w="7532" w:type="dxa"/>
            <w:shd w:val="clear" w:color="auto" w:fill="auto"/>
            <w:noWrap/>
            <w:hideMark/>
          </w:tcPr>
          <w:p w:rsidR="00EE4AC7" w:rsidRPr="00EE4AC7" w:rsidP="00EE4AC7" w14:paraId="3D474987" w14:textId="77777777">
            <w:pPr>
              <w:widowControl/>
              <w:rPr>
                <w:snapToGrid/>
                <w:color w:val="000000"/>
                <w:kern w:val="0"/>
                <w:szCs w:val="22"/>
              </w:rPr>
            </w:pPr>
            <w:r w:rsidRPr="00EE4AC7">
              <w:rPr>
                <w:snapToGrid/>
                <w:color w:val="000000"/>
                <w:kern w:val="0"/>
                <w:szCs w:val="22"/>
              </w:rPr>
              <w:t>Heart City Health</w:t>
            </w:r>
          </w:p>
        </w:tc>
      </w:tr>
      <w:tr w14:paraId="0372170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57B1418" w14:textId="77777777">
            <w:pPr>
              <w:widowControl/>
              <w:rPr>
                <w:snapToGrid/>
                <w:color w:val="000000"/>
                <w:kern w:val="0"/>
                <w:szCs w:val="22"/>
              </w:rPr>
            </w:pPr>
            <w:r w:rsidRPr="00EE4AC7">
              <w:rPr>
                <w:snapToGrid/>
                <w:color w:val="000000"/>
                <w:kern w:val="0"/>
                <w:szCs w:val="22"/>
              </w:rPr>
              <w:t>GRA0012834</w:t>
            </w:r>
          </w:p>
        </w:tc>
        <w:tc>
          <w:tcPr>
            <w:tcW w:w="7532" w:type="dxa"/>
            <w:shd w:val="clear" w:color="auto" w:fill="auto"/>
            <w:noWrap/>
            <w:hideMark/>
          </w:tcPr>
          <w:p w:rsidR="00EE4AC7" w:rsidRPr="00EE4AC7" w:rsidP="00EE4AC7" w14:paraId="2DBE954B" w14:textId="77777777">
            <w:pPr>
              <w:widowControl/>
              <w:rPr>
                <w:snapToGrid/>
                <w:color w:val="000000"/>
                <w:kern w:val="0"/>
                <w:szCs w:val="22"/>
              </w:rPr>
            </w:pPr>
            <w:r w:rsidRPr="00EE4AC7">
              <w:rPr>
                <w:snapToGrid/>
                <w:color w:val="000000"/>
                <w:kern w:val="0"/>
                <w:szCs w:val="22"/>
              </w:rPr>
              <w:t>Clayton Center Community Services Board</w:t>
            </w:r>
          </w:p>
        </w:tc>
      </w:tr>
      <w:tr w14:paraId="36E55A9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AEACEB2" w14:textId="77777777">
            <w:pPr>
              <w:widowControl/>
              <w:rPr>
                <w:snapToGrid/>
                <w:color w:val="000000"/>
                <w:kern w:val="0"/>
                <w:szCs w:val="22"/>
              </w:rPr>
            </w:pPr>
            <w:r w:rsidRPr="00EE4AC7">
              <w:rPr>
                <w:snapToGrid/>
                <w:color w:val="000000"/>
                <w:kern w:val="0"/>
                <w:szCs w:val="22"/>
              </w:rPr>
              <w:t>GRA0012842</w:t>
            </w:r>
          </w:p>
        </w:tc>
        <w:tc>
          <w:tcPr>
            <w:tcW w:w="7532" w:type="dxa"/>
            <w:shd w:val="clear" w:color="auto" w:fill="auto"/>
            <w:noWrap/>
            <w:hideMark/>
          </w:tcPr>
          <w:p w:rsidR="00EE4AC7" w:rsidRPr="00EE4AC7" w:rsidP="00EE4AC7" w14:paraId="2D086A5E" w14:textId="77777777">
            <w:pPr>
              <w:widowControl/>
              <w:rPr>
                <w:snapToGrid/>
                <w:color w:val="000000"/>
                <w:kern w:val="0"/>
                <w:szCs w:val="22"/>
              </w:rPr>
            </w:pPr>
            <w:r w:rsidRPr="00EE4AC7">
              <w:rPr>
                <w:snapToGrid/>
                <w:color w:val="000000"/>
                <w:kern w:val="0"/>
                <w:szCs w:val="22"/>
              </w:rPr>
              <w:t>Internal Medicine of the Rockies</w:t>
            </w:r>
          </w:p>
        </w:tc>
      </w:tr>
      <w:tr w14:paraId="743B5E47"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7D1F0EF" w14:textId="77777777">
            <w:pPr>
              <w:widowControl/>
              <w:rPr>
                <w:snapToGrid/>
                <w:color w:val="000000"/>
                <w:kern w:val="0"/>
                <w:szCs w:val="22"/>
              </w:rPr>
            </w:pPr>
            <w:r w:rsidRPr="00EE4AC7">
              <w:rPr>
                <w:snapToGrid/>
                <w:color w:val="000000"/>
                <w:kern w:val="0"/>
                <w:szCs w:val="22"/>
              </w:rPr>
              <w:t>GRA0012855</w:t>
            </w:r>
          </w:p>
        </w:tc>
        <w:tc>
          <w:tcPr>
            <w:tcW w:w="7532" w:type="dxa"/>
            <w:shd w:val="clear" w:color="auto" w:fill="auto"/>
            <w:noWrap/>
            <w:hideMark/>
          </w:tcPr>
          <w:p w:rsidR="00EE4AC7" w:rsidRPr="00EE4AC7" w:rsidP="00EE4AC7" w14:paraId="6C14C7A1" w14:textId="77777777">
            <w:pPr>
              <w:widowControl/>
              <w:rPr>
                <w:snapToGrid/>
                <w:color w:val="000000"/>
                <w:kern w:val="0"/>
                <w:szCs w:val="22"/>
              </w:rPr>
            </w:pPr>
            <w:r w:rsidRPr="00EE4AC7">
              <w:rPr>
                <w:snapToGrid/>
                <w:color w:val="000000"/>
                <w:kern w:val="0"/>
                <w:szCs w:val="22"/>
              </w:rPr>
              <w:t>Kinston Community Health Center, Inc.</w:t>
            </w:r>
          </w:p>
        </w:tc>
      </w:tr>
      <w:tr w14:paraId="480269A2"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49CAE20" w14:textId="77777777">
            <w:pPr>
              <w:widowControl/>
              <w:rPr>
                <w:snapToGrid/>
                <w:color w:val="000000"/>
                <w:kern w:val="0"/>
                <w:szCs w:val="22"/>
              </w:rPr>
            </w:pPr>
            <w:r w:rsidRPr="00EE4AC7">
              <w:rPr>
                <w:snapToGrid/>
                <w:color w:val="000000"/>
                <w:kern w:val="0"/>
                <w:szCs w:val="22"/>
              </w:rPr>
              <w:t>GRA0012869</w:t>
            </w:r>
          </w:p>
        </w:tc>
        <w:tc>
          <w:tcPr>
            <w:tcW w:w="7532" w:type="dxa"/>
            <w:shd w:val="clear" w:color="auto" w:fill="auto"/>
            <w:noWrap/>
            <w:hideMark/>
          </w:tcPr>
          <w:p w:rsidR="00EE4AC7" w:rsidRPr="00EE4AC7" w:rsidP="00EE4AC7" w14:paraId="29D0BD7F" w14:textId="77777777">
            <w:pPr>
              <w:widowControl/>
              <w:rPr>
                <w:snapToGrid/>
                <w:color w:val="000000"/>
                <w:kern w:val="0"/>
                <w:szCs w:val="22"/>
              </w:rPr>
            </w:pPr>
            <w:r w:rsidRPr="00EE4AC7">
              <w:rPr>
                <w:snapToGrid/>
                <w:color w:val="000000"/>
                <w:kern w:val="0"/>
                <w:szCs w:val="22"/>
              </w:rPr>
              <w:t>Community Counseling Centers of Chicago</w:t>
            </w:r>
          </w:p>
        </w:tc>
      </w:tr>
      <w:tr w14:paraId="4333D841"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F9B440B" w14:textId="77777777">
            <w:pPr>
              <w:widowControl/>
              <w:rPr>
                <w:snapToGrid/>
                <w:color w:val="000000"/>
                <w:kern w:val="0"/>
                <w:szCs w:val="22"/>
              </w:rPr>
            </w:pPr>
            <w:r w:rsidRPr="00EE4AC7">
              <w:rPr>
                <w:snapToGrid/>
                <w:color w:val="000000"/>
                <w:kern w:val="0"/>
                <w:szCs w:val="22"/>
              </w:rPr>
              <w:t>GRA0012934</w:t>
            </w:r>
          </w:p>
        </w:tc>
        <w:tc>
          <w:tcPr>
            <w:tcW w:w="7532" w:type="dxa"/>
            <w:shd w:val="clear" w:color="auto" w:fill="auto"/>
            <w:noWrap/>
            <w:hideMark/>
          </w:tcPr>
          <w:p w:rsidR="00EE4AC7" w:rsidRPr="00EE4AC7" w:rsidP="00EE4AC7" w14:paraId="228E2BD2" w14:textId="77777777">
            <w:pPr>
              <w:widowControl/>
              <w:rPr>
                <w:snapToGrid/>
                <w:color w:val="000000"/>
                <w:kern w:val="0"/>
                <w:szCs w:val="22"/>
              </w:rPr>
            </w:pPr>
            <w:r w:rsidRPr="00EE4AC7">
              <w:rPr>
                <w:snapToGrid/>
                <w:color w:val="000000"/>
                <w:kern w:val="0"/>
                <w:szCs w:val="22"/>
              </w:rPr>
              <w:t>Eastern Rio Blanco County Health Service District d/b/a Pioneers Medical Center</w:t>
            </w:r>
          </w:p>
        </w:tc>
      </w:tr>
      <w:tr w14:paraId="3DCDB5ED"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6FBFB99" w14:textId="77777777">
            <w:pPr>
              <w:widowControl/>
              <w:rPr>
                <w:snapToGrid/>
                <w:color w:val="000000"/>
                <w:kern w:val="0"/>
                <w:szCs w:val="22"/>
              </w:rPr>
            </w:pPr>
            <w:r w:rsidRPr="00EE4AC7">
              <w:rPr>
                <w:snapToGrid/>
                <w:color w:val="000000"/>
                <w:kern w:val="0"/>
                <w:szCs w:val="22"/>
              </w:rPr>
              <w:t>GRA0012953</w:t>
            </w:r>
          </w:p>
        </w:tc>
        <w:tc>
          <w:tcPr>
            <w:tcW w:w="7532" w:type="dxa"/>
            <w:shd w:val="clear" w:color="auto" w:fill="auto"/>
            <w:noWrap/>
            <w:hideMark/>
          </w:tcPr>
          <w:p w:rsidR="00EE4AC7" w:rsidRPr="00EE4AC7" w:rsidP="00EE4AC7" w14:paraId="7BEFE915" w14:textId="77777777">
            <w:pPr>
              <w:widowControl/>
              <w:rPr>
                <w:snapToGrid/>
                <w:color w:val="000000"/>
                <w:kern w:val="0"/>
                <w:szCs w:val="22"/>
              </w:rPr>
            </w:pPr>
            <w:r w:rsidRPr="00EE4AC7">
              <w:rPr>
                <w:snapToGrid/>
                <w:color w:val="000000"/>
                <w:kern w:val="0"/>
                <w:szCs w:val="22"/>
              </w:rPr>
              <w:t>NO/AIDS Task Force d/b/a CrescentCare</w:t>
            </w:r>
          </w:p>
        </w:tc>
      </w:tr>
      <w:tr w14:paraId="630C3130"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7C92323" w14:textId="77777777">
            <w:pPr>
              <w:widowControl/>
              <w:rPr>
                <w:snapToGrid/>
                <w:color w:val="000000"/>
                <w:kern w:val="0"/>
                <w:szCs w:val="22"/>
              </w:rPr>
            </w:pPr>
            <w:r w:rsidRPr="00EE4AC7">
              <w:rPr>
                <w:snapToGrid/>
                <w:color w:val="000000"/>
                <w:kern w:val="0"/>
                <w:szCs w:val="22"/>
              </w:rPr>
              <w:t>GRA0012962</w:t>
            </w:r>
          </w:p>
        </w:tc>
        <w:tc>
          <w:tcPr>
            <w:tcW w:w="7532" w:type="dxa"/>
            <w:shd w:val="clear" w:color="auto" w:fill="auto"/>
            <w:noWrap/>
            <w:hideMark/>
          </w:tcPr>
          <w:p w:rsidR="00EE4AC7" w:rsidRPr="00EE4AC7" w:rsidP="00EE4AC7" w14:paraId="1A55A79F" w14:textId="77777777">
            <w:pPr>
              <w:widowControl/>
              <w:rPr>
                <w:snapToGrid/>
                <w:color w:val="000000"/>
                <w:kern w:val="0"/>
                <w:szCs w:val="22"/>
              </w:rPr>
            </w:pPr>
            <w:r w:rsidRPr="00EE4AC7">
              <w:rPr>
                <w:snapToGrid/>
                <w:color w:val="000000"/>
                <w:kern w:val="0"/>
                <w:szCs w:val="22"/>
              </w:rPr>
              <w:t>Mobile County Board of Health</w:t>
            </w:r>
          </w:p>
        </w:tc>
      </w:tr>
      <w:tr w14:paraId="62C47BF3"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65C7E1A4" w14:textId="77777777">
            <w:pPr>
              <w:widowControl/>
              <w:rPr>
                <w:snapToGrid/>
                <w:color w:val="000000"/>
                <w:kern w:val="0"/>
                <w:szCs w:val="22"/>
              </w:rPr>
            </w:pPr>
            <w:r w:rsidRPr="00EE4AC7">
              <w:rPr>
                <w:snapToGrid/>
                <w:color w:val="000000"/>
                <w:kern w:val="0"/>
                <w:szCs w:val="22"/>
              </w:rPr>
              <w:t>GRA0012985</w:t>
            </w:r>
          </w:p>
        </w:tc>
        <w:tc>
          <w:tcPr>
            <w:tcW w:w="7532" w:type="dxa"/>
            <w:shd w:val="clear" w:color="auto" w:fill="auto"/>
            <w:noWrap/>
            <w:hideMark/>
          </w:tcPr>
          <w:p w:rsidR="00EE4AC7" w:rsidRPr="00EE4AC7" w:rsidP="00EE4AC7" w14:paraId="40283D4D" w14:textId="77777777">
            <w:pPr>
              <w:widowControl/>
              <w:rPr>
                <w:snapToGrid/>
                <w:color w:val="000000"/>
                <w:kern w:val="0"/>
                <w:szCs w:val="22"/>
              </w:rPr>
            </w:pPr>
            <w:r w:rsidRPr="00EE4AC7">
              <w:rPr>
                <w:snapToGrid/>
                <w:color w:val="000000"/>
                <w:kern w:val="0"/>
                <w:szCs w:val="22"/>
              </w:rPr>
              <w:t>Brooklyn Plaza Medical Center, Inc.</w:t>
            </w:r>
          </w:p>
        </w:tc>
      </w:tr>
      <w:tr w14:paraId="3B63FE0A"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6D41656" w14:textId="77777777">
            <w:pPr>
              <w:widowControl/>
              <w:rPr>
                <w:snapToGrid/>
                <w:color w:val="000000"/>
                <w:kern w:val="0"/>
                <w:szCs w:val="22"/>
              </w:rPr>
            </w:pPr>
            <w:r w:rsidRPr="00EE4AC7">
              <w:rPr>
                <w:snapToGrid/>
                <w:color w:val="000000"/>
                <w:kern w:val="0"/>
                <w:szCs w:val="22"/>
              </w:rPr>
              <w:t>GRA0013010</w:t>
            </w:r>
          </w:p>
        </w:tc>
        <w:tc>
          <w:tcPr>
            <w:tcW w:w="7532" w:type="dxa"/>
            <w:shd w:val="clear" w:color="auto" w:fill="auto"/>
            <w:noWrap/>
            <w:hideMark/>
          </w:tcPr>
          <w:p w:rsidR="00EE4AC7" w:rsidRPr="00EE4AC7" w:rsidP="00EE4AC7" w14:paraId="31699ACA" w14:textId="77777777">
            <w:pPr>
              <w:widowControl/>
              <w:rPr>
                <w:snapToGrid/>
                <w:color w:val="000000"/>
                <w:kern w:val="0"/>
                <w:szCs w:val="22"/>
              </w:rPr>
            </w:pPr>
            <w:r w:rsidRPr="00EE4AC7">
              <w:rPr>
                <w:snapToGrid/>
                <w:color w:val="000000"/>
                <w:kern w:val="0"/>
                <w:szCs w:val="22"/>
              </w:rPr>
              <w:t>David Raines Community Health Center, Inc.</w:t>
            </w:r>
          </w:p>
        </w:tc>
      </w:tr>
      <w:tr w14:paraId="3E40E5CE"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0615AA7D" w14:textId="77777777">
            <w:pPr>
              <w:widowControl/>
              <w:rPr>
                <w:snapToGrid/>
                <w:color w:val="000000"/>
                <w:kern w:val="0"/>
                <w:szCs w:val="22"/>
              </w:rPr>
            </w:pPr>
            <w:r w:rsidRPr="00EE4AC7">
              <w:rPr>
                <w:snapToGrid/>
                <w:color w:val="000000"/>
                <w:kern w:val="0"/>
                <w:szCs w:val="22"/>
              </w:rPr>
              <w:t>GRA0013011</w:t>
            </w:r>
          </w:p>
        </w:tc>
        <w:tc>
          <w:tcPr>
            <w:tcW w:w="7532" w:type="dxa"/>
            <w:shd w:val="clear" w:color="auto" w:fill="auto"/>
            <w:noWrap/>
            <w:hideMark/>
          </w:tcPr>
          <w:p w:rsidR="00EE4AC7" w:rsidRPr="00EE4AC7" w:rsidP="00EE4AC7" w14:paraId="083A439F" w14:textId="77777777">
            <w:pPr>
              <w:widowControl/>
              <w:rPr>
                <w:snapToGrid/>
                <w:color w:val="000000"/>
                <w:kern w:val="0"/>
                <w:szCs w:val="22"/>
              </w:rPr>
            </w:pPr>
            <w:r w:rsidRPr="00EE4AC7">
              <w:rPr>
                <w:snapToGrid/>
                <w:color w:val="000000"/>
                <w:kern w:val="0"/>
                <w:szCs w:val="22"/>
              </w:rPr>
              <w:t>Summit Healthcare Association</w:t>
            </w:r>
          </w:p>
        </w:tc>
      </w:tr>
      <w:tr w14:paraId="1073DF46"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ABCEEC5" w14:textId="77777777">
            <w:pPr>
              <w:widowControl/>
              <w:rPr>
                <w:snapToGrid/>
                <w:color w:val="000000"/>
                <w:kern w:val="0"/>
                <w:szCs w:val="22"/>
              </w:rPr>
            </w:pPr>
            <w:r w:rsidRPr="00EE4AC7">
              <w:rPr>
                <w:snapToGrid/>
                <w:color w:val="000000"/>
                <w:kern w:val="0"/>
                <w:szCs w:val="22"/>
              </w:rPr>
              <w:t>GRA0013017</w:t>
            </w:r>
          </w:p>
        </w:tc>
        <w:tc>
          <w:tcPr>
            <w:tcW w:w="7532" w:type="dxa"/>
            <w:shd w:val="clear" w:color="auto" w:fill="auto"/>
            <w:noWrap/>
            <w:hideMark/>
          </w:tcPr>
          <w:p w:rsidR="00EE4AC7" w:rsidRPr="00EE4AC7" w:rsidP="00EE4AC7" w14:paraId="1D20DABA" w14:textId="77777777">
            <w:pPr>
              <w:widowControl/>
              <w:rPr>
                <w:snapToGrid/>
                <w:color w:val="000000"/>
                <w:kern w:val="0"/>
                <w:szCs w:val="22"/>
              </w:rPr>
            </w:pPr>
            <w:r w:rsidRPr="00EE4AC7">
              <w:rPr>
                <w:snapToGrid/>
                <w:color w:val="000000"/>
                <w:kern w:val="0"/>
                <w:szCs w:val="22"/>
              </w:rPr>
              <w:t>Fort Defiance Indian Hospital Board, Inc.</w:t>
            </w:r>
          </w:p>
        </w:tc>
      </w:tr>
      <w:tr w14:paraId="159B1BCE"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84941C4" w14:textId="77777777">
            <w:pPr>
              <w:widowControl/>
              <w:rPr>
                <w:snapToGrid/>
                <w:color w:val="000000"/>
                <w:kern w:val="0"/>
                <w:szCs w:val="22"/>
              </w:rPr>
            </w:pPr>
            <w:r w:rsidRPr="00EE4AC7">
              <w:rPr>
                <w:snapToGrid/>
                <w:color w:val="000000"/>
                <w:kern w:val="0"/>
                <w:szCs w:val="22"/>
              </w:rPr>
              <w:t>GRA0013029</w:t>
            </w:r>
          </w:p>
        </w:tc>
        <w:tc>
          <w:tcPr>
            <w:tcW w:w="7532" w:type="dxa"/>
            <w:shd w:val="clear" w:color="auto" w:fill="auto"/>
            <w:noWrap/>
            <w:hideMark/>
          </w:tcPr>
          <w:p w:rsidR="00EE4AC7" w:rsidRPr="00EE4AC7" w:rsidP="00EE4AC7" w14:paraId="3D6CE507" w14:textId="77777777">
            <w:pPr>
              <w:widowControl/>
              <w:rPr>
                <w:snapToGrid/>
                <w:color w:val="000000"/>
                <w:kern w:val="0"/>
                <w:szCs w:val="22"/>
              </w:rPr>
            </w:pPr>
            <w:r w:rsidRPr="00EE4AC7">
              <w:rPr>
                <w:snapToGrid/>
                <w:color w:val="000000"/>
                <w:kern w:val="0"/>
                <w:szCs w:val="22"/>
              </w:rPr>
              <w:t>Turning Point Community Programs</w:t>
            </w:r>
          </w:p>
        </w:tc>
      </w:tr>
      <w:tr w14:paraId="0CD5BC7B"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7A8674A4" w14:textId="77777777">
            <w:pPr>
              <w:widowControl/>
              <w:rPr>
                <w:snapToGrid/>
                <w:color w:val="000000"/>
                <w:kern w:val="0"/>
                <w:szCs w:val="22"/>
              </w:rPr>
            </w:pPr>
            <w:r w:rsidRPr="00EE4AC7">
              <w:rPr>
                <w:snapToGrid/>
                <w:color w:val="000000"/>
                <w:kern w:val="0"/>
                <w:szCs w:val="22"/>
              </w:rPr>
              <w:t>GRA0013098</w:t>
            </w:r>
          </w:p>
        </w:tc>
        <w:tc>
          <w:tcPr>
            <w:tcW w:w="7532" w:type="dxa"/>
            <w:shd w:val="clear" w:color="auto" w:fill="auto"/>
            <w:noWrap/>
            <w:hideMark/>
          </w:tcPr>
          <w:p w:rsidR="00EE4AC7" w:rsidRPr="00EE4AC7" w:rsidP="00EE4AC7" w14:paraId="1335AA5F" w14:textId="77777777">
            <w:pPr>
              <w:widowControl/>
              <w:rPr>
                <w:snapToGrid/>
                <w:color w:val="000000"/>
                <w:kern w:val="0"/>
                <w:szCs w:val="22"/>
              </w:rPr>
            </w:pPr>
            <w:r w:rsidRPr="00EE4AC7">
              <w:rPr>
                <w:snapToGrid/>
                <w:color w:val="000000"/>
                <w:kern w:val="0"/>
                <w:szCs w:val="22"/>
              </w:rPr>
              <w:t>Mid Coast Health Net</w:t>
            </w:r>
          </w:p>
        </w:tc>
      </w:tr>
      <w:tr w14:paraId="66AA3A00"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7EAC7679" w14:textId="77777777">
            <w:pPr>
              <w:widowControl/>
              <w:rPr>
                <w:snapToGrid/>
                <w:color w:val="000000"/>
                <w:kern w:val="0"/>
                <w:szCs w:val="22"/>
              </w:rPr>
            </w:pPr>
            <w:r w:rsidRPr="00EE4AC7">
              <w:rPr>
                <w:snapToGrid/>
                <w:color w:val="000000"/>
                <w:kern w:val="0"/>
                <w:szCs w:val="22"/>
              </w:rPr>
              <w:t>GRA0013113</w:t>
            </w:r>
          </w:p>
        </w:tc>
        <w:tc>
          <w:tcPr>
            <w:tcW w:w="7532" w:type="dxa"/>
            <w:shd w:val="clear" w:color="auto" w:fill="auto"/>
            <w:noWrap/>
            <w:hideMark/>
          </w:tcPr>
          <w:p w:rsidR="00EE4AC7" w:rsidRPr="00EE4AC7" w:rsidP="00EE4AC7" w14:paraId="3949FE36" w14:textId="77777777">
            <w:pPr>
              <w:widowControl/>
              <w:rPr>
                <w:snapToGrid/>
                <w:color w:val="000000"/>
                <w:kern w:val="0"/>
                <w:szCs w:val="22"/>
              </w:rPr>
            </w:pPr>
            <w:r w:rsidRPr="00EE4AC7">
              <w:rPr>
                <w:snapToGrid/>
                <w:color w:val="000000"/>
                <w:kern w:val="0"/>
                <w:szCs w:val="22"/>
              </w:rPr>
              <w:t>United Memorial Medical Center</w:t>
            </w:r>
          </w:p>
        </w:tc>
      </w:tr>
      <w:tr w14:paraId="74655FC7"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B8010C8" w14:textId="77777777">
            <w:pPr>
              <w:widowControl/>
              <w:rPr>
                <w:snapToGrid/>
                <w:color w:val="000000"/>
                <w:kern w:val="0"/>
                <w:szCs w:val="22"/>
              </w:rPr>
            </w:pPr>
            <w:r w:rsidRPr="00EE4AC7">
              <w:rPr>
                <w:snapToGrid/>
                <w:color w:val="000000"/>
                <w:kern w:val="0"/>
                <w:szCs w:val="22"/>
              </w:rPr>
              <w:t>GRA0013119</w:t>
            </w:r>
          </w:p>
        </w:tc>
        <w:tc>
          <w:tcPr>
            <w:tcW w:w="7532" w:type="dxa"/>
            <w:shd w:val="clear" w:color="auto" w:fill="auto"/>
            <w:noWrap/>
            <w:hideMark/>
          </w:tcPr>
          <w:p w:rsidR="00EE4AC7" w:rsidRPr="00EE4AC7" w:rsidP="00EE4AC7" w14:paraId="6B108904" w14:textId="117F4205">
            <w:pPr>
              <w:widowControl/>
              <w:rPr>
                <w:snapToGrid/>
                <w:color w:val="000000"/>
                <w:kern w:val="0"/>
                <w:szCs w:val="22"/>
              </w:rPr>
            </w:pPr>
            <w:r w:rsidRPr="00EE4AC7">
              <w:rPr>
                <w:snapToGrid/>
                <w:color w:val="000000"/>
                <w:kern w:val="0"/>
                <w:szCs w:val="22"/>
              </w:rPr>
              <w:t>Aunt Martha</w:t>
            </w:r>
            <w:r w:rsidR="004F141B">
              <w:rPr>
                <w:snapToGrid/>
                <w:color w:val="000000"/>
                <w:kern w:val="0"/>
                <w:szCs w:val="22"/>
              </w:rPr>
              <w:t>’</w:t>
            </w:r>
            <w:r w:rsidRPr="00EE4AC7">
              <w:rPr>
                <w:snapToGrid/>
                <w:color w:val="000000"/>
                <w:kern w:val="0"/>
                <w:szCs w:val="22"/>
              </w:rPr>
              <w:t>s Health and Wellness, Inc.</w:t>
            </w:r>
          </w:p>
        </w:tc>
      </w:tr>
      <w:tr w14:paraId="409BBBA6"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701842E9" w14:textId="77777777">
            <w:pPr>
              <w:widowControl/>
              <w:rPr>
                <w:snapToGrid/>
                <w:color w:val="000000"/>
                <w:kern w:val="0"/>
                <w:szCs w:val="22"/>
              </w:rPr>
            </w:pPr>
            <w:r w:rsidRPr="00EE4AC7">
              <w:rPr>
                <w:snapToGrid/>
                <w:color w:val="000000"/>
                <w:kern w:val="0"/>
                <w:szCs w:val="22"/>
              </w:rPr>
              <w:t>GRA0013123</w:t>
            </w:r>
          </w:p>
        </w:tc>
        <w:tc>
          <w:tcPr>
            <w:tcW w:w="7532" w:type="dxa"/>
            <w:shd w:val="clear" w:color="auto" w:fill="auto"/>
            <w:noWrap/>
            <w:hideMark/>
          </w:tcPr>
          <w:p w:rsidR="00EE4AC7" w:rsidRPr="00EE4AC7" w:rsidP="00EE4AC7" w14:paraId="6DCBDAF4" w14:textId="77777777">
            <w:pPr>
              <w:widowControl/>
              <w:rPr>
                <w:snapToGrid/>
                <w:color w:val="000000"/>
                <w:kern w:val="0"/>
                <w:szCs w:val="22"/>
              </w:rPr>
            </w:pPr>
            <w:r w:rsidRPr="00EE4AC7">
              <w:rPr>
                <w:snapToGrid/>
                <w:color w:val="000000"/>
                <w:kern w:val="0"/>
                <w:szCs w:val="22"/>
              </w:rPr>
              <w:t>Community Health Care, Inc.</w:t>
            </w:r>
          </w:p>
        </w:tc>
      </w:tr>
      <w:tr w14:paraId="3321203F"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17AB6A2" w14:textId="77777777">
            <w:pPr>
              <w:widowControl/>
              <w:rPr>
                <w:snapToGrid/>
                <w:color w:val="000000"/>
                <w:kern w:val="0"/>
                <w:szCs w:val="22"/>
              </w:rPr>
            </w:pPr>
            <w:r w:rsidRPr="00EE4AC7">
              <w:rPr>
                <w:snapToGrid/>
                <w:color w:val="000000"/>
                <w:kern w:val="0"/>
                <w:szCs w:val="22"/>
              </w:rPr>
              <w:t>GRA0013132</w:t>
            </w:r>
          </w:p>
        </w:tc>
        <w:tc>
          <w:tcPr>
            <w:tcW w:w="7532" w:type="dxa"/>
            <w:shd w:val="clear" w:color="auto" w:fill="auto"/>
            <w:noWrap/>
            <w:hideMark/>
          </w:tcPr>
          <w:p w:rsidR="00EE4AC7" w:rsidRPr="00EE4AC7" w:rsidP="00EE4AC7" w14:paraId="4BBD2AD6" w14:textId="77777777">
            <w:pPr>
              <w:widowControl/>
              <w:rPr>
                <w:snapToGrid/>
                <w:color w:val="000000"/>
                <w:kern w:val="0"/>
                <w:szCs w:val="22"/>
              </w:rPr>
            </w:pPr>
            <w:r w:rsidRPr="00EE4AC7">
              <w:rPr>
                <w:snapToGrid/>
                <w:color w:val="000000"/>
                <w:kern w:val="0"/>
                <w:szCs w:val="22"/>
              </w:rPr>
              <w:t>The Human Service Center</w:t>
            </w:r>
          </w:p>
        </w:tc>
      </w:tr>
      <w:tr w14:paraId="042EC36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8DED5D3" w14:textId="77777777">
            <w:pPr>
              <w:widowControl/>
              <w:rPr>
                <w:snapToGrid/>
                <w:color w:val="000000"/>
                <w:kern w:val="0"/>
                <w:szCs w:val="22"/>
              </w:rPr>
            </w:pPr>
            <w:r w:rsidRPr="00EE4AC7">
              <w:rPr>
                <w:snapToGrid/>
                <w:color w:val="000000"/>
                <w:kern w:val="0"/>
                <w:szCs w:val="22"/>
              </w:rPr>
              <w:t>GRA0013156</w:t>
            </w:r>
          </w:p>
        </w:tc>
        <w:tc>
          <w:tcPr>
            <w:tcW w:w="7532" w:type="dxa"/>
            <w:shd w:val="clear" w:color="auto" w:fill="auto"/>
            <w:noWrap/>
            <w:hideMark/>
          </w:tcPr>
          <w:p w:rsidR="00EE4AC7" w:rsidRPr="00EE4AC7" w:rsidP="00EE4AC7" w14:paraId="37BDB753" w14:textId="77777777">
            <w:pPr>
              <w:widowControl/>
              <w:rPr>
                <w:snapToGrid/>
                <w:color w:val="000000"/>
                <w:kern w:val="0"/>
                <w:szCs w:val="22"/>
              </w:rPr>
            </w:pPr>
            <w:r w:rsidRPr="00EE4AC7">
              <w:rPr>
                <w:snapToGrid/>
                <w:color w:val="000000"/>
                <w:kern w:val="0"/>
                <w:szCs w:val="22"/>
              </w:rPr>
              <w:t>Global Executive Council Services</w:t>
            </w:r>
          </w:p>
        </w:tc>
      </w:tr>
      <w:tr w14:paraId="7514F04D"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10BB8AA" w14:textId="77777777">
            <w:pPr>
              <w:widowControl/>
              <w:rPr>
                <w:snapToGrid/>
                <w:color w:val="000000"/>
                <w:kern w:val="0"/>
                <w:szCs w:val="22"/>
              </w:rPr>
            </w:pPr>
            <w:r w:rsidRPr="00EE4AC7">
              <w:rPr>
                <w:snapToGrid/>
                <w:color w:val="000000"/>
                <w:kern w:val="0"/>
                <w:szCs w:val="22"/>
              </w:rPr>
              <w:t>GRA0013260</w:t>
            </w:r>
          </w:p>
        </w:tc>
        <w:tc>
          <w:tcPr>
            <w:tcW w:w="7532" w:type="dxa"/>
            <w:shd w:val="clear" w:color="auto" w:fill="auto"/>
            <w:noWrap/>
            <w:hideMark/>
          </w:tcPr>
          <w:p w:rsidR="00EE4AC7" w:rsidRPr="00EE4AC7" w:rsidP="00EE4AC7" w14:paraId="09B80E9A" w14:textId="77777777">
            <w:pPr>
              <w:widowControl/>
              <w:rPr>
                <w:snapToGrid/>
                <w:color w:val="000000"/>
                <w:kern w:val="0"/>
                <w:szCs w:val="22"/>
              </w:rPr>
            </w:pPr>
            <w:r w:rsidRPr="00EE4AC7">
              <w:rPr>
                <w:snapToGrid/>
                <w:color w:val="000000"/>
                <w:kern w:val="0"/>
                <w:szCs w:val="22"/>
              </w:rPr>
              <w:t>Burnett Medical Center</w:t>
            </w:r>
          </w:p>
        </w:tc>
      </w:tr>
      <w:tr w14:paraId="3BBAA18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F53A951" w14:textId="77777777">
            <w:pPr>
              <w:widowControl/>
              <w:rPr>
                <w:snapToGrid/>
                <w:color w:val="000000"/>
                <w:kern w:val="0"/>
                <w:szCs w:val="22"/>
              </w:rPr>
            </w:pPr>
            <w:r w:rsidRPr="00EE4AC7">
              <w:rPr>
                <w:snapToGrid/>
                <w:color w:val="000000"/>
                <w:kern w:val="0"/>
                <w:szCs w:val="22"/>
              </w:rPr>
              <w:t>GRA0013325</w:t>
            </w:r>
          </w:p>
        </w:tc>
        <w:tc>
          <w:tcPr>
            <w:tcW w:w="7532" w:type="dxa"/>
            <w:shd w:val="clear" w:color="auto" w:fill="auto"/>
            <w:noWrap/>
            <w:hideMark/>
          </w:tcPr>
          <w:p w:rsidR="00EE4AC7" w:rsidRPr="00EE4AC7" w:rsidP="00EE4AC7" w14:paraId="07935F45" w14:textId="77777777">
            <w:pPr>
              <w:widowControl/>
              <w:rPr>
                <w:snapToGrid/>
                <w:color w:val="000000"/>
                <w:kern w:val="0"/>
                <w:szCs w:val="22"/>
              </w:rPr>
            </w:pPr>
            <w:r w:rsidRPr="00EE4AC7">
              <w:rPr>
                <w:snapToGrid/>
                <w:color w:val="000000"/>
                <w:kern w:val="0"/>
                <w:szCs w:val="22"/>
              </w:rPr>
              <w:t>University of South Alabama (USA) Health System</w:t>
            </w:r>
          </w:p>
        </w:tc>
      </w:tr>
      <w:tr w14:paraId="5D8F3D74"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01D45CA4" w14:textId="77777777">
            <w:pPr>
              <w:widowControl/>
              <w:rPr>
                <w:snapToGrid/>
                <w:color w:val="000000"/>
                <w:kern w:val="0"/>
                <w:szCs w:val="22"/>
              </w:rPr>
            </w:pPr>
            <w:r w:rsidRPr="00EE4AC7">
              <w:rPr>
                <w:snapToGrid/>
                <w:color w:val="000000"/>
                <w:kern w:val="0"/>
                <w:szCs w:val="22"/>
              </w:rPr>
              <w:t>GRA0013345</w:t>
            </w:r>
          </w:p>
        </w:tc>
        <w:tc>
          <w:tcPr>
            <w:tcW w:w="7532" w:type="dxa"/>
            <w:shd w:val="clear" w:color="auto" w:fill="auto"/>
            <w:noWrap/>
            <w:hideMark/>
          </w:tcPr>
          <w:p w:rsidR="00EE4AC7" w:rsidRPr="00EE4AC7" w:rsidP="00EE4AC7" w14:paraId="4AF2BED1" w14:textId="77777777">
            <w:pPr>
              <w:widowControl/>
              <w:rPr>
                <w:snapToGrid/>
                <w:color w:val="000000"/>
                <w:kern w:val="0"/>
                <w:szCs w:val="22"/>
              </w:rPr>
            </w:pPr>
            <w:r w:rsidRPr="00EE4AC7">
              <w:rPr>
                <w:snapToGrid/>
                <w:color w:val="000000"/>
                <w:kern w:val="0"/>
                <w:szCs w:val="22"/>
              </w:rPr>
              <w:t>Seven Acres Jewish Senior Care Services</w:t>
            </w:r>
          </w:p>
        </w:tc>
      </w:tr>
      <w:tr w14:paraId="7E58307D"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B3580B4" w14:textId="77777777">
            <w:pPr>
              <w:widowControl/>
              <w:rPr>
                <w:snapToGrid/>
                <w:color w:val="000000"/>
                <w:kern w:val="0"/>
                <w:szCs w:val="22"/>
              </w:rPr>
            </w:pPr>
            <w:r w:rsidRPr="00EE4AC7">
              <w:rPr>
                <w:snapToGrid/>
                <w:color w:val="000000"/>
                <w:kern w:val="0"/>
                <w:szCs w:val="22"/>
              </w:rPr>
              <w:t>GRA0013370</w:t>
            </w:r>
          </w:p>
        </w:tc>
        <w:tc>
          <w:tcPr>
            <w:tcW w:w="7532" w:type="dxa"/>
            <w:shd w:val="clear" w:color="auto" w:fill="auto"/>
            <w:noWrap/>
            <w:hideMark/>
          </w:tcPr>
          <w:p w:rsidR="00EE4AC7" w:rsidRPr="00EE4AC7" w:rsidP="00EE4AC7" w14:paraId="2E975302" w14:textId="77777777">
            <w:pPr>
              <w:widowControl/>
              <w:rPr>
                <w:snapToGrid/>
                <w:color w:val="000000"/>
                <w:kern w:val="0"/>
                <w:szCs w:val="22"/>
              </w:rPr>
            </w:pPr>
            <w:r w:rsidRPr="00EE4AC7">
              <w:rPr>
                <w:snapToGrid/>
                <w:color w:val="000000"/>
                <w:kern w:val="0"/>
                <w:szCs w:val="22"/>
              </w:rPr>
              <w:t>Advance Care Alliance</w:t>
            </w:r>
          </w:p>
        </w:tc>
      </w:tr>
      <w:tr w14:paraId="055F3881"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8493787" w14:textId="77777777">
            <w:pPr>
              <w:widowControl/>
              <w:rPr>
                <w:snapToGrid/>
                <w:color w:val="000000"/>
                <w:kern w:val="0"/>
                <w:szCs w:val="22"/>
              </w:rPr>
            </w:pPr>
            <w:r w:rsidRPr="00EE4AC7">
              <w:rPr>
                <w:snapToGrid/>
                <w:color w:val="000000"/>
                <w:kern w:val="0"/>
                <w:szCs w:val="22"/>
              </w:rPr>
              <w:t>GRA0013383</w:t>
            </w:r>
          </w:p>
        </w:tc>
        <w:tc>
          <w:tcPr>
            <w:tcW w:w="7532" w:type="dxa"/>
            <w:shd w:val="clear" w:color="auto" w:fill="auto"/>
            <w:noWrap/>
            <w:hideMark/>
          </w:tcPr>
          <w:p w:rsidR="00EE4AC7" w:rsidRPr="00EE4AC7" w:rsidP="00EE4AC7" w14:paraId="4BE4034B" w14:textId="77777777">
            <w:pPr>
              <w:widowControl/>
              <w:rPr>
                <w:snapToGrid/>
                <w:color w:val="000000"/>
                <w:kern w:val="0"/>
                <w:szCs w:val="22"/>
              </w:rPr>
            </w:pPr>
            <w:r w:rsidRPr="00EE4AC7">
              <w:rPr>
                <w:snapToGrid/>
                <w:color w:val="000000"/>
                <w:kern w:val="0"/>
                <w:szCs w:val="22"/>
              </w:rPr>
              <w:t>Florida Community Health Centers, Inc.</w:t>
            </w:r>
          </w:p>
        </w:tc>
      </w:tr>
      <w:tr w14:paraId="1B9BDE38"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10761B0" w14:textId="77777777">
            <w:pPr>
              <w:widowControl/>
              <w:rPr>
                <w:snapToGrid/>
                <w:color w:val="000000"/>
                <w:kern w:val="0"/>
                <w:szCs w:val="22"/>
              </w:rPr>
            </w:pPr>
            <w:r w:rsidRPr="00EE4AC7">
              <w:rPr>
                <w:snapToGrid/>
                <w:color w:val="000000"/>
                <w:kern w:val="0"/>
                <w:szCs w:val="22"/>
              </w:rPr>
              <w:t>GRA0013400</w:t>
            </w:r>
          </w:p>
        </w:tc>
        <w:tc>
          <w:tcPr>
            <w:tcW w:w="7532" w:type="dxa"/>
            <w:shd w:val="clear" w:color="auto" w:fill="auto"/>
            <w:noWrap/>
            <w:hideMark/>
          </w:tcPr>
          <w:p w:rsidR="00EE4AC7" w:rsidRPr="00EE4AC7" w:rsidP="00EE4AC7" w14:paraId="033B78F4" w14:textId="77777777">
            <w:pPr>
              <w:widowControl/>
              <w:rPr>
                <w:snapToGrid/>
                <w:color w:val="000000"/>
                <w:kern w:val="0"/>
                <w:szCs w:val="22"/>
              </w:rPr>
            </w:pPr>
            <w:r w:rsidRPr="00EE4AC7">
              <w:rPr>
                <w:snapToGrid/>
                <w:color w:val="000000"/>
                <w:kern w:val="0"/>
                <w:szCs w:val="22"/>
              </w:rPr>
              <w:t>North Oklahoma County Mental Health Center</w:t>
            </w:r>
          </w:p>
        </w:tc>
      </w:tr>
      <w:tr w14:paraId="58B53629"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5A8B8F4" w14:textId="77777777">
            <w:pPr>
              <w:widowControl/>
              <w:rPr>
                <w:snapToGrid/>
                <w:color w:val="000000"/>
                <w:kern w:val="0"/>
                <w:szCs w:val="22"/>
              </w:rPr>
            </w:pPr>
            <w:r w:rsidRPr="00EE4AC7">
              <w:rPr>
                <w:snapToGrid/>
                <w:color w:val="000000"/>
                <w:kern w:val="0"/>
                <w:szCs w:val="22"/>
              </w:rPr>
              <w:t>GRA0013435</w:t>
            </w:r>
          </w:p>
        </w:tc>
        <w:tc>
          <w:tcPr>
            <w:tcW w:w="7532" w:type="dxa"/>
            <w:shd w:val="clear" w:color="auto" w:fill="auto"/>
            <w:noWrap/>
            <w:hideMark/>
          </w:tcPr>
          <w:p w:rsidR="00EE4AC7" w:rsidRPr="00EE4AC7" w:rsidP="00EE4AC7" w14:paraId="74CC325E" w14:textId="77777777">
            <w:pPr>
              <w:widowControl/>
              <w:rPr>
                <w:snapToGrid/>
                <w:color w:val="000000"/>
                <w:kern w:val="0"/>
                <w:szCs w:val="22"/>
              </w:rPr>
            </w:pPr>
            <w:r w:rsidRPr="00EE4AC7">
              <w:rPr>
                <w:snapToGrid/>
                <w:color w:val="000000"/>
                <w:kern w:val="0"/>
                <w:szCs w:val="22"/>
              </w:rPr>
              <w:t>Sacred Heart</w:t>
            </w:r>
          </w:p>
        </w:tc>
      </w:tr>
      <w:tr w14:paraId="1BE79BAD"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AEBA008" w14:textId="77777777">
            <w:pPr>
              <w:widowControl/>
              <w:rPr>
                <w:snapToGrid/>
                <w:color w:val="000000"/>
                <w:kern w:val="0"/>
                <w:szCs w:val="22"/>
              </w:rPr>
            </w:pPr>
            <w:r w:rsidRPr="00EE4AC7">
              <w:rPr>
                <w:snapToGrid/>
                <w:color w:val="000000"/>
                <w:kern w:val="0"/>
                <w:szCs w:val="22"/>
              </w:rPr>
              <w:t>GRA0013439</w:t>
            </w:r>
          </w:p>
        </w:tc>
        <w:tc>
          <w:tcPr>
            <w:tcW w:w="7532" w:type="dxa"/>
            <w:shd w:val="clear" w:color="auto" w:fill="auto"/>
            <w:noWrap/>
            <w:hideMark/>
          </w:tcPr>
          <w:p w:rsidR="00EE4AC7" w:rsidRPr="00EE4AC7" w:rsidP="00EE4AC7" w14:paraId="7C672446" w14:textId="77777777">
            <w:pPr>
              <w:widowControl/>
              <w:rPr>
                <w:snapToGrid/>
                <w:color w:val="000000"/>
                <w:kern w:val="0"/>
                <w:szCs w:val="22"/>
              </w:rPr>
            </w:pPr>
            <w:r w:rsidRPr="00EE4AC7">
              <w:rPr>
                <w:snapToGrid/>
                <w:color w:val="000000"/>
                <w:kern w:val="0"/>
                <w:szCs w:val="22"/>
              </w:rPr>
              <w:t>Suburban Adult Services, Inc.</w:t>
            </w:r>
          </w:p>
        </w:tc>
      </w:tr>
      <w:tr w14:paraId="143808D4"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F4BF445" w14:textId="77777777">
            <w:pPr>
              <w:widowControl/>
              <w:rPr>
                <w:snapToGrid/>
                <w:color w:val="000000"/>
                <w:kern w:val="0"/>
                <w:szCs w:val="22"/>
              </w:rPr>
            </w:pPr>
            <w:r w:rsidRPr="00EE4AC7">
              <w:rPr>
                <w:snapToGrid/>
                <w:color w:val="000000"/>
                <w:kern w:val="0"/>
                <w:szCs w:val="22"/>
              </w:rPr>
              <w:t>GRA0013491</w:t>
            </w:r>
          </w:p>
        </w:tc>
        <w:tc>
          <w:tcPr>
            <w:tcW w:w="7532" w:type="dxa"/>
            <w:shd w:val="clear" w:color="auto" w:fill="auto"/>
            <w:noWrap/>
            <w:hideMark/>
          </w:tcPr>
          <w:p w:rsidR="00EE4AC7" w:rsidRPr="00EE4AC7" w:rsidP="00EE4AC7" w14:paraId="3FE6CC4A" w14:textId="77777777">
            <w:pPr>
              <w:widowControl/>
              <w:rPr>
                <w:snapToGrid/>
                <w:color w:val="000000"/>
                <w:kern w:val="0"/>
                <w:szCs w:val="22"/>
              </w:rPr>
            </w:pPr>
            <w:r w:rsidRPr="00EE4AC7">
              <w:rPr>
                <w:snapToGrid/>
                <w:color w:val="000000"/>
                <w:kern w:val="0"/>
                <w:szCs w:val="22"/>
              </w:rPr>
              <w:t xml:space="preserve">Community Health &amp; Emergency Services, Inc. </w:t>
            </w:r>
          </w:p>
        </w:tc>
      </w:tr>
      <w:tr w14:paraId="0230B8A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4B76D9B" w14:textId="77777777">
            <w:pPr>
              <w:widowControl/>
              <w:rPr>
                <w:snapToGrid/>
                <w:color w:val="000000"/>
                <w:kern w:val="0"/>
                <w:szCs w:val="22"/>
              </w:rPr>
            </w:pPr>
            <w:r w:rsidRPr="00EE4AC7">
              <w:rPr>
                <w:snapToGrid/>
                <w:color w:val="000000"/>
                <w:kern w:val="0"/>
                <w:szCs w:val="22"/>
              </w:rPr>
              <w:t>GRA0013555</w:t>
            </w:r>
          </w:p>
        </w:tc>
        <w:tc>
          <w:tcPr>
            <w:tcW w:w="7532" w:type="dxa"/>
            <w:shd w:val="clear" w:color="auto" w:fill="auto"/>
            <w:noWrap/>
            <w:hideMark/>
          </w:tcPr>
          <w:p w:rsidR="00EE4AC7" w:rsidRPr="00EE4AC7" w:rsidP="00EE4AC7" w14:paraId="4BF49CD0" w14:textId="77777777">
            <w:pPr>
              <w:widowControl/>
              <w:rPr>
                <w:snapToGrid/>
                <w:color w:val="000000"/>
                <w:kern w:val="0"/>
                <w:szCs w:val="22"/>
              </w:rPr>
            </w:pPr>
            <w:r w:rsidRPr="00EE4AC7">
              <w:rPr>
                <w:snapToGrid/>
                <w:color w:val="000000"/>
                <w:kern w:val="0"/>
                <w:szCs w:val="22"/>
              </w:rPr>
              <w:t>Upper Peninsula Health Care Solutions &amp; Health Information Exchange</w:t>
            </w:r>
          </w:p>
        </w:tc>
      </w:tr>
      <w:tr w14:paraId="3788A549"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229618C" w14:textId="77777777">
            <w:pPr>
              <w:widowControl/>
              <w:rPr>
                <w:snapToGrid/>
                <w:color w:val="000000"/>
                <w:kern w:val="0"/>
                <w:szCs w:val="22"/>
              </w:rPr>
            </w:pPr>
            <w:r w:rsidRPr="00EE4AC7">
              <w:rPr>
                <w:snapToGrid/>
                <w:color w:val="000000"/>
                <w:kern w:val="0"/>
                <w:szCs w:val="22"/>
              </w:rPr>
              <w:t>GRA0013561</w:t>
            </w:r>
          </w:p>
        </w:tc>
        <w:tc>
          <w:tcPr>
            <w:tcW w:w="7532" w:type="dxa"/>
            <w:shd w:val="clear" w:color="auto" w:fill="auto"/>
            <w:noWrap/>
            <w:hideMark/>
          </w:tcPr>
          <w:p w:rsidR="00EE4AC7" w:rsidRPr="00EE4AC7" w:rsidP="00EE4AC7" w14:paraId="28900125" w14:textId="77777777">
            <w:pPr>
              <w:widowControl/>
              <w:rPr>
                <w:snapToGrid/>
                <w:color w:val="000000"/>
                <w:kern w:val="0"/>
                <w:szCs w:val="22"/>
              </w:rPr>
            </w:pPr>
            <w:r w:rsidRPr="00EE4AC7">
              <w:rPr>
                <w:snapToGrid/>
                <w:color w:val="000000"/>
                <w:kern w:val="0"/>
                <w:szCs w:val="22"/>
              </w:rPr>
              <w:t>San Bernardino County Superintendent of Schools - CAHELP</w:t>
            </w:r>
          </w:p>
        </w:tc>
      </w:tr>
      <w:tr w14:paraId="489C0889"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039A7E1" w14:textId="77777777">
            <w:pPr>
              <w:widowControl/>
              <w:rPr>
                <w:snapToGrid/>
                <w:color w:val="000000"/>
                <w:kern w:val="0"/>
                <w:szCs w:val="22"/>
              </w:rPr>
            </w:pPr>
            <w:r w:rsidRPr="00EE4AC7">
              <w:rPr>
                <w:snapToGrid/>
                <w:color w:val="000000"/>
                <w:kern w:val="0"/>
                <w:szCs w:val="22"/>
              </w:rPr>
              <w:t xml:space="preserve">GRA0013563 </w:t>
            </w:r>
          </w:p>
        </w:tc>
        <w:tc>
          <w:tcPr>
            <w:tcW w:w="7532" w:type="dxa"/>
            <w:shd w:val="clear" w:color="auto" w:fill="auto"/>
            <w:noWrap/>
            <w:hideMark/>
          </w:tcPr>
          <w:p w:rsidR="00EE4AC7" w:rsidRPr="00EE4AC7" w:rsidP="00EE4AC7" w14:paraId="0EEA2BB9" w14:textId="77777777">
            <w:pPr>
              <w:widowControl/>
              <w:rPr>
                <w:snapToGrid/>
                <w:color w:val="000000"/>
                <w:kern w:val="0"/>
                <w:szCs w:val="22"/>
              </w:rPr>
            </w:pPr>
            <w:r w:rsidRPr="00EE4AC7">
              <w:rPr>
                <w:snapToGrid/>
                <w:color w:val="000000"/>
                <w:kern w:val="0"/>
                <w:szCs w:val="22"/>
              </w:rPr>
              <w:t>Center for Evaluation and Counseling</w:t>
            </w:r>
          </w:p>
        </w:tc>
      </w:tr>
      <w:tr w14:paraId="75120580"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5004FAE" w14:textId="77777777">
            <w:pPr>
              <w:widowControl/>
              <w:rPr>
                <w:snapToGrid/>
                <w:color w:val="000000"/>
                <w:kern w:val="0"/>
                <w:szCs w:val="22"/>
              </w:rPr>
            </w:pPr>
            <w:r w:rsidRPr="00EE4AC7">
              <w:rPr>
                <w:snapToGrid/>
                <w:color w:val="000000"/>
                <w:kern w:val="0"/>
                <w:szCs w:val="22"/>
              </w:rPr>
              <w:t>GRA0013567</w:t>
            </w:r>
          </w:p>
        </w:tc>
        <w:tc>
          <w:tcPr>
            <w:tcW w:w="7532" w:type="dxa"/>
            <w:shd w:val="clear" w:color="auto" w:fill="auto"/>
            <w:noWrap/>
            <w:hideMark/>
          </w:tcPr>
          <w:p w:rsidR="00EE4AC7" w:rsidRPr="00EE4AC7" w:rsidP="00EE4AC7" w14:paraId="17FD8CDF" w14:textId="77777777">
            <w:pPr>
              <w:widowControl/>
              <w:rPr>
                <w:snapToGrid/>
                <w:color w:val="000000"/>
                <w:kern w:val="0"/>
                <w:szCs w:val="22"/>
              </w:rPr>
            </w:pPr>
            <w:r w:rsidRPr="00EE4AC7">
              <w:rPr>
                <w:snapToGrid/>
                <w:color w:val="000000"/>
                <w:kern w:val="0"/>
                <w:szCs w:val="22"/>
              </w:rPr>
              <w:t>New York State Office of Mental Health</w:t>
            </w:r>
          </w:p>
        </w:tc>
      </w:tr>
      <w:tr w14:paraId="6114B5B8"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F69EC12" w14:textId="77777777">
            <w:pPr>
              <w:widowControl/>
              <w:rPr>
                <w:snapToGrid/>
                <w:color w:val="000000"/>
                <w:kern w:val="0"/>
                <w:szCs w:val="22"/>
              </w:rPr>
            </w:pPr>
            <w:r w:rsidRPr="00EE4AC7">
              <w:rPr>
                <w:snapToGrid/>
                <w:color w:val="000000"/>
                <w:kern w:val="0"/>
                <w:szCs w:val="22"/>
              </w:rPr>
              <w:t>GRA0013600</w:t>
            </w:r>
          </w:p>
        </w:tc>
        <w:tc>
          <w:tcPr>
            <w:tcW w:w="7532" w:type="dxa"/>
            <w:shd w:val="clear" w:color="auto" w:fill="auto"/>
            <w:noWrap/>
            <w:hideMark/>
          </w:tcPr>
          <w:p w:rsidR="00EE4AC7" w:rsidRPr="00EE4AC7" w:rsidP="00EE4AC7" w14:paraId="2D925006" w14:textId="77777777">
            <w:pPr>
              <w:widowControl/>
              <w:rPr>
                <w:snapToGrid/>
                <w:color w:val="000000"/>
                <w:kern w:val="0"/>
                <w:szCs w:val="22"/>
              </w:rPr>
            </w:pPr>
            <w:r w:rsidRPr="00EE4AC7">
              <w:rPr>
                <w:snapToGrid/>
                <w:color w:val="000000"/>
                <w:kern w:val="0"/>
                <w:szCs w:val="22"/>
              </w:rPr>
              <w:t>Midwest Christian Villages, Inc. d/b/a Christian Horizons</w:t>
            </w:r>
          </w:p>
        </w:tc>
      </w:tr>
      <w:tr w14:paraId="28963CAE"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728C2EE1" w14:textId="77777777">
            <w:pPr>
              <w:widowControl/>
              <w:rPr>
                <w:snapToGrid/>
                <w:color w:val="000000"/>
                <w:kern w:val="0"/>
                <w:szCs w:val="22"/>
              </w:rPr>
            </w:pPr>
            <w:r w:rsidRPr="00EE4AC7">
              <w:rPr>
                <w:snapToGrid/>
                <w:color w:val="000000"/>
                <w:kern w:val="0"/>
                <w:szCs w:val="22"/>
              </w:rPr>
              <w:t xml:space="preserve">GRA0013646 </w:t>
            </w:r>
          </w:p>
        </w:tc>
        <w:tc>
          <w:tcPr>
            <w:tcW w:w="7532" w:type="dxa"/>
            <w:shd w:val="clear" w:color="auto" w:fill="auto"/>
            <w:noWrap/>
            <w:hideMark/>
          </w:tcPr>
          <w:p w:rsidR="00EE4AC7" w:rsidRPr="00EE4AC7" w:rsidP="00EE4AC7" w14:paraId="06EF622E" w14:textId="0B0D2727">
            <w:pPr>
              <w:widowControl/>
              <w:rPr>
                <w:snapToGrid/>
                <w:color w:val="000000"/>
                <w:kern w:val="0"/>
                <w:szCs w:val="22"/>
              </w:rPr>
            </w:pPr>
            <w:r w:rsidRPr="00EE4AC7">
              <w:rPr>
                <w:snapToGrid/>
                <w:color w:val="000000"/>
                <w:kern w:val="0"/>
                <w:szCs w:val="22"/>
              </w:rPr>
              <w:t>Valley Children</w:t>
            </w:r>
            <w:r w:rsidR="004F141B">
              <w:rPr>
                <w:snapToGrid/>
                <w:color w:val="000000"/>
                <w:kern w:val="0"/>
                <w:szCs w:val="22"/>
              </w:rPr>
              <w:t>’</w:t>
            </w:r>
            <w:r w:rsidRPr="00EE4AC7">
              <w:rPr>
                <w:snapToGrid/>
                <w:color w:val="000000"/>
                <w:kern w:val="0"/>
                <w:szCs w:val="22"/>
              </w:rPr>
              <w:t>s Hospital</w:t>
            </w:r>
          </w:p>
        </w:tc>
      </w:tr>
      <w:tr w14:paraId="639D92E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6A29B01" w14:textId="77777777">
            <w:pPr>
              <w:widowControl/>
              <w:rPr>
                <w:snapToGrid/>
                <w:color w:val="000000"/>
                <w:kern w:val="0"/>
                <w:szCs w:val="22"/>
              </w:rPr>
            </w:pPr>
            <w:r w:rsidRPr="00EE4AC7">
              <w:rPr>
                <w:snapToGrid/>
                <w:color w:val="000000"/>
                <w:kern w:val="0"/>
                <w:szCs w:val="22"/>
              </w:rPr>
              <w:t>GRA0013689</w:t>
            </w:r>
          </w:p>
        </w:tc>
        <w:tc>
          <w:tcPr>
            <w:tcW w:w="7532" w:type="dxa"/>
            <w:shd w:val="clear" w:color="auto" w:fill="auto"/>
            <w:noWrap/>
            <w:hideMark/>
          </w:tcPr>
          <w:p w:rsidR="00EE4AC7" w:rsidRPr="00EE4AC7" w:rsidP="00EE4AC7" w14:paraId="47214D41" w14:textId="77777777">
            <w:pPr>
              <w:widowControl/>
              <w:rPr>
                <w:snapToGrid/>
                <w:color w:val="000000"/>
                <w:kern w:val="0"/>
                <w:szCs w:val="22"/>
              </w:rPr>
            </w:pPr>
            <w:r w:rsidRPr="00EE4AC7">
              <w:rPr>
                <w:snapToGrid/>
                <w:color w:val="000000"/>
                <w:kern w:val="0"/>
                <w:szCs w:val="22"/>
              </w:rPr>
              <w:t>CHRISTUS Health</w:t>
            </w:r>
          </w:p>
        </w:tc>
      </w:tr>
      <w:tr w14:paraId="4D8E048E"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F1A5F8C" w14:textId="77777777">
            <w:pPr>
              <w:widowControl/>
              <w:rPr>
                <w:snapToGrid/>
                <w:color w:val="000000"/>
                <w:kern w:val="0"/>
                <w:szCs w:val="22"/>
              </w:rPr>
            </w:pPr>
            <w:r w:rsidRPr="00EE4AC7">
              <w:rPr>
                <w:snapToGrid/>
                <w:color w:val="000000"/>
                <w:kern w:val="0"/>
                <w:szCs w:val="22"/>
              </w:rPr>
              <w:t>GRA0013699</w:t>
            </w:r>
          </w:p>
        </w:tc>
        <w:tc>
          <w:tcPr>
            <w:tcW w:w="7532" w:type="dxa"/>
            <w:shd w:val="clear" w:color="auto" w:fill="auto"/>
            <w:noWrap/>
            <w:hideMark/>
          </w:tcPr>
          <w:p w:rsidR="00EE4AC7" w:rsidRPr="00EE4AC7" w:rsidP="00EE4AC7" w14:paraId="21D04259" w14:textId="77777777">
            <w:pPr>
              <w:widowControl/>
              <w:rPr>
                <w:snapToGrid/>
                <w:color w:val="000000"/>
                <w:kern w:val="0"/>
                <w:szCs w:val="22"/>
              </w:rPr>
            </w:pPr>
            <w:r w:rsidRPr="00EE4AC7">
              <w:rPr>
                <w:snapToGrid/>
                <w:color w:val="000000"/>
                <w:kern w:val="0"/>
                <w:szCs w:val="22"/>
              </w:rPr>
              <w:t>Restaurando la Fe y Esperanza</w:t>
            </w:r>
          </w:p>
        </w:tc>
      </w:tr>
      <w:tr w14:paraId="458528A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5C51AC94" w14:textId="77777777">
            <w:pPr>
              <w:widowControl/>
              <w:rPr>
                <w:snapToGrid/>
                <w:color w:val="000000"/>
                <w:kern w:val="0"/>
                <w:szCs w:val="22"/>
              </w:rPr>
            </w:pPr>
            <w:r w:rsidRPr="00EE4AC7">
              <w:rPr>
                <w:snapToGrid/>
                <w:color w:val="000000"/>
                <w:kern w:val="0"/>
                <w:szCs w:val="22"/>
              </w:rPr>
              <w:t>GRA0013716</w:t>
            </w:r>
          </w:p>
        </w:tc>
        <w:tc>
          <w:tcPr>
            <w:tcW w:w="7532" w:type="dxa"/>
            <w:shd w:val="clear" w:color="auto" w:fill="auto"/>
            <w:noWrap/>
            <w:hideMark/>
          </w:tcPr>
          <w:p w:rsidR="00EE4AC7" w:rsidRPr="00EE4AC7" w:rsidP="00EE4AC7" w14:paraId="4456804F" w14:textId="77777777">
            <w:pPr>
              <w:widowControl/>
              <w:rPr>
                <w:snapToGrid/>
                <w:color w:val="000000"/>
                <w:kern w:val="0"/>
                <w:szCs w:val="22"/>
              </w:rPr>
            </w:pPr>
            <w:r w:rsidRPr="00EE4AC7">
              <w:rPr>
                <w:snapToGrid/>
                <w:color w:val="000000"/>
                <w:kern w:val="0"/>
                <w:szCs w:val="22"/>
              </w:rPr>
              <w:t>The SAFE Alliance</w:t>
            </w:r>
          </w:p>
        </w:tc>
      </w:tr>
      <w:tr w14:paraId="5F241901"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0761D63" w14:textId="77777777">
            <w:pPr>
              <w:widowControl/>
              <w:rPr>
                <w:snapToGrid/>
                <w:color w:val="000000"/>
                <w:kern w:val="0"/>
                <w:szCs w:val="22"/>
              </w:rPr>
            </w:pPr>
            <w:r w:rsidRPr="00EE4AC7">
              <w:rPr>
                <w:snapToGrid/>
                <w:color w:val="000000"/>
                <w:kern w:val="0"/>
                <w:szCs w:val="22"/>
              </w:rPr>
              <w:t>GRA0013728</w:t>
            </w:r>
          </w:p>
        </w:tc>
        <w:tc>
          <w:tcPr>
            <w:tcW w:w="7532" w:type="dxa"/>
            <w:shd w:val="clear" w:color="auto" w:fill="auto"/>
            <w:noWrap/>
            <w:hideMark/>
          </w:tcPr>
          <w:p w:rsidR="00EE4AC7" w:rsidRPr="00EE4AC7" w:rsidP="00EE4AC7" w14:paraId="6E521CB4" w14:textId="77777777">
            <w:pPr>
              <w:widowControl/>
              <w:rPr>
                <w:snapToGrid/>
                <w:color w:val="000000"/>
                <w:kern w:val="0"/>
                <w:szCs w:val="22"/>
              </w:rPr>
            </w:pPr>
            <w:r w:rsidRPr="00EE4AC7">
              <w:rPr>
                <w:snapToGrid/>
                <w:color w:val="000000"/>
                <w:kern w:val="0"/>
                <w:szCs w:val="22"/>
              </w:rPr>
              <w:t>Mobile Medical Care, Inc.</w:t>
            </w:r>
          </w:p>
        </w:tc>
      </w:tr>
      <w:tr w14:paraId="4FBA7F65"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06E01FB2" w14:textId="77777777">
            <w:pPr>
              <w:widowControl/>
              <w:rPr>
                <w:snapToGrid/>
                <w:color w:val="000000"/>
                <w:kern w:val="0"/>
                <w:szCs w:val="22"/>
              </w:rPr>
            </w:pPr>
            <w:r w:rsidRPr="00EE4AC7">
              <w:rPr>
                <w:snapToGrid/>
                <w:color w:val="000000"/>
                <w:kern w:val="0"/>
                <w:szCs w:val="22"/>
              </w:rPr>
              <w:t>GRA0013878</w:t>
            </w:r>
          </w:p>
        </w:tc>
        <w:tc>
          <w:tcPr>
            <w:tcW w:w="7532" w:type="dxa"/>
            <w:shd w:val="clear" w:color="auto" w:fill="auto"/>
            <w:noWrap/>
            <w:hideMark/>
          </w:tcPr>
          <w:p w:rsidR="00EE4AC7" w:rsidRPr="00EE4AC7" w:rsidP="00EE4AC7" w14:paraId="5F2CAB75" w14:textId="77777777">
            <w:pPr>
              <w:widowControl/>
              <w:rPr>
                <w:snapToGrid/>
                <w:color w:val="000000"/>
                <w:kern w:val="0"/>
                <w:szCs w:val="22"/>
              </w:rPr>
            </w:pPr>
            <w:r w:rsidRPr="00EE4AC7">
              <w:rPr>
                <w:snapToGrid/>
                <w:color w:val="000000"/>
                <w:kern w:val="0"/>
                <w:szCs w:val="22"/>
              </w:rPr>
              <w:t>Augusta University</w:t>
            </w:r>
          </w:p>
        </w:tc>
      </w:tr>
      <w:tr w14:paraId="7FA65D0B"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40B62201" w14:textId="77777777">
            <w:pPr>
              <w:widowControl/>
              <w:rPr>
                <w:snapToGrid/>
                <w:color w:val="000000"/>
                <w:kern w:val="0"/>
                <w:szCs w:val="22"/>
              </w:rPr>
            </w:pPr>
            <w:r w:rsidRPr="00EE4AC7">
              <w:rPr>
                <w:snapToGrid/>
                <w:color w:val="000000"/>
                <w:kern w:val="0"/>
                <w:szCs w:val="22"/>
              </w:rPr>
              <w:t>GRA0013910</w:t>
            </w:r>
          </w:p>
        </w:tc>
        <w:tc>
          <w:tcPr>
            <w:tcW w:w="7532" w:type="dxa"/>
            <w:shd w:val="clear" w:color="auto" w:fill="auto"/>
            <w:noWrap/>
            <w:hideMark/>
          </w:tcPr>
          <w:p w:rsidR="00EE4AC7" w:rsidRPr="00EE4AC7" w:rsidP="00EE4AC7" w14:paraId="264351D0" w14:textId="77777777">
            <w:pPr>
              <w:widowControl/>
              <w:rPr>
                <w:snapToGrid/>
                <w:color w:val="000000"/>
                <w:kern w:val="0"/>
                <w:szCs w:val="22"/>
              </w:rPr>
            </w:pPr>
            <w:r w:rsidRPr="00EE4AC7">
              <w:rPr>
                <w:snapToGrid/>
                <w:color w:val="000000"/>
                <w:kern w:val="0"/>
                <w:szCs w:val="22"/>
              </w:rPr>
              <w:t>Desert Physicians Medical Group Health</w:t>
            </w:r>
          </w:p>
        </w:tc>
      </w:tr>
      <w:tr w14:paraId="50C085B2"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2C4C6FF3" w14:textId="77777777">
            <w:pPr>
              <w:widowControl/>
              <w:rPr>
                <w:snapToGrid/>
                <w:color w:val="000000"/>
                <w:kern w:val="0"/>
                <w:szCs w:val="22"/>
              </w:rPr>
            </w:pPr>
            <w:r w:rsidRPr="00EE4AC7">
              <w:rPr>
                <w:snapToGrid/>
                <w:color w:val="000000"/>
                <w:kern w:val="0"/>
                <w:szCs w:val="22"/>
              </w:rPr>
              <w:t>GRA0013925</w:t>
            </w:r>
          </w:p>
        </w:tc>
        <w:tc>
          <w:tcPr>
            <w:tcW w:w="7532" w:type="dxa"/>
            <w:shd w:val="clear" w:color="auto" w:fill="auto"/>
            <w:noWrap/>
            <w:hideMark/>
          </w:tcPr>
          <w:p w:rsidR="00EE4AC7" w:rsidRPr="00EE4AC7" w:rsidP="00EE4AC7" w14:paraId="0B6F87FC" w14:textId="77777777">
            <w:pPr>
              <w:widowControl/>
              <w:rPr>
                <w:snapToGrid/>
                <w:color w:val="000000"/>
                <w:kern w:val="0"/>
                <w:szCs w:val="22"/>
              </w:rPr>
            </w:pPr>
            <w:r w:rsidRPr="00EE4AC7">
              <w:rPr>
                <w:snapToGrid/>
                <w:color w:val="000000"/>
                <w:kern w:val="0"/>
                <w:szCs w:val="22"/>
              </w:rPr>
              <w:t>Community Transformers Foundation</w:t>
            </w:r>
          </w:p>
        </w:tc>
      </w:tr>
      <w:tr w14:paraId="6411CFA7"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04D5CB85" w14:textId="77777777">
            <w:pPr>
              <w:widowControl/>
              <w:rPr>
                <w:snapToGrid/>
                <w:color w:val="000000"/>
                <w:kern w:val="0"/>
                <w:szCs w:val="22"/>
              </w:rPr>
            </w:pPr>
            <w:r w:rsidRPr="00EE4AC7">
              <w:rPr>
                <w:snapToGrid/>
                <w:color w:val="000000"/>
                <w:kern w:val="0"/>
                <w:szCs w:val="22"/>
              </w:rPr>
              <w:t>GRA0013936</w:t>
            </w:r>
          </w:p>
        </w:tc>
        <w:tc>
          <w:tcPr>
            <w:tcW w:w="7532" w:type="dxa"/>
            <w:shd w:val="clear" w:color="auto" w:fill="auto"/>
            <w:noWrap/>
            <w:hideMark/>
          </w:tcPr>
          <w:p w:rsidR="00EE4AC7" w:rsidRPr="00EE4AC7" w:rsidP="00EE4AC7" w14:paraId="18ED563B" w14:textId="77777777">
            <w:pPr>
              <w:widowControl/>
              <w:rPr>
                <w:snapToGrid/>
                <w:color w:val="000000"/>
                <w:kern w:val="0"/>
                <w:szCs w:val="22"/>
              </w:rPr>
            </w:pPr>
            <w:r w:rsidRPr="00EE4AC7">
              <w:rPr>
                <w:snapToGrid/>
                <w:color w:val="000000"/>
                <w:kern w:val="0"/>
                <w:szCs w:val="22"/>
              </w:rPr>
              <w:t>Riverdale Mental Health Association</w:t>
            </w:r>
          </w:p>
        </w:tc>
      </w:tr>
      <w:tr w14:paraId="5C5B6266"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A5818AE" w14:textId="77777777">
            <w:pPr>
              <w:widowControl/>
              <w:rPr>
                <w:snapToGrid/>
                <w:color w:val="000000"/>
                <w:kern w:val="0"/>
                <w:szCs w:val="22"/>
              </w:rPr>
            </w:pPr>
            <w:r w:rsidRPr="00EE4AC7">
              <w:rPr>
                <w:snapToGrid/>
                <w:color w:val="000000"/>
                <w:kern w:val="0"/>
                <w:szCs w:val="22"/>
              </w:rPr>
              <w:t>GRA0013969</w:t>
            </w:r>
          </w:p>
        </w:tc>
        <w:tc>
          <w:tcPr>
            <w:tcW w:w="7532" w:type="dxa"/>
            <w:shd w:val="clear" w:color="auto" w:fill="auto"/>
            <w:noWrap/>
            <w:hideMark/>
          </w:tcPr>
          <w:p w:rsidR="00EE4AC7" w:rsidRPr="00EE4AC7" w:rsidP="00EE4AC7" w14:paraId="40B78AFA" w14:textId="77777777">
            <w:pPr>
              <w:widowControl/>
              <w:rPr>
                <w:snapToGrid/>
                <w:color w:val="000000"/>
                <w:kern w:val="0"/>
                <w:szCs w:val="22"/>
              </w:rPr>
            </w:pPr>
            <w:r w:rsidRPr="00EE4AC7">
              <w:rPr>
                <w:snapToGrid/>
                <w:color w:val="000000"/>
                <w:kern w:val="0"/>
                <w:szCs w:val="22"/>
              </w:rPr>
              <w:t xml:space="preserve">Salud Integral en la Montaña, Inc. </w:t>
            </w:r>
          </w:p>
        </w:tc>
      </w:tr>
      <w:tr w14:paraId="372584E7"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8DACB21" w14:textId="77777777">
            <w:pPr>
              <w:widowControl/>
              <w:rPr>
                <w:snapToGrid/>
                <w:color w:val="000000"/>
                <w:kern w:val="0"/>
                <w:szCs w:val="22"/>
              </w:rPr>
            </w:pPr>
            <w:r w:rsidRPr="00EE4AC7">
              <w:rPr>
                <w:snapToGrid/>
                <w:color w:val="000000"/>
                <w:kern w:val="0"/>
                <w:szCs w:val="22"/>
              </w:rPr>
              <w:t>GRA0013991</w:t>
            </w:r>
          </w:p>
        </w:tc>
        <w:tc>
          <w:tcPr>
            <w:tcW w:w="7532" w:type="dxa"/>
            <w:shd w:val="clear" w:color="auto" w:fill="auto"/>
            <w:noWrap/>
            <w:hideMark/>
          </w:tcPr>
          <w:p w:rsidR="00EE4AC7" w:rsidRPr="00EE4AC7" w:rsidP="00EE4AC7" w14:paraId="3CAF964B" w14:textId="77777777">
            <w:pPr>
              <w:widowControl/>
              <w:rPr>
                <w:snapToGrid/>
                <w:color w:val="000000"/>
                <w:kern w:val="0"/>
                <w:szCs w:val="22"/>
              </w:rPr>
            </w:pPr>
            <w:r w:rsidRPr="00EE4AC7">
              <w:rPr>
                <w:snapToGrid/>
                <w:color w:val="000000"/>
                <w:kern w:val="0"/>
                <w:szCs w:val="22"/>
              </w:rPr>
              <w:t>Compass Memorial Healthcare</w:t>
            </w:r>
          </w:p>
        </w:tc>
      </w:tr>
      <w:tr w14:paraId="6720A93B"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5685A99" w14:textId="77777777">
            <w:pPr>
              <w:widowControl/>
              <w:rPr>
                <w:snapToGrid/>
                <w:color w:val="000000"/>
                <w:kern w:val="0"/>
                <w:szCs w:val="22"/>
              </w:rPr>
            </w:pPr>
            <w:r w:rsidRPr="00EE4AC7">
              <w:rPr>
                <w:snapToGrid/>
                <w:color w:val="000000"/>
                <w:kern w:val="0"/>
                <w:szCs w:val="22"/>
              </w:rPr>
              <w:t>GRA0014008</w:t>
            </w:r>
          </w:p>
        </w:tc>
        <w:tc>
          <w:tcPr>
            <w:tcW w:w="7532" w:type="dxa"/>
            <w:shd w:val="clear" w:color="auto" w:fill="auto"/>
            <w:noWrap/>
            <w:hideMark/>
          </w:tcPr>
          <w:p w:rsidR="00EE4AC7" w:rsidRPr="00EE4AC7" w:rsidP="00EE4AC7" w14:paraId="7F6880C3" w14:textId="77777777">
            <w:pPr>
              <w:widowControl/>
              <w:rPr>
                <w:snapToGrid/>
                <w:color w:val="000000"/>
                <w:kern w:val="0"/>
                <w:szCs w:val="22"/>
              </w:rPr>
            </w:pPr>
            <w:r w:rsidRPr="00EE4AC7">
              <w:rPr>
                <w:snapToGrid/>
                <w:color w:val="000000"/>
                <w:kern w:val="0"/>
                <w:szCs w:val="22"/>
              </w:rPr>
              <w:t>Primary Care Health Services, Inc.</w:t>
            </w:r>
          </w:p>
        </w:tc>
      </w:tr>
      <w:tr w14:paraId="3A8C562F"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6B0927F4" w14:textId="77777777">
            <w:pPr>
              <w:widowControl/>
              <w:rPr>
                <w:snapToGrid/>
                <w:color w:val="000000"/>
                <w:kern w:val="0"/>
                <w:szCs w:val="22"/>
              </w:rPr>
            </w:pPr>
            <w:r w:rsidRPr="00EE4AC7">
              <w:rPr>
                <w:snapToGrid/>
                <w:color w:val="000000"/>
                <w:kern w:val="0"/>
                <w:szCs w:val="22"/>
              </w:rPr>
              <w:t>GRA0014018</w:t>
            </w:r>
          </w:p>
        </w:tc>
        <w:tc>
          <w:tcPr>
            <w:tcW w:w="7532" w:type="dxa"/>
            <w:shd w:val="clear" w:color="auto" w:fill="auto"/>
            <w:noWrap/>
            <w:hideMark/>
          </w:tcPr>
          <w:p w:rsidR="00EE4AC7" w:rsidRPr="00EE4AC7" w:rsidP="00EE4AC7" w14:paraId="594EAE94" w14:textId="77777777">
            <w:pPr>
              <w:widowControl/>
              <w:rPr>
                <w:snapToGrid/>
                <w:color w:val="000000"/>
                <w:kern w:val="0"/>
                <w:szCs w:val="22"/>
              </w:rPr>
            </w:pPr>
            <w:r w:rsidRPr="00EE4AC7">
              <w:rPr>
                <w:snapToGrid/>
                <w:color w:val="000000"/>
                <w:kern w:val="0"/>
                <w:szCs w:val="22"/>
              </w:rPr>
              <w:t>Henry Mayo Newhall Hospital</w:t>
            </w:r>
          </w:p>
        </w:tc>
      </w:tr>
      <w:tr w14:paraId="4F934A22"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4D30A90" w14:textId="77777777">
            <w:pPr>
              <w:widowControl/>
              <w:rPr>
                <w:snapToGrid/>
                <w:color w:val="000000"/>
                <w:kern w:val="0"/>
                <w:szCs w:val="22"/>
              </w:rPr>
            </w:pPr>
            <w:r w:rsidRPr="00EE4AC7">
              <w:rPr>
                <w:snapToGrid/>
                <w:color w:val="000000"/>
                <w:kern w:val="0"/>
                <w:szCs w:val="22"/>
              </w:rPr>
              <w:t>GRA0014026</w:t>
            </w:r>
          </w:p>
        </w:tc>
        <w:tc>
          <w:tcPr>
            <w:tcW w:w="7532" w:type="dxa"/>
            <w:shd w:val="clear" w:color="auto" w:fill="auto"/>
            <w:noWrap/>
            <w:hideMark/>
          </w:tcPr>
          <w:p w:rsidR="00EE4AC7" w:rsidRPr="00EE4AC7" w:rsidP="00EE4AC7" w14:paraId="1F4906B6" w14:textId="77777777">
            <w:pPr>
              <w:widowControl/>
              <w:rPr>
                <w:snapToGrid/>
                <w:color w:val="000000"/>
                <w:kern w:val="0"/>
                <w:szCs w:val="22"/>
              </w:rPr>
            </w:pPr>
            <w:r w:rsidRPr="00EE4AC7">
              <w:rPr>
                <w:snapToGrid/>
                <w:color w:val="000000"/>
                <w:kern w:val="0"/>
                <w:szCs w:val="22"/>
              </w:rPr>
              <w:t>Nueces County Mental Health Mental Retardation Community Center</w:t>
            </w:r>
          </w:p>
        </w:tc>
      </w:tr>
      <w:tr w14:paraId="0DB02F0C"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608FE845" w14:textId="77777777">
            <w:pPr>
              <w:widowControl/>
              <w:rPr>
                <w:snapToGrid/>
                <w:color w:val="000000"/>
                <w:kern w:val="0"/>
                <w:szCs w:val="22"/>
              </w:rPr>
            </w:pPr>
            <w:r w:rsidRPr="00EE4AC7">
              <w:rPr>
                <w:snapToGrid/>
                <w:color w:val="000000"/>
                <w:kern w:val="0"/>
                <w:szCs w:val="22"/>
              </w:rPr>
              <w:t>GRA0014034</w:t>
            </w:r>
          </w:p>
        </w:tc>
        <w:tc>
          <w:tcPr>
            <w:tcW w:w="7532" w:type="dxa"/>
            <w:shd w:val="clear" w:color="auto" w:fill="auto"/>
            <w:noWrap/>
            <w:hideMark/>
          </w:tcPr>
          <w:p w:rsidR="00EE4AC7" w:rsidRPr="00EE4AC7" w:rsidP="00EE4AC7" w14:paraId="0BCE8AD1" w14:textId="77777777">
            <w:pPr>
              <w:widowControl/>
              <w:rPr>
                <w:snapToGrid/>
                <w:color w:val="000000"/>
                <w:kern w:val="0"/>
                <w:szCs w:val="22"/>
              </w:rPr>
            </w:pPr>
            <w:r w:rsidRPr="00EE4AC7">
              <w:rPr>
                <w:snapToGrid/>
                <w:color w:val="000000"/>
                <w:kern w:val="0"/>
                <w:szCs w:val="22"/>
              </w:rPr>
              <w:t>Farnham Family Services</w:t>
            </w:r>
          </w:p>
        </w:tc>
      </w:tr>
      <w:tr w14:paraId="57B36D4B"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3B099EE6" w14:textId="77777777">
            <w:pPr>
              <w:widowControl/>
              <w:rPr>
                <w:snapToGrid/>
                <w:color w:val="000000"/>
                <w:kern w:val="0"/>
                <w:szCs w:val="22"/>
              </w:rPr>
            </w:pPr>
            <w:r w:rsidRPr="00EE4AC7">
              <w:rPr>
                <w:snapToGrid/>
                <w:color w:val="000000"/>
                <w:kern w:val="0"/>
                <w:szCs w:val="22"/>
              </w:rPr>
              <w:t>GRA0014036</w:t>
            </w:r>
          </w:p>
        </w:tc>
        <w:tc>
          <w:tcPr>
            <w:tcW w:w="7532" w:type="dxa"/>
            <w:shd w:val="clear" w:color="auto" w:fill="auto"/>
            <w:noWrap/>
            <w:hideMark/>
          </w:tcPr>
          <w:p w:rsidR="00EE4AC7" w:rsidRPr="00EE4AC7" w:rsidP="00EE4AC7" w14:paraId="7B21B897" w14:textId="77777777">
            <w:pPr>
              <w:widowControl/>
              <w:rPr>
                <w:snapToGrid/>
                <w:color w:val="000000"/>
                <w:kern w:val="0"/>
                <w:szCs w:val="22"/>
              </w:rPr>
            </w:pPr>
            <w:r w:rsidRPr="00EE4AC7">
              <w:rPr>
                <w:snapToGrid/>
                <w:color w:val="000000"/>
                <w:kern w:val="0"/>
                <w:szCs w:val="22"/>
              </w:rPr>
              <w:t>Winslow Indian Health Care Center</w:t>
            </w:r>
          </w:p>
        </w:tc>
      </w:tr>
      <w:tr w14:paraId="155EF4D8"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1974BA94" w14:textId="77777777">
            <w:pPr>
              <w:widowControl/>
              <w:rPr>
                <w:snapToGrid/>
                <w:color w:val="000000"/>
                <w:kern w:val="0"/>
                <w:szCs w:val="22"/>
              </w:rPr>
            </w:pPr>
            <w:r w:rsidRPr="00EE4AC7">
              <w:rPr>
                <w:snapToGrid/>
                <w:color w:val="000000"/>
                <w:kern w:val="0"/>
                <w:szCs w:val="22"/>
              </w:rPr>
              <w:t>GRA0014042</w:t>
            </w:r>
          </w:p>
        </w:tc>
        <w:tc>
          <w:tcPr>
            <w:tcW w:w="7532" w:type="dxa"/>
            <w:shd w:val="clear" w:color="auto" w:fill="auto"/>
            <w:noWrap/>
            <w:hideMark/>
          </w:tcPr>
          <w:p w:rsidR="00EE4AC7" w:rsidRPr="00EE4AC7" w:rsidP="00EE4AC7" w14:paraId="2E267B8F" w14:textId="77777777">
            <w:pPr>
              <w:widowControl/>
              <w:rPr>
                <w:snapToGrid/>
                <w:color w:val="000000"/>
                <w:kern w:val="0"/>
                <w:szCs w:val="22"/>
              </w:rPr>
            </w:pPr>
            <w:r w:rsidRPr="00EE4AC7">
              <w:rPr>
                <w:snapToGrid/>
                <w:color w:val="000000"/>
                <w:kern w:val="0"/>
                <w:szCs w:val="22"/>
              </w:rPr>
              <w:t xml:space="preserve">Artesia General Hospital </w:t>
            </w:r>
          </w:p>
        </w:tc>
      </w:tr>
      <w:tr w14:paraId="7C93B858" w14:textId="77777777" w:rsidTr="00BB413A">
        <w:tblPrEx>
          <w:tblW w:w="0" w:type="auto"/>
          <w:jc w:val="center"/>
          <w:tblLook w:val="04A0"/>
        </w:tblPrEx>
        <w:trPr>
          <w:trHeight w:val="288"/>
          <w:jc w:val="center"/>
        </w:trPr>
        <w:tc>
          <w:tcPr>
            <w:tcW w:w="1818" w:type="dxa"/>
            <w:shd w:val="clear" w:color="auto" w:fill="auto"/>
            <w:noWrap/>
            <w:hideMark/>
          </w:tcPr>
          <w:p w:rsidR="00EE4AC7" w:rsidRPr="00EE4AC7" w:rsidP="00EE4AC7" w14:paraId="76E3B86A" w14:textId="77777777">
            <w:pPr>
              <w:widowControl/>
              <w:rPr>
                <w:snapToGrid/>
                <w:color w:val="000000"/>
                <w:kern w:val="0"/>
                <w:szCs w:val="22"/>
              </w:rPr>
            </w:pPr>
            <w:r w:rsidRPr="00EE4AC7">
              <w:rPr>
                <w:snapToGrid/>
                <w:color w:val="000000"/>
                <w:kern w:val="0"/>
                <w:szCs w:val="22"/>
              </w:rPr>
              <w:t>GRA0014051</w:t>
            </w:r>
          </w:p>
        </w:tc>
        <w:tc>
          <w:tcPr>
            <w:tcW w:w="7532" w:type="dxa"/>
            <w:shd w:val="clear" w:color="auto" w:fill="auto"/>
            <w:noWrap/>
            <w:hideMark/>
          </w:tcPr>
          <w:p w:rsidR="00EE4AC7" w:rsidRPr="00EE4AC7" w:rsidP="00EE4AC7" w14:paraId="1926B252" w14:textId="77777777">
            <w:pPr>
              <w:widowControl/>
              <w:rPr>
                <w:snapToGrid/>
                <w:color w:val="000000"/>
                <w:kern w:val="0"/>
                <w:szCs w:val="22"/>
              </w:rPr>
            </w:pPr>
            <w:r w:rsidRPr="00EE4AC7">
              <w:rPr>
                <w:snapToGrid/>
                <w:color w:val="000000"/>
                <w:kern w:val="0"/>
                <w:szCs w:val="22"/>
              </w:rPr>
              <w:t>LSU Healthcare Network</w:t>
            </w:r>
          </w:p>
        </w:tc>
      </w:tr>
    </w:tbl>
    <w:p w:rsidR="00412FC5" w:rsidP="007323F9" w14:paraId="775A5D23" w14:textId="1DFA3C00"/>
    <w:sectPr w:rsidSect="00EE4AC7">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9EE3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7E01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E4AC7" w14:paraId="7F52719E" w14:textId="73E7651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D83EB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4AC7" w14:paraId="60B408F7" w14:textId="77777777">
      <w:r>
        <w:separator/>
      </w:r>
    </w:p>
  </w:footnote>
  <w:footnote w:type="continuationSeparator" w:id="1">
    <w:p w:rsidR="00EE4AC7" w:rsidP="00C721AC" w14:paraId="3438EDBA" w14:textId="77777777">
      <w:pPr>
        <w:spacing w:before="120"/>
        <w:rPr>
          <w:sz w:val="20"/>
        </w:rPr>
      </w:pPr>
      <w:r>
        <w:rPr>
          <w:sz w:val="20"/>
        </w:rPr>
        <w:t xml:space="preserve">(Continued from previous page)  </w:t>
      </w:r>
      <w:r>
        <w:rPr>
          <w:sz w:val="20"/>
        </w:rPr>
        <w:separator/>
      </w:r>
    </w:p>
  </w:footnote>
  <w:footnote w:type="continuationNotice" w:id="2">
    <w:p w:rsidR="00EE4AC7" w:rsidP="00C721AC" w14:paraId="5D7669EC" w14:textId="77777777">
      <w:pPr>
        <w:jc w:val="right"/>
        <w:rPr>
          <w:sz w:val="20"/>
        </w:rPr>
      </w:pPr>
      <w:r>
        <w:rPr>
          <w:sz w:val="20"/>
        </w:rPr>
        <w:t>(continued….)</w:t>
      </w:r>
    </w:p>
  </w:footnote>
  <w:footnote w:id="3">
    <w:p w:rsidR="00EE4AC7" w:rsidP="00EE4AC7" w14:paraId="0558BA6E" w14:textId="77777777">
      <w:pPr>
        <w:pStyle w:val="FootnoteText"/>
      </w:pPr>
      <w:r>
        <w:rPr>
          <w:rStyle w:val="FootnoteReference"/>
        </w:rPr>
        <w:footnoteRef/>
      </w:r>
      <w:r>
        <w:t xml:space="preserve"> In December 2020, the</w:t>
      </w:r>
      <w:r w:rsidRPr="006D723F">
        <w:t xml:space="preserve"> </w:t>
      </w:r>
      <w:r>
        <w:t xml:space="preserve">Consolidated Appropriations Act, 2021 (Consolidated Appropriations Act) was signed into law, appropriating $249.95 million in additional funding for the Program.  </w:t>
      </w:r>
      <w:r w:rsidRPr="009D450F">
        <w:t xml:space="preserve">Consolidated Appropriations Act, 2021, Pub. L. No:  116-260, Division N-Additional Coronavirus Response and Relief, Title IX-Broadband Internet Access Service, § 903 “FCC COVID-19 Telehealth Program” (2020), </w:t>
      </w:r>
      <w:r w:rsidRPr="009D450F">
        <w:rPr>
          <w:i/>
          <w:iCs/>
        </w:rPr>
        <w:t>available at</w:t>
      </w:r>
      <w:r>
        <w:t xml:space="preserve"> </w:t>
      </w:r>
      <w:hyperlink r:id="rId1" w:history="1">
        <w:r w:rsidRPr="007F14F8">
          <w:rPr>
            <w:rStyle w:val="Hyperlink"/>
          </w:rPr>
          <w:t>https://www.congress.gov/bill/116th-congress/house-bill/133/text</w:t>
        </w:r>
      </w:hyperlink>
      <w:r>
        <w:t xml:space="preserve"> </w:t>
      </w:r>
      <w:r w:rsidRPr="009D450F">
        <w:t>(Consolidated Appropriations Act)</w:t>
      </w:r>
      <w:r>
        <w:t>.</w:t>
      </w:r>
    </w:p>
  </w:footnote>
  <w:footnote w:id="4">
    <w:p w:rsidR="00EE4AC7" w:rsidP="00EE4AC7" w14:paraId="37F4C183" w14:textId="77777777">
      <w:pPr>
        <w:pStyle w:val="FootnoteText"/>
      </w:pPr>
      <w:r>
        <w:rPr>
          <w:rStyle w:val="FootnoteReference"/>
        </w:rPr>
        <w:footnoteRef/>
      </w:r>
      <w:r>
        <w:t xml:space="preserve"> Although the requests for additional time were not formal requests for waiver under </w:t>
      </w:r>
      <w:r w:rsidRPr="009D450F">
        <w:t>§</w:t>
      </w:r>
      <w:r>
        <w:t xml:space="preserve"> 1.3 of our rules, 47 CFR </w:t>
      </w:r>
      <w:r w:rsidRPr="009D450F">
        <w:t>§</w:t>
      </w:r>
      <w:r>
        <w:t> 1.3, we treat them as waiver requests and use the term “requests for waiver” in this Order to describe the emailed requests for additional time to submit Program applications.</w:t>
      </w:r>
    </w:p>
  </w:footnote>
  <w:footnote w:id="5">
    <w:p w:rsidR="00EE4AC7" w:rsidP="00EE4AC7" w14:paraId="43B0973B" w14:textId="77777777">
      <w:pPr>
        <w:pStyle w:val="FootnoteText"/>
      </w:pPr>
      <w:r>
        <w:rPr>
          <w:rStyle w:val="FootnoteReference"/>
        </w:rPr>
        <w:footnoteRef/>
      </w:r>
      <w:r>
        <w:t xml:space="preserve"> The Commission directed </w:t>
      </w:r>
      <w:r w:rsidRPr="007B7225">
        <w:t xml:space="preserve">the Universal Service Administrative Company </w:t>
      </w:r>
      <w:r>
        <w:t xml:space="preserve">(USAC) to disburse at least $150 million in the initial commitment phase of the funding commitment process.  </w:t>
      </w:r>
      <w:r w:rsidRPr="003F3B2F">
        <w:rPr>
          <w:i/>
          <w:iCs/>
        </w:rPr>
        <w:t>COVID-19 Telehealth Program; Promoting Telehealth for Low-Income Consumers</w:t>
      </w:r>
      <w:r>
        <w:t>,</w:t>
      </w:r>
      <w:r w:rsidRPr="00B14EDC">
        <w:t xml:space="preserve"> WC Docket No</w:t>
      </w:r>
      <w:r>
        <w:t>s</w:t>
      </w:r>
      <w:r w:rsidRPr="00B14EDC">
        <w:t>. 20-89</w:t>
      </w:r>
      <w:r>
        <w:t xml:space="preserve"> and </w:t>
      </w:r>
      <w:r w:rsidRPr="00B14EDC">
        <w:t>18-213</w:t>
      </w:r>
      <w:r>
        <w:t xml:space="preserve">, </w:t>
      </w:r>
      <w:r w:rsidRPr="008F5AAE">
        <w:t xml:space="preserve">Report </w:t>
      </w:r>
      <w:r>
        <w:t>a</w:t>
      </w:r>
      <w:r w:rsidRPr="008F5AAE">
        <w:t xml:space="preserve">nd Order </w:t>
      </w:r>
      <w:r>
        <w:t>a</w:t>
      </w:r>
      <w:r w:rsidRPr="008F5AAE">
        <w:t xml:space="preserve">nd Order </w:t>
      </w:r>
      <w:r>
        <w:t>o</w:t>
      </w:r>
      <w:r w:rsidRPr="008F5AAE">
        <w:t>n Reconsideration</w:t>
      </w:r>
      <w:r>
        <w:t>,</w:t>
      </w:r>
      <w:r w:rsidRPr="0002236E">
        <w:t xml:space="preserve"> FCC 21-39</w:t>
      </w:r>
      <w:r>
        <w:t>, at 31-32, para. 62 (March 30, 2021) (</w:t>
      </w:r>
      <w:r w:rsidRPr="00201984">
        <w:rPr>
          <w:i/>
          <w:iCs/>
        </w:rPr>
        <w:t>Second COVID-19 Report and Order</w:t>
      </w:r>
      <w:r>
        <w:t xml:space="preserve">).  </w:t>
      </w:r>
    </w:p>
  </w:footnote>
  <w:footnote w:id="6">
    <w:p w:rsidR="00EE4AC7" w:rsidP="00EE4AC7" w14:paraId="68A687B3" w14:textId="77777777">
      <w:pPr>
        <w:pStyle w:val="FootnoteText"/>
      </w:pPr>
      <w:r>
        <w:rPr>
          <w:rStyle w:val="FootnoteReference"/>
        </w:rPr>
        <w:footnoteRef/>
      </w:r>
      <w:r>
        <w:t xml:space="preserve"> </w:t>
      </w:r>
      <w:r w:rsidRPr="001336F1">
        <w:rPr>
          <w:i/>
          <w:iCs/>
        </w:rPr>
        <w:t>Promoting Telehealth for Low-Income Consumers; COVID-19 Telehealth Program</w:t>
      </w:r>
      <w:r w:rsidRPr="001336F1">
        <w:t>, WC Docket Nos. 18-213, 20-89, Report and Order, 35 FCC Rcd 3366 (2020) (</w:t>
      </w:r>
      <w:r w:rsidRPr="001336F1">
        <w:rPr>
          <w:i/>
          <w:iCs/>
        </w:rPr>
        <w:t>First COVID-19 Report and Order</w:t>
      </w:r>
      <w:r w:rsidRPr="001336F1">
        <w:t>)</w:t>
      </w:r>
      <w:r>
        <w:t xml:space="preserve">; </w:t>
      </w:r>
      <w:r w:rsidRPr="000B05DF">
        <w:t>Coronavirus Aid, Relief, and Economic Security Act, Pub. L. No 116-136, 134 Stat. 281 (2020) (CARES Act)</w:t>
      </w:r>
      <w:r>
        <w:t>.</w:t>
      </w:r>
    </w:p>
  </w:footnote>
  <w:footnote w:id="7">
    <w:p w:rsidR="00EE4AC7" w:rsidP="00EE4AC7" w14:paraId="57B0D2FD" w14:textId="77777777">
      <w:pPr>
        <w:pStyle w:val="FootnoteText"/>
      </w:pPr>
      <w:r>
        <w:rPr>
          <w:rStyle w:val="FootnoteReference"/>
        </w:rPr>
        <w:footnoteRef/>
      </w:r>
      <w:r>
        <w:t xml:space="preserve"> </w:t>
      </w:r>
      <w:r w:rsidRPr="009D450F">
        <w:t>Consolidated Appropriations Ac</w:t>
      </w:r>
      <w:r>
        <w:t xml:space="preserve">t.  </w:t>
      </w:r>
    </w:p>
  </w:footnote>
  <w:footnote w:id="8">
    <w:p w:rsidR="00EE4AC7" w:rsidP="00EE4AC7" w14:paraId="359B2281" w14:textId="77777777">
      <w:pPr>
        <w:pStyle w:val="FootnoteText"/>
      </w:pPr>
      <w:r>
        <w:rPr>
          <w:rStyle w:val="FootnoteReference"/>
        </w:rPr>
        <w:footnoteRef/>
      </w:r>
      <w:r>
        <w:t xml:space="preserve"> </w:t>
      </w:r>
      <w:r w:rsidRPr="006F1EF4">
        <w:rPr>
          <w:i/>
          <w:iCs/>
        </w:rPr>
        <w:t>Wireline Competition Bureau Seeks Comment on COVID-19 Telehealth Program Application Evaluation Metrics</w:t>
      </w:r>
      <w:r w:rsidRPr="006F1EF4">
        <w:t xml:space="preserve">, WC Docket No. 20-89, Public Notice, </w:t>
      </w:r>
      <w:r w:rsidRPr="0034220A">
        <w:t>36 FCC Rcd 55</w:t>
      </w:r>
      <w:r>
        <w:t xml:space="preserve"> </w:t>
      </w:r>
      <w:r w:rsidRPr="006F1EF4">
        <w:t>(WCB 2021) (</w:t>
      </w:r>
      <w:r w:rsidRPr="00F33E81">
        <w:rPr>
          <w:i/>
          <w:iCs/>
        </w:rPr>
        <w:t>January 6</w:t>
      </w:r>
      <w:r w:rsidRPr="00F33E81">
        <w:rPr>
          <w:i/>
          <w:iCs/>
          <w:vertAlign w:val="superscript"/>
        </w:rPr>
        <w:t>th</w:t>
      </w:r>
      <w:r w:rsidRPr="00F33E81">
        <w:rPr>
          <w:i/>
          <w:iCs/>
        </w:rPr>
        <w:t xml:space="preserve"> Public Notice</w:t>
      </w:r>
      <w:r w:rsidRPr="006F1EF4">
        <w:t>)</w:t>
      </w:r>
      <w:r>
        <w:t>.</w:t>
      </w:r>
    </w:p>
  </w:footnote>
  <w:footnote w:id="9">
    <w:p w:rsidR="00EE4AC7" w:rsidP="00EE4AC7" w14:paraId="1B878C9A" w14:textId="77777777">
      <w:pPr>
        <w:pStyle w:val="FootnoteText"/>
      </w:pPr>
      <w:r>
        <w:rPr>
          <w:rStyle w:val="FootnoteReference"/>
        </w:rPr>
        <w:footnoteRef/>
      </w:r>
      <w:r>
        <w:t xml:space="preserve"> </w:t>
      </w:r>
      <w:r w:rsidRPr="00126E4B">
        <w:rPr>
          <w:i/>
          <w:iCs/>
        </w:rPr>
        <w:t>COVID-19 Telehealth Program</w:t>
      </w:r>
      <w:r w:rsidRPr="00126E4B">
        <w:t xml:space="preserve">, WC Docket No. 20-89, Report and Order, </w:t>
      </w:r>
      <w:r w:rsidRPr="00BE2798">
        <w:t>36 FCC Rcd 1613</w:t>
      </w:r>
      <w:r>
        <w:t xml:space="preserve"> </w:t>
      </w:r>
      <w:r w:rsidRPr="00126E4B">
        <w:t>(2021) (</w:t>
      </w:r>
      <w:r w:rsidRPr="00334C29">
        <w:rPr>
          <w:i/>
          <w:iCs/>
        </w:rPr>
        <w:t>USAC Delegation Order</w:t>
      </w:r>
      <w:r w:rsidRPr="00126E4B">
        <w:t>)</w:t>
      </w:r>
      <w:r>
        <w:t>.</w:t>
      </w:r>
    </w:p>
  </w:footnote>
  <w:footnote w:id="10">
    <w:p w:rsidR="00EE4AC7" w:rsidRPr="00440DCF" w:rsidP="00EE4AC7" w14:paraId="3A29AC57" w14:textId="77777777">
      <w:pPr>
        <w:pStyle w:val="FootnoteText"/>
      </w:pPr>
      <w:r>
        <w:rPr>
          <w:rStyle w:val="FootnoteReference"/>
        </w:rPr>
        <w:footnoteRef/>
      </w:r>
      <w:r>
        <w:t xml:space="preserve"> </w:t>
      </w:r>
      <w:r w:rsidRPr="00201984">
        <w:rPr>
          <w:i/>
          <w:iCs/>
        </w:rPr>
        <w:t>Second COVID-19 Report and Order</w:t>
      </w:r>
      <w:r>
        <w:t>.</w:t>
      </w:r>
    </w:p>
  </w:footnote>
  <w:footnote w:id="11">
    <w:p w:rsidR="00EE4AC7" w:rsidRPr="009C588A" w:rsidP="00EE4AC7" w14:paraId="6BC54884" w14:textId="77777777">
      <w:pPr>
        <w:pStyle w:val="FootnoteText"/>
      </w:pPr>
      <w:r>
        <w:rPr>
          <w:rStyle w:val="FootnoteReference"/>
        </w:rPr>
        <w:footnoteRef/>
      </w:r>
      <w:r>
        <w:t xml:space="preserve"> </w:t>
      </w:r>
      <w:r>
        <w:rPr>
          <w:i/>
          <w:iCs/>
        </w:rPr>
        <w:t xml:space="preserve">Id. </w:t>
      </w:r>
      <w:r>
        <w:t>at 48, Appendix C (“Application Process Guidance”).</w:t>
      </w:r>
    </w:p>
  </w:footnote>
  <w:footnote w:id="12">
    <w:p w:rsidR="00EE4AC7" w:rsidP="00EE4AC7" w14:paraId="0A7BD1AA" w14:textId="77777777">
      <w:pPr>
        <w:pStyle w:val="FootnoteText"/>
      </w:pPr>
      <w:r>
        <w:rPr>
          <w:rStyle w:val="FootnoteReference"/>
        </w:rPr>
        <w:footnoteRef/>
      </w:r>
      <w:r>
        <w:t xml:space="preserve"> </w:t>
      </w:r>
      <w:r>
        <w:rPr>
          <w:i/>
          <w:iCs/>
        </w:rPr>
        <w:t>Id.</w:t>
      </w:r>
      <w:r>
        <w:t xml:space="preserve"> at 11, 48, para. 23, Appendix C.</w:t>
      </w:r>
    </w:p>
  </w:footnote>
  <w:footnote w:id="13">
    <w:p w:rsidR="00EE4AC7" w:rsidP="00EE4AC7" w14:paraId="4B2714D7" w14:textId="77777777">
      <w:pPr>
        <w:pStyle w:val="FootnoteText"/>
      </w:pPr>
      <w:r>
        <w:rPr>
          <w:rStyle w:val="FootnoteReference"/>
        </w:rPr>
        <w:footnoteRef/>
      </w:r>
      <w:r>
        <w:t xml:space="preserve"> </w:t>
      </w:r>
      <w:r>
        <w:rPr>
          <w:i/>
        </w:rPr>
        <w:t>Id.</w:t>
      </w:r>
      <w:r>
        <w:t xml:space="preserve"> at 28, 51, para. 55, Appendix C.</w:t>
      </w:r>
    </w:p>
  </w:footnote>
  <w:footnote w:id="14">
    <w:p w:rsidR="00EE4AC7" w:rsidP="00EE4AC7" w14:paraId="35574AC8" w14:textId="77777777">
      <w:pPr>
        <w:pStyle w:val="FootnoteText"/>
      </w:pPr>
      <w:r>
        <w:rPr>
          <w:rStyle w:val="FootnoteReference"/>
        </w:rPr>
        <w:footnoteRef/>
      </w:r>
      <w:r>
        <w:t xml:space="preserve"> The evaluation metrics which will be used to prioritize applications during Round 2 of the Program include:  (i) location in an area hardest hit by the pandemic; (ii) location in a low income area; (iii) Round 1 unfunded applicants; (iv) location on Tribal lands; (v) designation as a Critical Access Hospital; (vi) designation as a Federally Qualified Health Center, a Federally Qualified Health Center Look-Alike, or a Disproportionate Share Hospital; (vii) location in a Healthcare Provider Shortage Area; (viii) new Round 2 applicants that did not apply for funding during Round 1; and (ix) location in a rural area.</w:t>
      </w:r>
      <w:r w:rsidRPr="00D8009D">
        <w:rPr>
          <w:i/>
          <w:iCs/>
        </w:rPr>
        <w:t xml:space="preserve"> </w:t>
      </w:r>
      <w:r>
        <w:rPr>
          <w:i/>
          <w:iCs/>
        </w:rPr>
        <w:t xml:space="preserve"> </w:t>
      </w:r>
      <w:r w:rsidRPr="00771175">
        <w:rPr>
          <w:i/>
          <w:iCs/>
        </w:rPr>
        <w:t>See</w:t>
      </w:r>
      <w:r>
        <w:t xml:space="preserve"> </w:t>
      </w:r>
      <w:r w:rsidRPr="00201984">
        <w:rPr>
          <w:i/>
          <w:iCs/>
        </w:rPr>
        <w:t>Second COVID-19 Report and Order</w:t>
      </w:r>
      <w:r>
        <w:t xml:space="preserve"> at 17-27, 49-51, paras. 38-51, Appendix C.</w:t>
      </w:r>
    </w:p>
  </w:footnote>
  <w:footnote w:id="15">
    <w:p w:rsidR="00EE4AC7" w:rsidP="00EE4AC7" w14:paraId="70DCA9DA" w14:textId="77777777">
      <w:pPr>
        <w:pStyle w:val="FootnoteText"/>
      </w:pPr>
      <w:r>
        <w:rPr>
          <w:rStyle w:val="FootnoteReference"/>
        </w:rPr>
        <w:footnoteRef/>
      </w:r>
      <w:r>
        <w:t xml:space="preserve"> </w:t>
      </w:r>
      <w:r w:rsidRPr="00201984">
        <w:rPr>
          <w:i/>
          <w:iCs/>
        </w:rPr>
        <w:t>Second COVID-19 Report and Order</w:t>
      </w:r>
      <w:r w:rsidRPr="003F3B2F">
        <w:rPr>
          <w:i/>
          <w:iCs/>
        </w:rPr>
        <w:t xml:space="preserve"> </w:t>
      </w:r>
      <w:r>
        <w:t xml:space="preserve">at 8, para. 16; </w:t>
      </w:r>
      <w:r w:rsidRPr="00F82085">
        <w:rPr>
          <w:i/>
          <w:iCs/>
        </w:rPr>
        <w:t>Wireline Competition Bureau Announces Application Filing Window for Round 2 of Covid-19 Telehealth Program Will Open April 29, 2021</w:t>
      </w:r>
      <w:r>
        <w:t xml:space="preserve">, </w:t>
      </w:r>
      <w:r w:rsidRPr="00943D35">
        <w:t>WC Docket No. 20-89</w:t>
      </w:r>
      <w:r>
        <w:t>, Public Notice,</w:t>
      </w:r>
      <w:r w:rsidRPr="00081258">
        <w:t xml:space="preserve"> DA 21-431</w:t>
      </w:r>
      <w:r>
        <w:t xml:space="preserve"> (WCB April 15, 2021) (</w:t>
      </w:r>
      <w:r w:rsidRPr="009562AD">
        <w:rPr>
          <w:i/>
          <w:iCs/>
        </w:rPr>
        <w:t>Application Filing Window Public Notice</w:t>
      </w:r>
      <w:r>
        <w:t>).</w:t>
      </w:r>
    </w:p>
  </w:footnote>
  <w:footnote w:id="16">
    <w:p w:rsidR="00EE4AC7" w:rsidRPr="00C55C90" w:rsidP="00EE4AC7" w14:paraId="5C6D102C" w14:textId="77777777">
      <w:pPr>
        <w:pStyle w:val="FootnoteText"/>
      </w:pPr>
      <w:r>
        <w:rPr>
          <w:rStyle w:val="FootnoteReference"/>
        </w:rPr>
        <w:footnoteRef/>
      </w:r>
      <w:r>
        <w:t xml:space="preserve"> </w:t>
      </w:r>
      <w:r w:rsidRPr="009562AD">
        <w:rPr>
          <w:i/>
          <w:iCs/>
        </w:rPr>
        <w:t>Application Filing Window Public Notice</w:t>
      </w:r>
      <w:r>
        <w:t>.</w:t>
      </w:r>
    </w:p>
  </w:footnote>
  <w:footnote w:id="17">
    <w:p w:rsidR="00EE4AC7" w:rsidRPr="00F0205B" w:rsidP="00EE4AC7" w14:paraId="5F124B1D" w14:textId="77777777">
      <w:pPr>
        <w:pStyle w:val="FootnoteText"/>
      </w:pPr>
      <w:r>
        <w:rPr>
          <w:rStyle w:val="FootnoteReference"/>
        </w:rPr>
        <w:footnoteRef/>
      </w:r>
      <w:r>
        <w:t xml:space="preserve"> </w:t>
      </w:r>
      <w:r w:rsidRPr="009562AD">
        <w:rPr>
          <w:i/>
          <w:iCs/>
        </w:rPr>
        <w:t>Application Filing Window Public Notice</w:t>
      </w:r>
      <w:r>
        <w:t>.</w:t>
      </w:r>
    </w:p>
  </w:footnote>
  <w:footnote w:id="18">
    <w:p w:rsidR="00EE4AC7" w:rsidP="00EE4AC7" w14:paraId="5BD87D49" w14:textId="77777777">
      <w:pPr>
        <w:pStyle w:val="FootnoteText"/>
      </w:pPr>
      <w:r>
        <w:rPr>
          <w:rStyle w:val="FootnoteReference"/>
        </w:rPr>
        <w:footnoteRef/>
      </w:r>
      <w:r>
        <w:t xml:space="preserve"> </w:t>
      </w:r>
      <w:r w:rsidRPr="0026393B">
        <w:rPr>
          <w:i/>
          <w:iCs/>
        </w:rPr>
        <w:t>See</w:t>
      </w:r>
      <w:r w:rsidRPr="0026393B">
        <w:t xml:space="preserve"> </w:t>
      </w:r>
      <w:r>
        <w:rPr>
          <w:i/>
          <w:iCs/>
        </w:rPr>
        <w:t>Rural Health Care Support Mechanism; Promoting Telehealth in Rural America</w:t>
      </w:r>
      <w:r>
        <w:t>, CC Docket No. 02-60, 17-310, Order, DA 21-394, at 11, para. 27-28 (WCB Apr. 8, 2021)</w:t>
      </w:r>
      <w:r w:rsidRPr="0026393B">
        <w:t xml:space="preserve"> </w:t>
      </w:r>
      <w:r>
        <w:t>(</w:t>
      </w:r>
      <w:r w:rsidRPr="0026393B">
        <w:t>waiving certain</w:t>
      </w:r>
      <w:r>
        <w:t xml:space="preserve"> RHC Program</w:t>
      </w:r>
      <w:r w:rsidRPr="0026393B">
        <w:t xml:space="preserve"> deadlines</w:t>
      </w:r>
      <w:r>
        <w:t xml:space="preserve"> for </w:t>
      </w:r>
      <w:r w:rsidRPr="0026393B">
        <w:t>participants who attempted to meet the deadline but were unable to due to the COVID</w:t>
      </w:r>
      <w:r>
        <w:t>-19</w:t>
      </w:r>
      <w:r w:rsidRPr="0026393B">
        <w:t xml:space="preserve"> pandemic)</w:t>
      </w:r>
      <w:r>
        <w:t xml:space="preserve"> (</w:t>
      </w:r>
      <w:r>
        <w:rPr>
          <w:i/>
          <w:iCs/>
        </w:rPr>
        <w:t>2021 RHC Waiver Order</w:t>
      </w:r>
      <w:r>
        <w:t>).</w:t>
      </w:r>
    </w:p>
  </w:footnote>
  <w:footnote w:id="19">
    <w:p w:rsidR="00EE4AC7" w:rsidRPr="00222B0F" w:rsidP="00EE4AC7" w14:paraId="1B4B4CFD" w14:textId="77777777">
      <w:pPr>
        <w:pStyle w:val="FootnoteText"/>
      </w:pPr>
      <w:r>
        <w:rPr>
          <w:rStyle w:val="FootnoteReference"/>
        </w:rPr>
        <w:footnoteRef/>
      </w:r>
      <w:r>
        <w:t xml:space="preserve"> </w:t>
      </w:r>
      <w:r>
        <w:rPr>
          <w:i/>
          <w:iCs/>
        </w:rPr>
        <w:t>See</w:t>
      </w:r>
      <w:r>
        <w:t xml:space="preserve"> </w:t>
      </w:r>
      <w:r>
        <w:rPr>
          <w:i/>
          <w:iCs/>
        </w:rPr>
        <w:t>infra</w:t>
      </w:r>
      <w:r>
        <w:t>, Appendix, List of Potential Applicants Afforded Relief.</w:t>
      </w:r>
    </w:p>
  </w:footnote>
  <w:footnote w:id="20">
    <w:p w:rsidR="00EE4AC7" w:rsidP="00EE4AC7" w14:paraId="32D535DE" w14:textId="77777777">
      <w:pPr>
        <w:pStyle w:val="FootnoteText"/>
      </w:pPr>
      <w:r>
        <w:rPr>
          <w:rStyle w:val="FootnoteReference"/>
        </w:rPr>
        <w:footnoteRef/>
      </w:r>
      <w:r>
        <w:t xml:space="preserve"> </w:t>
      </w:r>
      <w:r w:rsidRPr="0026393B">
        <w:rPr>
          <w:i/>
          <w:iCs/>
        </w:rPr>
        <w:t>Requests for Waiver and Review of Decisions of the Universal Service Administrator by Academy of Math and Science</w:t>
      </w:r>
      <w:r>
        <w:rPr>
          <w:i/>
          <w:iCs/>
        </w:rPr>
        <w:t xml:space="preserve"> </w:t>
      </w:r>
      <w:r w:rsidRPr="0026393B">
        <w:rPr>
          <w:i/>
          <w:iCs/>
        </w:rPr>
        <w:t>et al</w:t>
      </w:r>
      <w:r w:rsidRPr="0026393B">
        <w:t xml:space="preserve">., </w:t>
      </w:r>
      <w:r w:rsidRPr="00CF1DD1">
        <w:t>CC Docket No. 02-6</w:t>
      </w:r>
      <w:r>
        <w:t xml:space="preserve">0, </w:t>
      </w:r>
      <w:r w:rsidRPr="0026393B">
        <w:t>Order, 25 FCC Rcd 9256, 9258, 9261-2, paras. 2, 13 (2010) (</w:t>
      </w:r>
      <w:r w:rsidRPr="0026393B">
        <w:rPr>
          <w:i/>
          <w:iCs/>
        </w:rPr>
        <w:t>Academy of Math and Science Waiver Order</w:t>
      </w:r>
      <w:r w:rsidRPr="0026393B">
        <w:t xml:space="preserve">) (“technical malfunctions, school reorganizations, a misunderstanding related to the filing deadline, personal staff emergencies, inadvertent errors, or circumstances beyond [applicants’] control, including inclement weather,” could constitute special circumstances that would warrant a waiver); </w:t>
      </w:r>
      <w:hyperlink r:id="rId2" w:anchor="co_pp_sp_4493_15476" w:history="1">
        <w:r w:rsidRPr="00CF1DD1">
          <w:rPr>
            <w:rStyle w:val="Hyperlink"/>
            <w:i/>
            <w:iCs/>
            <w:color w:val="auto"/>
            <w:u w:val="none"/>
          </w:rPr>
          <w:t>Requests for Waiver and Review of Decisions of the Universal Service Administrator by Acorn Public Library</w:t>
        </w:r>
      </w:hyperlink>
      <w:r w:rsidRPr="0026393B">
        <w:t>,</w:t>
      </w:r>
      <w:r>
        <w:t xml:space="preserve"> CC Docket No. 02-6,</w:t>
      </w:r>
      <w:r w:rsidRPr="0026393B">
        <w:t xml:space="preserve"> Order, 23 FCC Rcd 15474, 15475, para. 3 (WCB 2008) (same).</w:t>
      </w:r>
    </w:p>
  </w:footnote>
  <w:footnote w:id="21">
    <w:p w:rsidR="00EE4AC7" w:rsidRPr="00E24EEB" w:rsidP="00EE4AC7" w14:paraId="388042B7" w14:textId="77777777">
      <w:pPr>
        <w:pStyle w:val="FootnoteText"/>
      </w:pPr>
      <w:r w:rsidRPr="00E24EEB">
        <w:rPr>
          <w:rStyle w:val="FootnoteReference"/>
        </w:rPr>
        <w:footnoteRef/>
      </w:r>
      <w:r w:rsidRPr="00E24EEB">
        <w:t xml:space="preserve"> 47 CFR § 1.3.</w:t>
      </w:r>
    </w:p>
  </w:footnote>
  <w:footnote w:id="22">
    <w:p w:rsidR="00EE4AC7" w:rsidRPr="00E24EEB" w:rsidP="00EE4AC7" w14:paraId="2B8C41BF" w14:textId="77777777">
      <w:pPr>
        <w:pStyle w:val="FootnoteText"/>
      </w:pPr>
      <w:r w:rsidRPr="00E24EEB">
        <w:rPr>
          <w:rStyle w:val="FootnoteReference"/>
        </w:rPr>
        <w:footnoteRef/>
      </w:r>
      <w:r w:rsidRPr="00E24EEB">
        <w:t xml:space="preserve"> </w:t>
      </w:r>
      <w:r w:rsidRPr="00E24EEB">
        <w:rPr>
          <w:i/>
        </w:rPr>
        <w:t>Northeast Cellular Telephone Co. v. FCC</w:t>
      </w:r>
      <w:r w:rsidRPr="00E24EEB">
        <w:t>, 897 F.2d 1164, 1166 (D.C. Cir. 1990) (</w:t>
      </w:r>
      <w:r w:rsidRPr="00E24EEB">
        <w:rPr>
          <w:i/>
        </w:rPr>
        <w:t>Northeast Cellular</w:t>
      </w:r>
      <w:r w:rsidRPr="00E24EEB">
        <w:t xml:space="preserve">). </w:t>
      </w:r>
    </w:p>
  </w:footnote>
  <w:footnote w:id="23">
    <w:p w:rsidR="00EE4AC7" w:rsidRPr="00E24EEB" w:rsidP="00EE4AC7" w14:paraId="3EC2F901" w14:textId="77777777">
      <w:pPr>
        <w:pStyle w:val="FootnoteText"/>
      </w:pPr>
      <w:r w:rsidRPr="00E24EEB">
        <w:rPr>
          <w:rStyle w:val="FootnoteReference"/>
        </w:rPr>
        <w:footnoteRef/>
      </w:r>
      <w:r w:rsidRPr="00E24EEB">
        <w:t xml:space="preserve"> </w:t>
      </w:r>
      <w:r w:rsidRPr="00E24EEB">
        <w:rPr>
          <w:i/>
        </w:rPr>
        <w:t>WAIT Radio v. FCC</w:t>
      </w:r>
      <w:r w:rsidRPr="00E24EEB">
        <w:t xml:space="preserve">, 418 F.2d 1153, 1159 (D.C. Cir. 1969); </w:t>
      </w:r>
      <w:r w:rsidRPr="00E24EEB">
        <w:rPr>
          <w:i/>
        </w:rPr>
        <w:t>Northeast Cellular</w:t>
      </w:r>
      <w:r w:rsidRPr="00E24EEB">
        <w:t>, 897 F.2d at 1166.</w:t>
      </w:r>
    </w:p>
  </w:footnote>
  <w:footnote w:id="24">
    <w:p w:rsidR="00EE4AC7" w:rsidRPr="00E24EEB" w:rsidP="00EE4AC7" w14:paraId="58D7732E" w14:textId="77777777">
      <w:pPr>
        <w:pStyle w:val="FootnoteText"/>
      </w:pPr>
      <w:r w:rsidRPr="00E24EEB">
        <w:rPr>
          <w:rStyle w:val="FootnoteReference"/>
        </w:rPr>
        <w:footnoteRef/>
      </w:r>
      <w:r w:rsidRPr="00E24EEB">
        <w:t xml:space="preserve"> </w:t>
      </w:r>
      <w:r w:rsidRPr="00E24EEB">
        <w:rPr>
          <w:i/>
        </w:rPr>
        <w:t>Northeast Cellular</w:t>
      </w:r>
      <w:r w:rsidRPr="00E24EEB">
        <w:t>, 897 F.2d at 1166.</w:t>
      </w:r>
    </w:p>
  </w:footnote>
  <w:footnote w:id="25">
    <w:p w:rsidR="00EE4AC7" w:rsidRPr="00CB005A" w:rsidP="00EE4AC7" w14:paraId="5C6A810E" w14:textId="77777777">
      <w:pPr>
        <w:pStyle w:val="FootnoteText"/>
      </w:pPr>
      <w:r>
        <w:rPr>
          <w:rStyle w:val="FootnoteReference"/>
        </w:rPr>
        <w:footnoteRef/>
      </w:r>
      <w:r>
        <w:t xml:space="preserve"> </w:t>
      </w:r>
      <w:r>
        <w:rPr>
          <w:i/>
          <w:iCs/>
        </w:rPr>
        <w:t>See Rural Health Care Support Mechanism; Promoting Telehealth in Rural America</w:t>
      </w:r>
      <w:r>
        <w:t>, WC Docket No. 02-60, 17-310, Order, DA 21-394, at 11, para. 28 (WCB Apr. 8, 2021) (finding that the extensive and ongoing disruptions to health care providers caused by the persistent and prolonged COVID-19 crisis, the emergence and quick spreading of the more contagious new variants, and the overwhelming burden placed on health care providers in administering COVID-19 testing and vaccines present compelling and unique circumstances that merit waivers of our rules and additional relief).</w:t>
      </w:r>
    </w:p>
  </w:footnote>
  <w:footnote w:id="26">
    <w:p w:rsidR="00EE4AC7" w:rsidRPr="00D139C1" w:rsidP="00EE4AC7" w14:paraId="7CE5CBA7" w14:textId="77777777">
      <w:pPr>
        <w:pStyle w:val="FootnoteText"/>
      </w:pPr>
      <w:r>
        <w:rPr>
          <w:rStyle w:val="FootnoteReference"/>
        </w:rPr>
        <w:footnoteRef/>
      </w:r>
      <w:r>
        <w:t xml:space="preserve"> </w:t>
      </w:r>
      <w:r>
        <w:rPr>
          <w:i/>
          <w:iCs/>
        </w:rPr>
        <w:t>See</w:t>
      </w:r>
      <w:r>
        <w:t xml:space="preserve"> </w:t>
      </w:r>
      <w:r w:rsidRPr="00493784">
        <w:rPr>
          <w:i/>
          <w:iCs/>
        </w:rPr>
        <w:t>NetworkIP, LLC v. F</w:t>
      </w:r>
      <w:r>
        <w:rPr>
          <w:i/>
          <w:iCs/>
        </w:rPr>
        <w:t>CC</w:t>
      </w:r>
      <w:r w:rsidRPr="00493784">
        <w:t>, 548 F.3d 116, 127 (D.C. Cir. 2008)</w:t>
      </w:r>
      <w:r>
        <w:t>.</w:t>
      </w:r>
    </w:p>
  </w:footnote>
  <w:footnote w:id="27">
    <w:p w:rsidR="00EE4AC7" w:rsidRPr="00BB6CB7" w:rsidP="00EE4AC7" w14:paraId="16C2B025" w14:textId="77777777">
      <w:pPr>
        <w:pStyle w:val="FootnoteText"/>
        <w:rPr>
          <w:i/>
          <w:iCs/>
        </w:rPr>
      </w:pPr>
      <w:r>
        <w:rPr>
          <w:rStyle w:val="FootnoteReference"/>
        </w:rPr>
        <w:footnoteRef/>
      </w:r>
      <w:r>
        <w:t xml:space="preserve"> </w:t>
      </w:r>
      <w:r>
        <w:rPr>
          <w:i/>
          <w:iCs/>
        </w:rPr>
        <w:t xml:space="preserve">See 2021 RHC Waiver Order </w:t>
      </w:r>
      <w:r>
        <w:t>at 11, para. 28.</w:t>
      </w:r>
    </w:p>
  </w:footnote>
  <w:footnote w:id="28">
    <w:p w:rsidR="00EE4AC7" w:rsidRPr="0018030D" w:rsidP="00EE4AC7" w14:paraId="45EC3343" w14:textId="77777777">
      <w:pPr>
        <w:pStyle w:val="FootnoteText"/>
      </w:pPr>
      <w:r>
        <w:rPr>
          <w:rStyle w:val="FootnoteReference"/>
        </w:rPr>
        <w:footnoteRef/>
      </w:r>
      <w:r>
        <w:t xml:space="preserve"> </w:t>
      </w:r>
      <w:r w:rsidRPr="001276B7">
        <w:rPr>
          <w:i/>
          <w:iCs/>
        </w:rPr>
        <w:t>Second COVID-19 Report and Order</w:t>
      </w:r>
      <w:r>
        <w:t xml:space="preserve"> at 16, para. 37.</w:t>
      </w:r>
    </w:p>
  </w:footnote>
  <w:footnote w:id="29">
    <w:p w:rsidR="00EE4AC7" w:rsidRPr="000B72B3" w:rsidP="00EE4AC7" w14:paraId="1177778C" w14:textId="77777777">
      <w:pPr>
        <w:pStyle w:val="FootnoteText"/>
      </w:pPr>
      <w:r>
        <w:rPr>
          <w:rStyle w:val="FootnoteReference"/>
        </w:rPr>
        <w:footnoteRef/>
      </w:r>
      <w:r>
        <w:t xml:space="preserve"> </w:t>
      </w:r>
      <w:r>
        <w:rPr>
          <w:i/>
          <w:iCs/>
        </w:rPr>
        <w:t>Id.</w:t>
      </w:r>
      <w:r>
        <w:t xml:space="preserve"> </w:t>
      </w:r>
    </w:p>
  </w:footnote>
  <w:footnote w:id="30">
    <w:p w:rsidR="00EE4AC7" w:rsidP="00EE4AC7" w14:paraId="2F31E00C" w14:textId="77777777">
      <w:pPr>
        <w:pStyle w:val="FootnoteText"/>
      </w:pPr>
      <w:r>
        <w:rPr>
          <w:rStyle w:val="FootnoteReference"/>
        </w:rPr>
        <w:footnoteRef/>
      </w:r>
      <w:r>
        <w:t xml:space="preserve"> If an applicant started an application, but did not save it prior to the deadline, the unsaved draft would not have registered in the Commission system.  </w:t>
      </w:r>
    </w:p>
  </w:footnote>
  <w:footnote w:id="31">
    <w:p w:rsidR="00EE4AC7" w:rsidRPr="00B94910" w:rsidP="00EE4AC7" w14:paraId="276CE9F4" w14:textId="77777777">
      <w:pPr>
        <w:pStyle w:val="FootnoteText"/>
      </w:pPr>
      <w:r>
        <w:rPr>
          <w:rStyle w:val="FootnoteReference"/>
        </w:rPr>
        <w:footnoteRef/>
      </w:r>
      <w:r>
        <w:t xml:space="preserve"> </w:t>
      </w:r>
      <w:r>
        <w:rPr>
          <w:i/>
          <w:iCs/>
        </w:rPr>
        <w:t xml:space="preserve">See 2021 RHC Waiver Order </w:t>
      </w:r>
      <w:r>
        <w:t xml:space="preserve">at 14, para. 32 (declining to automatically extend a deadline for all interested parties, and instead requiring an individualized request for relief); </w:t>
      </w:r>
      <w:r w:rsidRPr="0026393B">
        <w:rPr>
          <w:i/>
          <w:iCs/>
        </w:rPr>
        <w:t>Academy of Math and Science Waiver Order</w:t>
      </w:r>
      <w:r>
        <w:t>, 25 FCC Rcd at 9261-62, para. 13 (denying requests for waiver to applicants that did not provide evidence of special circumstances to meet the waiver standard).</w:t>
      </w:r>
    </w:p>
  </w:footnote>
  <w:footnote w:id="32">
    <w:p w:rsidR="00EE4AC7" w:rsidP="00EE4AC7" w14:paraId="1857F4F5" w14:textId="77777777">
      <w:pPr>
        <w:pStyle w:val="FootnoteText"/>
      </w:pPr>
      <w:r>
        <w:rPr>
          <w:rStyle w:val="FootnoteReference"/>
        </w:rPr>
        <w:footnoteRef/>
      </w:r>
      <w:r>
        <w:t xml:space="preserve"> </w:t>
      </w:r>
      <w:r w:rsidRPr="00EF1DF0">
        <w:rPr>
          <w:i/>
          <w:iCs/>
        </w:rPr>
        <w:t>Second</w:t>
      </w:r>
      <w:r>
        <w:rPr>
          <w:i/>
          <w:iCs/>
        </w:rPr>
        <w:t xml:space="preserve"> COVID-19</w:t>
      </w:r>
      <w:r w:rsidRPr="00EF1DF0">
        <w:rPr>
          <w:i/>
          <w:iCs/>
        </w:rPr>
        <w:t xml:space="preserve"> Report and Order</w:t>
      </w:r>
      <w:r>
        <w:t xml:space="preserve"> at 7, para. 11.</w:t>
      </w:r>
    </w:p>
  </w:footnote>
  <w:footnote w:id="33">
    <w:p w:rsidR="00EE4AC7" w:rsidRPr="00483439" w:rsidP="00EE4AC7" w14:paraId="015D2124" w14:textId="77777777">
      <w:pPr>
        <w:pStyle w:val="FootnoteText"/>
      </w:pPr>
      <w:r>
        <w:rPr>
          <w:rStyle w:val="FootnoteReference"/>
        </w:rPr>
        <w:footnoteRef/>
      </w:r>
      <w:r>
        <w:t xml:space="preserve"> Consistent with USAC’s review of all applications, entities that did not complete their applications fully will be contacted by USAC during their review of these applications to obtain additional information about funding details, lead health care providers, and details about any evaluation metrics that have been claimed on the application.  </w:t>
      </w:r>
      <w:r>
        <w:rPr>
          <w:i/>
          <w:iCs/>
        </w:rPr>
        <w:t xml:space="preserve">See generally Second COVID-19 Report and Order </w:t>
      </w:r>
      <w:r>
        <w:t>at</w:t>
      </w:r>
      <w:r w:rsidRPr="00826C37">
        <w:t xml:space="preserve"> </w:t>
      </w:r>
      <w:r>
        <w:t xml:space="preserve">46-51, Appendix C.  Applicants will be able to supplement applications that do not score highly enough to receive funding awards after the initial commitment phase has concluded.  </w:t>
      </w:r>
      <w:r>
        <w:rPr>
          <w:i/>
          <w:iCs/>
        </w:rPr>
        <w:t>See Second COVID-19 Report and Order</w:t>
      </w:r>
      <w:r>
        <w:t xml:space="preserve"> at 32-33, paras. 65-66.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BFE127" w14:textId="0DE5B476">
    <w:pPr>
      <w:pStyle w:val="Header"/>
      <w:rPr>
        <w:b w:val="0"/>
      </w:rPr>
    </w:pPr>
    <w:r>
      <w:tab/>
      <w:t>Federal Communications Commission</w:t>
    </w:r>
    <w:r>
      <w:tab/>
    </w:r>
    <w:r w:rsidR="00EE4AC7">
      <w:t>DA 21-</w:t>
    </w:r>
    <w:r w:rsidR="00F322C5">
      <w:t>771</w:t>
    </w:r>
  </w:p>
  <w:p w:rsidR="00D25FB5" w14:paraId="502D502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2464F1" w14:textId="7374F7E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E4AC7">
      <w:rPr>
        <w:spacing w:val="-2"/>
      </w:rPr>
      <w:t>DA 21-</w:t>
    </w:r>
    <w:r w:rsidR="00F322C5">
      <w:rPr>
        <w:spacing w:val="-2"/>
      </w:rPr>
      <w:t>771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C7"/>
    <w:rsid w:val="0002236E"/>
    <w:rsid w:val="00036039"/>
    <w:rsid w:val="00037F90"/>
    <w:rsid w:val="00041193"/>
    <w:rsid w:val="00081258"/>
    <w:rsid w:val="000875BF"/>
    <w:rsid w:val="00096D8C"/>
    <w:rsid w:val="000A7E09"/>
    <w:rsid w:val="000B05DF"/>
    <w:rsid w:val="000B72B3"/>
    <w:rsid w:val="000C0B65"/>
    <w:rsid w:val="000E05FE"/>
    <w:rsid w:val="000E3D42"/>
    <w:rsid w:val="00122BD5"/>
    <w:rsid w:val="00126E4B"/>
    <w:rsid w:val="001276B7"/>
    <w:rsid w:val="001336F1"/>
    <w:rsid w:val="00133F79"/>
    <w:rsid w:val="0017296B"/>
    <w:rsid w:val="0018030D"/>
    <w:rsid w:val="00194A66"/>
    <w:rsid w:val="001D5C65"/>
    <w:rsid w:val="001D6BCF"/>
    <w:rsid w:val="001E01CA"/>
    <w:rsid w:val="00201984"/>
    <w:rsid w:val="00222B0F"/>
    <w:rsid w:val="002605E8"/>
    <w:rsid w:val="0026393B"/>
    <w:rsid w:val="00275CF5"/>
    <w:rsid w:val="0028301F"/>
    <w:rsid w:val="00285017"/>
    <w:rsid w:val="002A2D2E"/>
    <w:rsid w:val="002C00E8"/>
    <w:rsid w:val="00334C29"/>
    <w:rsid w:val="0034220A"/>
    <w:rsid w:val="00343749"/>
    <w:rsid w:val="003660ED"/>
    <w:rsid w:val="003B0550"/>
    <w:rsid w:val="003B6908"/>
    <w:rsid w:val="003B694F"/>
    <w:rsid w:val="003C21DC"/>
    <w:rsid w:val="003F171C"/>
    <w:rsid w:val="003F3B2F"/>
    <w:rsid w:val="00412FC5"/>
    <w:rsid w:val="00422276"/>
    <w:rsid w:val="004242F1"/>
    <w:rsid w:val="00440DCF"/>
    <w:rsid w:val="00445A00"/>
    <w:rsid w:val="00451B0F"/>
    <w:rsid w:val="00470400"/>
    <w:rsid w:val="00483439"/>
    <w:rsid w:val="00493784"/>
    <w:rsid w:val="004C2EE3"/>
    <w:rsid w:val="004E4A22"/>
    <w:rsid w:val="004F141B"/>
    <w:rsid w:val="00511968"/>
    <w:rsid w:val="00520968"/>
    <w:rsid w:val="0055614C"/>
    <w:rsid w:val="00566D06"/>
    <w:rsid w:val="005E14C2"/>
    <w:rsid w:val="005E67E9"/>
    <w:rsid w:val="00607BA5"/>
    <w:rsid w:val="0061180A"/>
    <w:rsid w:val="00626EB6"/>
    <w:rsid w:val="00655D03"/>
    <w:rsid w:val="00661546"/>
    <w:rsid w:val="00683388"/>
    <w:rsid w:val="00683F84"/>
    <w:rsid w:val="006A6A81"/>
    <w:rsid w:val="006D723F"/>
    <w:rsid w:val="006F1EF4"/>
    <w:rsid w:val="006F7393"/>
    <w:rsid w:val="0070224F"/>
    <w:rsid w:val="007115F7"/>
    <w:rsid w:val="007323F9"/>
    <w:rsid w:val="00771175"/>
    <w:rsid w:val="00785689"/>
    <w:rsid w:val="0079754B"/>
    <w:rsid w:val="007A1E6D"/>
    <w:rsid w:val="007B0EB2"/>
    <w:rsid w:val="007B7225"/>
    <w:rsid w:val="007D3000"/>
    <w:rsid w:val="007F14F8"/>
    <w:rsid w:val="00810B6F"/>
    <w:rsid w:val="00822CE0"/>
    <w:rsid w:val="00826C37"/>
    <w:rsid w:val="00841AB1"/>
    <w:rsid w:val="0089052D"/>
    <w:rsid w:val="008C68F1"/>
    <w:rsid w:val="008D5F71"/>
    <w:rsid w:val="008F5AAE"/>
    <w:rsid w:val="009065D0"/>
    <w:rsid w:val="00921803"/>
    <w:rsid w:val="00924163"/>
    <w:rsid w:val="00926503"/>
    <w:rsid w:val="00934432"/>
    <w:rsid w:val="00943D35"/>
    <w:rsid w:val="009562AD"/>
    <w:rsid w:val="009726D8"/>
    <w:rsid w:val="00987D8D"/>
    <w:rsid w:val="009C588A"/>
    <w:rsid w:val="009D450F"/>
    <w:rsid w:val="009D7308"/>
    <w:rsid w:val="009F76DB"/>
    <w:rsid w:val="00A32C3B"/>
    <w:rsid w:val="00A45F4F"/>
    <w:rsid w:val="00A600A9"/>
    <w:rsid w:val="00AA55B7"/>
    <w:rsid w:val="00AA5B9E"/>
    <w:rsid w:val="00AB2407"/>
    <w:rsid w:val="00AB53DF"/>
    <w:rsid w:val="00AC720A"/>
    <w:rsid w:val="00AE7E3C"/>
    <w:rsid w:val="00B07E5C"/>
    <w:rsid w:val="00B14EDC"/>
    <w:rsid w:val="00B811F7"/>
    <w:rsid w:val="00B94910"/>
    <w:rsid w:val="00BA5DC6"/>
    <w:rsid w:val="00BA6196"/>
    <w:rsid w:val="00BB413A"/>
    <w:rsid w:val="00BB6CB7"/>
    <w:rsid w:val="00BC6D8C"/>
    <w:rsid w:val="00BE2798"/>
    <w:rsid w:val="00C34006"/>
    <w:rsid w:val="00C36B4C"/>
    <w:rsid w:val="00C426B1"/>
    <w:rsid w:val="00C55C90"/>
    <w:rsid w:val="00C66160"/>
    <w:rsid w:val="00C721AC"/>
    <w:rsid w:val="00C90D6A"/>
    <w:rsid w:val="00CA247E"/>
    <w:rsid w:val="00CA6D21"/>
    <w:rsid w:val="00CB005A"/>
    <w:rsid w:val="00CC72B6"/>
    <w:rsid w:val="00CF1DD1"/>
    <w:rsid w:val="00D0218D"/>
    <w:rsid w:val="00D139C1"/>
    <w:rsid w:val="00D25FB5"/>
    <w:rsid w:val="00D44223"/>
    <w:rsid w:val="00D704C3"/>
    <w:rsid w:val="00D8009D"/>
    <w:rsid w:val="00DA2529"/>
    <w:rsid w:val="00DB130A"/>
    <w:rsid w:val="00DB2EBB"/>
    <w:rsid w:val="00DC10A1"/>
    <w:rsid w:val="00DC655F"/>
    <w:rsid w:val="00DD0B59"/>
    <w:rsid w:val="00DD7EBD"/>
    <w:rsid w:val="00DF62B6"/>
    <w:rsid w:val="00E07225"/>
    <w:rsid w:val="00E24EEB"/>
    <w:rsid w:val="00E5409F"/>
    <w:rsid w:val="00EE4AC7"/>
    <w:rsid w:val="00EE6488"/>
    <w:rsid w:val="00EF1DF0"/>
    <w:rsid w:val="00F0205B"/>
    <w:rsid w:val="00F021FA"/>
    <w:rsid w:val="00F322C5"/>
    <w:rsid w:val="00F33E81"/>
    <w:rsid w:val="00F40A45"/>
    <w:rsid w:val="00F62E97"/>
    <w:rsid w:val="00F64209"/>
    <w:rsid w:val="00F8208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42DFD0"/>
  <w15:chartTrackingRefBased/>
  <w15:docId w15:val="{AAAF05BC-BEE1-45ED-BF73-E0092435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qowt-stl-stylenumberedparagraphs11ptchar">
    <w:name w:val="qowt-stl-stylenumberedparagraphs11ptchar"/>
    <w:rsid w:val="00EE4AC7"/>
  </w:style>
  <w:style w:type="table" w:styleId="TableGrid">
    <w:name w:val="Table Grid"/>
    <w:basedOn w:val="TableNormal"/>
    <w:rsid w:val="00EE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22C5"/>
    <w:rPr>
      <w:rFonts w:ascii="Segoe UI" w:hAnsi="Segoe UI" w:cs="Segoe UI"/>
      <w:sz w:val="18"/>
      <w:szCs w:val="18"/>
    </w:rPr>
  </w:style>
  <w:style w:type="character" w:customStyle="1" w:styleId="BalloonTextChar">
    <w:name w:val="Balloon Text Char"/>
    <w:link w:val="BalloonText"/>
    <w:rsid w:val="00F322C5"/>
    <w:rPr>
      <w:rFonts w:ascii="Segoe UI" w:hAnsi="Segoe UI" w:cs="Segoe UI"/>
      <w:snapToGrid w:val="0"/>
      <w:kern w:val="28"/>
      <w:sz w:val="18"/>
      <w:szCs w:val="18"/>
    </w:rPr>
  </w:style>
  <w:style w:type="character" w:styleId="FollowedHyperlink">
    <w:name w:val="FollowedHyperlink"/>
    <w:basedOn w:val="DefaultParagraphFont"/>
    <w:rsid w:val="00890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bit.ly/3zRdUe8" TargetMode="External" /><Relationship Id="rId6" Type="http://schemas.openxmlformats.org/officeDocument/2006/relationships/hyperlink" Target="mailto:Round2TelehealthApplicationSupport@usac.org"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 Id="rId2" Type="http://schemas.openxmlformats.org/officeDocument/2006/relationships/hyperlink" Target="https://1.next.westlaw.com/Link/Document/FullText?findType=Y&amp;serNum=2017388921&amp;pubNum=0004493&amp;originatingDoc=I8e353b288c5b11dfbd1deb0d18fe7234&amp;refType=CA&amp;fi=co_pp_sp_4493_15476&amp;originationContext=document&amp;transitionType=DocumentItem&amp;contextData=(sc.Keycit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