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ED7887" w:rsidP="00ED7887" w14:paraId="1A074CD0" w14:textId="77777777">
      <w:pPr>
        <w:spacing w:line="259" w:lineRule="auto"/>
        <w:rPr>
          <w:rFonts w:eastAsia="Calibri"/>
          <w:b/>
          <w:bCs/>
          <w:sz w:val="24"/>
          <w:szCs w:val="24"/>
        </w:rPr>
      </w:pPr>
    </w:p>
    <w:p w:rsidR="00ED7887" w:rsidRPr="00D35EB7" w:rsidP="00ED7887" w14:paraId="4EFC60E9" w14:textId="75B8F3BE">
      <w:pPr>
        <w:spacing w:line="259" w:lineRule="auto"/>
        <w:jc w:val="right"/>
        <w:rPr>
          <w:rFonts w:eastAsia="Calibri"/>
          <w:b/>
          <w:bCs/>
          <w:sz w:val="24"/>
          <w:szCs w:val="24"/>
        </w:rPr>
      </w:pPr>
      <w:r w:rsidRPr="00D35EB7">
        <w:rPr>
          <w:rFonts w:eastAsia="Calibri"/>
          <w:b/>
          <w:bCs/>
          <w:sz w:val="24"/>
          <w:szCs w:val="24"/>
        </w:rPr>
        <w:t>DA 21-</w:t>
      </w:r>
      <w:r w:rsidR="001D539D">
        <w:rPr>
          <w:rFonts w:eastAsia="Calibri"/>
          <w:b/>
          <w:bCs/>
          <w:sz w:val="24"/>
          <w:szCs w:val="24"/>
        </w:rPr>
        <w:t>763</w:t>
      </w:r>
    </w:p>
    <w:p w:rsidR="00ED7887" w:rsidRPr="0096392F" w:rsidP="00ED7887" w14:paraId="431EB68B" w14:textId="77777777">
      <w:pPr>
        <w:spacing w:line="259" w:lineRule="auto"/>
        <w:jc w:val="center"/>
        <w:rPr>
          <w:rFonts w:eastAsia="Calibri"/>
          <w:b/>
          <w:bCs/>
          <w:sz w:val="24"/>
          <w:szCs w:val="24"/>
        </w:rPr>
      </w:pPr>
      <w:r w:rsidRPr="0096392F">
        <w:rPr>
          <w:rFonts w:eastAsia="Calibri"/>
          <w:b/>
          <w:bCs/>
          <w:sz w:val="24"/>
          <w:szCs w:val="24"/>
        </w:rPr>
        <w:t>WC Docket No. 21-93</w:t>
      </w:r>
    </w:p>
    <w:p w:rsidR="00ED7887" w:rsidRPr="008D7D52" w:rsidP="00ED7887" w14:paraId="0C4DBB8E" w14:textId="77777777">
      <w:pPr>
        <w:spacing w:line="259" w:lineRule="auto"/>
        <w:rPr>
          <w:rFonts w:eastAsia="Calibri"/>
          <w:sz w:val="24"/>
          <w:szCs w:val="24"/>
        </w:rPr>
      </w:pPr>
    </w:p>
    <w:p w:rsidR="00ED7887" w:rsidRPr="008D7D52" w:rsidP="00ED7887" w14:paraId="1D20EDE3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Craig Davis</w:t>
      </w:r>
    </w:p>
    <w:p w:rsidR="00ED7887" w:rsidRPr="008D7D52" w:rsidP="00ED7887" w14:paraId="1352D2E4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Vice President</w:t>
      </w:r>
      <w:r>
        <w:rPr>
          <w:rFonts w:eastAsia="Calibri"/>
          <w:sz w:val="24"/>
          <w:szCs w:val="24"/>
        </w:rPr>
        <w:t xml:space="preserve">, </w:t>
      </w:r>
      <w:r w:rsidRPr="008D7D52">
        <w:rPr>
          <w:rFonts w:eastAsia="Calibri"/>
          <w:sz w:val="24"/>
          <w:szCs w:val="24"/>
        </w:rPr>
        <w:t>Schools and Libraries Division</w:t>
      </w:r>
    </w:p>
    <w:p w:rsidR="00ED7887" w:rsidRPr="008D7D52" w:rsidP="00ED7887" w14:paraId="6B713BDC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Universal Service Administrative Company</w:t>
      </w:r>
    </w:p>
    <w:p w:rsidR="00ED7887" w:rsidRPr="008D7D52" w:rsidP="00ED7887" w14:paraId="72124840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700 12th St.</w:t>
      </w:r>
      <w:r>
        <w:rPr>
          <w:rFonts w:eastAsia="Calibri"/>
          <w:sz w:val="24"/>
          <w:szCs w:val="24"/>
        </w:rPr>
        <w:t>,</w:t>
      </w:r>
      <w:r w:rsidRPr="008D7D52">
        <w:rPr>
          <w:rFonts w:eastAsia="Calibri"/>
          <w:sz w:val="24"/>
          <w:szCs w:val="24"/>
        </w:rPr>
        <w:t xml:space="preserve"> NW</w:t>
      </w:r>
      <w:r>
        <w:rPr>
          <w:rFonts w:eastAsia="Calibri"/>
          <w:sz w:val="24"/>
          <w:szCs w:val="24"/>
        </w:rPr>
        <w:t>,</w:t>
      </w:r>
      <w:r w:rsidRPr="008D7D5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Suite </w:t>
      </w:r>
      <w:r w:rsidRPr="008D7D52">
        <w:rPr>
          <w:rFonts w:eastAsia="Calibri"/>
          <w:sz w:val="24"/>
          <w:szCs w:val="24"/>
        </w:rPr>
        <w:t>900</w:t>
      </w:r>
    </w:p>
    <w:p w:rsidR="00ED7887" w:rsidP="00ED7887" w14:paraId="426ABDA7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Washington, DC 20005</w:t>
      </w:r>
    </w:p>
    <w:p w:rsidR="00ED7887" w:rsidRPr="008D7D52" w:rsidP="00ED7887" w14:paraId="13FA99FF" w14:textId="77777777">
      <w:pPr>
        <w:rPr>
          <w:rFonts w:eastAsia="Calibri"/>
          <w:sz w:val="24"/>
          <w:szCs w:val="24"/>
        </w:rPr>
      </w:pPr>
    </w:p>
    <w:p w:rsidR="00ED7887" w:rsidRPr="008D7D52" w:rsidP="00ED7887" w14:paraId="0FF27573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Dear Mr. Davis:</w:t>
      </w:r>
    </w:p>
    <w:p w:rsidR="00ED7887" w:rsidP="00ED7887" w14:paraId="31B68434" w14:textId="77777777">
      <w:pPr>
        <w:rPr>
          <w:rFonts w:eastAsia="Calibri"/>
          <w:sz w:val="24"/>
          <w:szCs w:val="24"/>
        </w:rPr>
      </w:pPr>
    </w:p>
    <w:p w:rsidR="00ED7887" w:rsidRPr="008D7D52" w:rsidP="00ED7887" w14:paraId="63907DE3" w14:textId="14F2626C">
      <w:pPr>
        <w:ind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The purpose of this letter is to notify the Universal Service Administrative Company that the Wireline Competition Bureau approves the </w:t>
      </w:r>
      <w:r>
        <w:rPr>
          <w:rFonts w:eastAsia="Calibri"/>
          <w:sz w:val="24"/>
          <w:szCs w:val="24"/>
        </w:rPr>
        <w:t>Emergency Connectivity Fund Program</w:t>
      </w:r>
      <w:r w:rsidRPr="008D7D52">
        <w:rPr>
          <w:rFonts w:eastAsia="Calibri"/>
          <w:sz w:val="24"/>
          <w:szCs w:val="24"/>
        </w:rPr>
        <w:t xml:space="preserve"> Funding Year 2021 Program Integrity Assurance </w:t>
      </w:r>
      <w:r>
        <w:rPr>
          <w:rFonts w:eastAsia="Calibri"/>
          <w:sz w:val="24"/>
          <w:szCs w:val="24"/>
        </w:rPr>
        <w:t xml:space="preserve">(PIA) </w:t>
      </w:r>
      <w:r w:rsidRPr="008D7D52">
        <w:rPr>
          <w:rFonts w:eastAsia="Calibri"/>
          <w:sz w:val="24"/>
          <w:szCs w:val="24"/>
        </w:rPr>
        <w:t>FCC Form 471 Review Procedures, subject to further modifications and/or instruction from the Commission.</w:t>
      </w:r>
    </w:p>
    <w:p w:rsidR="00ED7887" w:rsidRPr="008D7D52" w:rsidP="00ED7887" w14:paraId="393A67C0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Thank you for your attention to this matter.</w:t>
      </w:r>
    </w:p>
    <w:p w:rsidR="00ED7887" w:rsidRPr="008D7D52" w:rsidP="00ED7887" w14:paraId="10AAF503" w14:textId="77777777">
      <w:pPr>
        <w:rPr>
          <w:rFonts w:eastAsia="Calibri"/>
          <w:sz w:val="24"/>
          <w:szCs w:val="24"/>
        </w:rPr>
      </w:pPr>
    </w:p>
    <w:p w:rsidR="00ED7887" w:rsidRPr="008D7D52" w:rsidP="00ED7887" w14:paraId="098639C7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Sincerely,</w:t>
      </w:r>
    </w:p>
    <w:p w:rsidR="00ED7887" w:rsidRPr="007C0B71" w:rsidP="00ED7887" w14:paraId="7D6337EB" w14:textId="77777777">
      <w:pPr>
        <w:rPr>
          <w:rFonts w:ascii="Kunstler Script" w:eastAsia="Calibri" w:hAnsi="Kunstler Script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2150C9" w:rsidP="00ED7887" w14:paraId="5C388915" w14:textId="77777777">
      <w:pPr>
        <w:ind w:left="3600" w:firstLine="720"/>
        <w:rPr>
          <w:rFonts w:eastAsia="Calibri"/>
          <w:i/>
          <w:iCs/>
          <w:sz w:val="24"/>
          <w:szCs w:val="24"/>
          <w:u w:val="single"/>
        </w:rPr>
      </w:pPr>
    </w:p>
    <w:p w:rsidR="00ED7887" w:rsidP="00ED7887" w14:paraId="7BFD2F6E" w14:textId="62AE8531">
      <w:pPr>
        <w:ind w:left="3600" w:firstLine="720"/>
        <w:rPr>
          <w:rFonts w:eastAsia="Calibri"/>
          <w:sz w:val="24"/>
          <w:szCs w:val="24"/>
        </w:rPr>
      </w:pPr>
      <w:r w:rsidRPr="00ED7887">
        <w:rPr>
          <w:rFonts w:eastAsia="Calibri"/>
          <w:i/>
          <w:iCs/>
          <w:sz w:val="24"/>
          <w:szCs w:val="24"/>
          <w:u w:val="single"/>
        </w:rPr>
        <w:t xml:space="preserve">/s/ </w:t>
      </w:r>
      <w:r>
        <w:rPr>
          <w:rFonts w:eastAsia="Calibri"/>
          <w:i/>
          <w:iCs/>
          <w:sz w:val="24"/>
          <w:szCs w:val="24"/>
          <w:u w:val="single"/>
        </w:rPr>
        <w:t>Johnnay D. Schrieber</w:t>
      </w:r>
    </w:p>
    <w:p w:rsidR="00ED7887" w:rsidRPr="008D7D52" w:rsidP="00ED7887" w14:paraId="62652E27" w14:textId="457A32D7">
      <w:pPr>
        <w:ind w:left="3600" w:firstLine="720"/>
        <w:rPr>
          <w:rFonts w:eastAsia="Calibri"/>
          <w:sz w:val="24"/>
          <w:szCs w:val="24"/>
        </w:rPr>
      </w:pPr>
      <w:r w:rsidRPr="006B0A53">
        <w:rPr>
          <w:rFonts w:eastAsia="Calibri"/>
          <w:sz w:val="24"/>
          <w:szCs w:val="24"/>
        </w:rPr>
        <w:t xml:space="preserve">Johnnay </w:t>
      </w:r>
      <w:r>
        <w:rPr>
          <w:rFonts w:eastAsia="Calibri"/>
          <w:sz w:val="24"/>
          <w:szCs w:val="24"/>
        </w:rPr>
        <w:t xml:space="preserve">D. </w:t>
      </w:r>
      <w:r w:rsidRPr="006B0A53">
        <w:rPr>
          <w:rFonts w:eastAsia="Calibri"/>
          <w:sz w:val="24"/>
          <w:szCs w:val="24"/>
        </w:rPr>
        <w:t>Schrieber</w:t>
      </w:r>
    </w:p>
    <w:p w:rsidR="00ED7887" w:rsidRPr="008D7D52" w:rsidP="00ED7887" w14:paraId="5EA86AB4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Deputy Division Chief</w:t>
      </w:r>
    </w:p>
    <w:p w:rsidR="00ED7887" w:rsidRPr="008D7D52" w:rsidP="00ED7887" w14:paraId="7E1261BD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Telecommunications Access Policy Division</w:t>
      </w:r>
    </w:p>
    <w:p w:rsidR="00ED7887" w:rsidRPr="008D7D52" w:rsidP="00ED7887" w14:paraId="223C9483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Wireline Competition Bureau</w:t>
      </w:r>
    </w:p>
    <w:p w:rsidR="00ED7887" w:rsidRPr="008D7D52" w:rsidP="00ED7887" w14:paraId="091A1B04" w14:textId="77777777">
      <w:pPr>
        <w:rPr>
          <w:rFonts w:eastAsia="Calibri"/>
          <w:sz w:val="24"/>
          <w:szCs w:val="24"/>
        </w:rPr>
      </w:pPr>
    </w:p>
    <w:p w:rsidR="00ED7887" w:rsidRPr="008D7D52" w:rsidP="00ED7887" w14:paraId="498B2F7C" w14:textId="77777777">
      <w:pPr>
        <w:rPr>
          <w:rFonts w:eastAsia="Calibri"/>
          <w:sz w:val="24"/>
          <w:szCs w:val="24"/>
        </w:rPr>
      </w:pPr>
    </w:p>
    <w:p w:rsidR="00ED7887" w:rsidRPr="008D7D52" w:rsidP="00ED7887" w14:paraId="7BA98960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cc: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Kris Anne Monteith, Chief, WCB</w:t>
      </w:r>
    </w:p>
    <w:p w:rsidR="00ED7887" w:rsidP="00ED7887" w14:paraId="32082635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 xml:space="preserve">Sue McNeil, </w:t>
      </w:r>
      <w:r>
        <w:rPr>
          <w:rFonts w:eastAsia="Calibri"/>
          <w:sz w:val="24"/>
          <w:szCs w:val="24"/>
        </w:rPr>
        <w:t>Associate Bureau Chief</w:t>
      </w:r>
      <w:r w:rsidRPr="008D7D52">
        <w:rPr>
          <w:rFonts w:eastAsia="Calibri"/>
          <w:sz w:val="24"/>
          <w:szCs w:val="24"/>
        </w:rPr>
        <w:t>, WCB</w:t>
      </w:r>
    </w:p>
    <w:p w:rsidR="00ED7887" w:rsidRPr="008D7D52" w:rsidP="00ED7887" w14:paraId="7DAE7C51" w14:textId="7777777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Allison Baker, Policy Advisor, WCB</w:t>
      </w:r>
    </w:p>
    <w:p w:rsidR="00ED7887" w:rsidRPr="008D7D52" w:rsidP="00ED7887" w14:paraId="29E4310E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Ryan Palmer, Chief, TAPD</w:t>
      </w:r>
    </w:p>
    <w:p w:rsidR="00ED7887" w:rsidRPr="008D7D52" w:rsidP="00ED7887" w14:paraId="323AA2DB" w14:textId="77777777">
      <w:pPr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Mark Stephens, Managing Director, OMD</w:t>
      </w:r>
      <w:r w:rsidRPr="008D7D52">
        <w:rPr>
          <w:rFonts w:eastAsia="Calibri"/>
          <w:sz w:val="24"/>
          <w:szCs w:val="24"/>
        </w:rPr>
        <w:cr/>
      </w:r>
    </w:p>
    <w:p w:rsidR="00ED7887" w:rsidRPr="00204CE3" w:rsidP="00ED7887" w14:paraId="0E866AF4" w14:textId="77777777">
      <w:pPr>
        <w:rPr>
          <w:sz w:val="22"/>
          <w:szCs w:val="22"/>
        </w:rPr>
      </w:pPr>
    </w:p>
    <w:p w:rsidR="00204CE3" w:rsidRPr="00204CE3" w14:paraId="63CB3215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2A7976E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9.25pt;height:59.25pt;margin-top:0;margin-left:-31.8pt;position:absolute;z-index:-251658240" wrapcoords="7656 0 5742 547 1367 3828 273 6562 -273 8203 -273 13397 1641 17499 1641 18046 6835 21327 7656 21327 13671 21327 14491 21327 19686 18046 19686 17499 21600 13397 21600 8203 20233 3828 15858 820 13671 0 7656 0">
          <v:imagedata r:id="rId1" o:title="fcc-seal-rgb-2020"/>
          <w10:wrap type="tight"/>
        </v:shape>
      </w:pict>
    </w:r>
    <w:r>
      <w:rPr>
        <w:rFonts w:ascii="CG Times (W1)" w:hAnsi="CG Times (W1)"/>
        <w:sz w:val="28"/>
      </w:rPr>
      <w:t>Federal Communications Commission</w:t>
    </w:r>
  </w:p>
  <w:p w:rsidR="002B54DB" w:rsidP="001333F1" w14:paraId="02693573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19343221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0273DC0F" w14:textId="77777777">
    <w:pPr>
      <w:pStyle w:val="Header"/>
      <w:tabs>
        <w:tab w:val="clear" w:pos="4320"/>
      </w:tabs>
      <w:jc w:val="center"/>
      <w:rPr>
        <w:sz w:val="22"/>
      </w:rPr>
    </w:pPr>
  </w:p>
  <w:p w:rsidR="002B54DB" w:rsidRPr="0096392F" w14:paraId="31CDDB2E" w14:textId="137AE474">
    <w:pPr>
      <w:pStyle w:val="Header"/>
      <w:tabs>
        <w:tab w:val="clear" w:pos="4320"/>
      </w:tabs>
      <w:jc w:val="center"/>
      <w:rPr>
        <w:b/>
        <w:bCs/>
        <w:sz w:val="24"/>
      </w:rPr>
    </w:pPr>
    <w:r w:rsidRPr="0096392F">
      <w:rPr>
        <w:b/>
        <w:bCs/>
        <w:sz w:val="24"/>
      </w:rPr>
      <w:fldChar w:fldCharType="begin"/>
    </w:r>
    <w:r w:rsidRPr="0096392F">
      <w:rPr>
        <w:b/>
        <w:bCs/>
        <w:sz w:val="24"/>
      </w:rPr>
      <w:instrText xml:space="preserve"> TIME \@ "MMMM d, yyyy" </w:instrText>
    </w:r>
    <w:r w:rsidRPr="0096392F">
      <w:rPr>
        <w:b/>
        <w:bCs/>
        <w:sz w:val="24"/>
      </w:rPr>
      <w:fldChar w:fldCharType="separate"/>
    </w:r>
    <w:r w:rsidR="001D539D">
      <w:rPr>
        <w:b/>
        <w:bCs/>
        <w:noProof/>
        <w:sz w:val="24"/>
      </w:rPr>
      <w:t>June 28, 2021</w:t>
    </w:r>
    <w:r w:rsidRPr="0096392F">
      <w:rPr>
        <w:b/>
        <w:bCs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7"/>
    <w:rsid w:val="00035EA3"/>
    <w:rsid w:val="001333F1"/>
    <w:rsid w:val="001D539D"/>
    <w:rsid w:val="00204CE3"/>
    <w:rsid w:val="002150C9"/>
    <w:rsid w:val="002B54DB"/>
    <w:rsid w:val="004D3B53"/>
    <w:rsid w:val="006B0A53"/>
    <w:rsid w:val="007C0B71"/>
    <w:rsid w:val="008D7D52"/>
    <w:rsid w:val="0096392F"/>
    <w:rsid w:val="00D35EB7"/>
    <w:rsid w:val="00ED78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B10FF9"/>
  <w15:chartTrackingRefBased/>
  <w15:docId w15:val="{B057478B-AE27-47E1-A51C-CF2DAF5F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