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351B0A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F3C466" w14:textId="77777777">
      <w:pPr>
        <w:pStyle w:val="StyleBoldCentered"/>
      </w:pPr>
      <w:r>
        <w:t>F</w:t>
      </w:r>
      <w:r>
        <w:rPr>
          <w:caps w:val="0"/>
        </w:rPr>
        <w:t>ederal Communications Commission</w:t>
      </w:r>
    </w:p>
    <w:p w:rsidR="004C2EE3" w:rsidP="00096D8C" w14:paraId="05C257F2" w14:textId="77777777">
      <w:pPr>
        <w:pStyle w:val="StyleBoldCentered"/>
      </w:pPr>
      <w:r>
        <w:rPr>
          <w:caps w:val="0"/>
        </w:rPr>
        <w:t>Washington, D.C. 20554</w:t>
      </w:r>
    </w:p>
    <w:p w:rsidR="004C2EE3" w:rsidP="0070224F" w14:paraId="0BB49F0E" w14:textId="77777777"/>
    <w:p w:rsidR="004C2EE3" w:rsidP="0070224F" w14:paraId="2B46A225" w14:textId="77777777"/>
    <w:tbl>
      <w:tblPr>
        <w:tblW w:w="0" w:type="auto"/>
        <w:tblLayout w:type="fixed"/>
        <w:tblLook w:val="0000"/>
      </w:tblPr>
      <w:tblGrid>
        <w:gridCol w:w="4698"/>
        <w:gridCol w:w="630"/>
        <w:gridCol w:w="4248"/>
      </w:tblGrid>
      <w:tr w14:paraId="6375C997" w14:textId="77777777">
        <w:tblPrEx>
          <w:tblW w:w="0" w:type="auto"/>
          <w:tblLayout w:type="fixed"/>
          <w:tblLook w:val="0000"/>
        </w:tblPrEx>
        <w:tc>
          <w:tcPr>
            <w:tcW w:w="4698" w:type="dxa"/>
          </w:tcPr>
          <w:p w:rsidR="004C2EE3" w14:paraId="4FC738E9" w14:textId="77777777">
            <w:pPr>
              <w:tabs>
                <w:tab w:val="center" w:pos="4680"/>
              </w:tabs>
              <w:suppressAutoHyphens/>
              <w:rPr>
                <w:spacing w:val="-2"/>
              </w:rPr>
            </w:pPr>
            <w:r>
              <w:rPr>
                <w:spacing w:val="-2"/>
              </w:rPr>
              <w:t>In the Matter of</w:t>
            </w:r>
          </w:p>
          <w:p w:rsidR="004C2EE3" w14:paraId="28DF29D3" w14:textId="77777777">
            <w:pPr>
              <w:tabs>
                <w:tab w:val="center" w:pos="4680"/>
              </w:tabs>
              <w:suppressAutoHyphens/>
              <w:rPr>
                <w:spacing w:val="-2"/>
              </w:rPr>
            </w:pPr>
          </w:p>
          <w:p w:rsidR="00E12AC5" w:rsidRPr="00DC3D98" w:rsidP="00E12AC5" w14:paraId="14543BB4" w14:textId="77777777">
            <w:pPr>
              <w:tabs>
                <w:tab w:val="center" w:pos="4680"/>
              </w:tabs>
              <w:suppressAutoHyphens/>
              <w:rPr>
                <w:spacing w:val="-2"/>
                <w:szCs w:val="22"/>
              </w:rPr>
            </w:pPr>
            <w:r w:rsidRPr="00DC3D98">
              <w:rPr>
                <w:spacing w:val="-2"/>
                <w:szCs w:val="22"/>
              </w:rPr>
              <w:t>Emergency Broadband Benefit Program</w:t>
            </w:r>
          </w:p>
          <w:p w:rsidR="004C2EE3" w:rsidRPr="007115F7" w:rsidP="007115F7" w14:paraId="7E8316C5" w14:textId="77777777">
            <w:pPr>
              <w:tabs>
                <w:tab w:val="center" w:pos="4680"/>
              </w:tabs>
              <w:suppressAutoHyphens/>
              <w:rPr>
                <w:spacing w:val="-2"/>
              </w:rPr>
            </w:pPr>
          </w:p>
        </w:tc>
        <w:tc>
          <w:tcPr>
            <w:tcW w:w="630" w:type="dxa"/>
          </w:tcPr>
          <w:p w:rsidR="004C2EE3" w14:paraId="060D6E1E" w14:textId="77777777">
            <w:pPr>
              <w:tabs>
                <w:tab w:val="center" w:pos="4680"/>
              </w:tabs>
              <w:suppressAutoHyphens/>
              <w:rPr>
                <w:b/>
                <w:spacing w:val="-2"/>
              </w:rPr>
            </w:pPr>
            <w:r>
              <w:rPr>
                <w:b/>
                <w:spacing w:val="-2"/>
              </w:rPr>
              <w:t>)</w:t>
            </w:r>
          </w:p>
          <w:p w:rsidR="004C2EE3" w14:paraId="4C4633C3" w14:textId="77777777">
            <w:pPr>
              <w:tabs>
                <w:tab w:val="center" w:pos="4680"/>
              </w:tabs>
              <w:suppressAutoHyphens/>
              <w:rPr>
                <w:b/>
                <w:spacing w:val="-2"/>
              </w:rPr>
            </w:pPr>
            <w:r>
              <w:rPr>
                <w:b/>
                <w:spacing w:val="-2"/>
              </w:rPr>
              <w:t>)</w:t>
            </w:r>
          </w:p>
          <w:p w:rsidR="004C2EE3" w14:paraId="3C3CA8E4" w14:textId="77777777">
            <w:pPr>
              <w:tabs>
                <w:tab w:val="center" w:pos="4680"/>
              </w:tabs>
              <w:suppressAutoHyphens/>
              <w:rPr>
                <w:b/>
                <w:spacing w:val="-2"/>
              </w:rPr>
            </w:pPr>
            <w:r>
              <w:rPr>
                <w:b/>
                <w:spacing w:val="-2"/>
              </w:rPr>
              <w:t>)</w:t>
            </w:r>
          </w:p>
          <w:p w:rsidR="004C2EE3" w:rsidRPr="00D71074" w14:paraId="7E27FFA0" w14:textId="77777777">
            <w:pPr>
              <w:tabs>
                <w:tab w:val="center" w:pos="4680"/>
              </w:tabs>
              <w:suppressAutoHyphens/>
              <w:rPr>
                <w:b/>
                <w:spacing w:val="-2"/>
              </w:rPr>
            </w:pPr>
          </w:p>
        </w:tc>
        <w:tc>
          <w:tcPr>
            <w:tcW w:w="4248" w:type="dxa"/>
          </w:tcPr>
          <w:p w:rsidR="004C2EE3" w14:paraId="5F86A44B" w14:textId="77777777">
            <w:pPr>
              <w:tabs>
                <w:tab w:val="center" w:pos="4680"/>
              </w:tabs>
              <w:suppressAutoHyphens/>
              <w:rPr>
                <w:spacing w:val="-2"/>
              </w:rPr>
            </w:pPr>
          </w:p>
          <w:p w:rsidR="004C2EE3" w14:paraId="4B59C529" w14:textId="77777777">
            <w:pPr>
              <w:pStyle w:val="TOAHeading"/>
              <w:tabs>
                <w:tab w:val="center" w:pos="4680"/>
                <w:tab w:val="clear" w:pos="9360"/>
              </w:tabs>
              <w:rPr>
                <w:spacing w:val="-2"/>
              </w:rPr>
            </w:pPr>
          </w:p>
          <w:p w:rsidR="00E12AC5" w:rsidRPr="00DC3D98" w:rsidP="00E12AC5" w14:paraId="4DED8FA8" w14:textId="77777777">
            <w:pPr>
              <w:tabs>
                <w:tab w:val="center" w:pos="4680"/>
              </w:tabs>
              <w:suppressAutoHyphens/>
              <w:rPr>
                <w:spacing w:val="-2"/>
                <w:szCs w:val="22"/>
              </w:rPr>
            </w:pPr>
            <w:r w:rsidRPr="00DC3D98">
              <w:rPr>
                <w:spacing w:val="-2"/>
                <w:szCs w:val="22"/>
              </w:rPr>
              <w:t>WC Docket No. 20-445</w:t>
            </w:r>
          </w:p>
          <w:p w:rsidR="004C2EE3" w14:paraId="2DAD1119" w14:textId="77777777">
            <w:pPr>
              <w:tabs>
                <w:tab w:val="center" w:pos="4680"/>
              </w:tabs>
              <w:suppressAutoHyphens/>
              <w:rPr>
                <w:spacing w:val="-2"/>
              </w:rPr>
            </w:pPr>
          </w:p>
        </w:tc>
      </w:tr>
    </w:tbl>
    <w:p w:rsidR="004C2EE3" w:rsidP="0070224F" w14:paraId="38C39A12" w14:textId="77777777"/>
    <w:p w:rsidR="00841AB1" w:rsidP="00F021FA" w14:paraId="42FA73D0" w14:textId="77777777">
      <w:pPr>
        <w:pStyle w:val="StyleBoldCentered"/>
      </w:pPr>
      <w:r>
        <w:t>order</w:t>
      </w:r>
    </w:p>
    <w:p w:rsidR="004C2EE3" w14:paraId="1D39D326" w14:textId="77777777">
      <w:pPr>
        <w:tabs>
          <w:tab w:val="left" w:pos="-720"/>
        </w:tabs>
        <w:suppressAutoHyphens/>
        <w:spacing w:line="227" w:lineRule="auto"/>
        <w:rPr>
          <w:spacing w:val="-2"/>
        </w:rPr>
      </w:pPr>
    </w:p>
    <w:p w:rsidR="004C2EE3" w:rsidP="00133F79" w14:paraId="4E661173" w14:textId="64443D1F">
      <w:pPr>
        <w:tabs>
          <w:tab w:val="left" w:pos="720"/>
          <w:tab w:val="right" w:pos="9360"/>
        </w:tabs>
        <w:suppressAutoHyphens/>
        <w:spacing w:line="227" w:lineRule="auto"/>
        <w:rPr>
          <w:spacing w:val="-2"/>
        </w:rPr>
      </w:pPr>
      <w:r>
        <w:rPr>
          <w:b/>
          <w:spacing w:val="-2"/>
        </w:rPr>
        <w:t xml:space="preserve">Adopted:  </w:t>
      </w:r>
      <w:r w:rsidR="00893E73">
        <w:rPr>
          <w:b/>
          <w:spacing w:val="-2"/>
        </w:rPr>
        <w:t>June</w:t>
      </w:r>
      <w:r w:rsidR="00F91A53">
        <w:rPr>
          <w:b/>
          <w:spacing w:val="-2"/>
        </w:rPr>
        <w:t xml:space="preserve"> </w:t>
      </w:r>
      <w:r w:rsidR="00771BE8">
        <w:rPr>
          <w:b/>
          <w:spacing w:val="-2"/>
        </w:rPr>
        <w:t>8</w:t>
      </w:r>
      <w:r w:rsidR="00D71074">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93E73">
        <w:rPr>
          <w:b/>
          <w:spacing w:val="-2"/>
        </w:rPr>
        <w:t>June</w:t>
      </w:r>
      <w:r w:rsidR="00F91A53">
        <w:rPr>
          <w:b/>
          <w:spacing w:val="-2"/>
        </w:rPr>
        <w:t xml:space="preserve"> </w:t>
      </w:r>
      <w:r w:rsidR="00771BE8">
        <w:rPr>
          <w:b/>
          <w:spacing w:val="-2"/>
        </w:rPr>
        <w:t>8</w:t>
      </w:r>
      <w:r w:rsidR="00D71074">
        <w:rPr>
          <w:b/>
          <w:spacing w:val="-2"/>
        </w:rPr>
        <w:t>, 2021</w:t>
      </w:r>
    </w:p>
    <w:p w:rsidR="00822CE0" w14:paraId="3CB84EE8" w14:textId="77777777"/>
    <w:p w:rsidR="004C2EE3" w14:paraId="05B7E3DD" w14:textId="77777777">
      <w:pPr>
        <w:rPr>
          <w:spacing w:val="-2"/>
        </w:rPr>
      </w:pPr>
      <w:r>
        <w:t xml:space="preserve">By </w:t>
      </w:r>
      <w:r w:rsidR="004E4A22">
        <w:t>the</w:t>
      </w:r>
      <w:r w:rsidR="002A2D2E">
        <w:t xml:space="preserve"> </w:t>
      </w:r>
      <w:r w:rsidRPr="00DC3D98" w:rsidR="00D71074">
        <w:rPr>
          <w:szCs w:val="22"/>
        </w:rPr>
        <w:t>Chief, Wireline Competition Bureau</w:t>
      </w:r>
      <w:r>
        <w:rPr>
          <w:spacing w:val="-2"/>
        </w:rPr>
        <w:t>:</w:t>
      </w:r>
    </w:p>
    <w:p w:rsidR="00822CE0" w14:paraId="7AAD56FE" w14:textId="77777777">
      <w:pPr>
        <w:rPr>
          <w:spacing w:val="-2"/>
        </w:rPr>
      </w:pPr>
    </w:p>
    <w:p w:rsidR="00D71074" w:rsidRPr="00DC3D98" w:rsidP="00D71074" w14:paraId="66EF59F0" w14:textId="77777777">
      <w:pPr>
        <w:pStyle w:val="Heading1"/>
        <w:rPr>
          <w:rFonts w:ascii="Times New Roman" w:hAnsi="Times New Roman"/>
          <w:szCs w:val="22"/>
        </w:rPr>
      </w:pPr>
      <w:r w:rsidRPr="00DC3D98">
        <w:rPr>
          <w:rFonts w:ascii="Times New Roman" w:hAnsi="Times New Roman"/>
          <w:szCs w:val="22"/>
        </w:rPr>
        <w:t xml:space="preserve">INTRODUCTION </w:t>
      </w:r>
    </w:p>
    <w:p w:rsidR="00D71074" w:rsidRPr="004D3A48" w:rsidP="004B0BB8" w14:paraId="2BC485F0" w14:textId="3AD8351D">
      <w:pPr>
        <w:pStyle w:val="ParaNum"/>
        <w:rPr>
          <w:snapToGrid/>
          <w:kern w:val="0"/>
          <w:szCs w:val="22"/>
        </w:rPr>
      </w:pPr>
      <w:r w:rsidRPr="00DC3D98">
        <w:rPr>
          <w:snapToGrid/>
          <w:color w:val="201F1E"/>
          <w:kern w:val="0"/>
          <w:szCs w:val="22"/>
          <w:shd w:val="clear" w:color="auto" w:fill="FFFFFF"/>
        </w:rPr>
        <w:t xml:space="preserve">In this Order, the Wireline Competition Bureau </w:t>
      </w:r>
      <w:r w:rsidR="003268B7">
        <w:rPr>
          <w:snapToGrid/>
          <w:color w:val="201F1E"/>
          <w:kern w:val="0"/>
          <w:szCs w:val="22"/>
          <w:shd w:val="clear" w:color="auto" w:fill="FFFFFF"/>
        </w:rPr>
        <w:t xml:space="preserve">(Bureau) </w:t>
      </w:r>
      <w:r w:rsidR="00051CAC">
        <w:rPr>
          <w:szCs w:val="22"/>
        </w:rPr>
        <w:t>waives</w:t>
      </w:r>
      <w:r w:rsidR="00EC2272">
        <w:rPr>
          <w:szCs w:val="22"/>
        </w:rPr>
        <w:t>, o</w:t>
      </w:r>
      <w:r w:rsidR="00F35900">
        <w:rPr>
          <w:szCs w:val="22"/>
        </w:rPr>
        <w:t xml:space="preserve">n </w:t>
      </w:r>
      <w:r w:rsidR="000D55F5">
        <w:rPr>
          <w:szCs w:val="22"/>
        </w:rPr>
        <w:t>its</w:t>
      </w:r>
      <w:r w:rsidR="00F35900">
        <w:rPr>
          <w:szCs w:val="22"/>
        </w:rPr>
        <w:t xml:space="preserve"> own motion, </w:t>
      </w:r>
      <w:r w:rsidR="00EC2272">
        <w:rPr>
          <w:szCs w:val="22"/>
        </w:rPr>
        <w:t xml:space="preserve">the </w:t>
      </w:r>
      <w:r w:rsidR="00487F5F">
        <w:rPr>
          <w:szCs w:val="22"/>
        </w:rPr>
        <w:t>Emergency Broadband Benefit Program</w:t>
      </w:r>
      <w:r w:rsidR="00CE2924">
        <w:rPr>
          <w:szCs w:val="22"/>
        </w:rPr>
        <w:t xml:space="preserve"> </w:t>
      </w:r>
      <w:r w:rsidR="00487F5F">
        <w:rPr>
          <w:szCs w:val="22"/>
        </w:rPr>
        <w:t>(EBB Program)</w:t>
      </w:r>
      <w:r w:rsidR="00CE2924">
        <w:rPr>
          <w:szCs w:val="22"/>
        </w:rPr>
        <w:t xml:space="preserve"> reimbursement rules requiring </w:t>
      </w:r>
      <w:r w:rsidR="000767F6">
        <w:rPr>
          <w:szCs w:val="22"/>
        </w:rPr>
        <w:t>providers</w:t>
      </w:r>
      <w:r w:rsidR="00CE2924">
        <w:rPr>
          <w:szCs w:val="22"/>
        </w:rPr>
        <w:t xml:space="preserve"> to</w:t>
      </w:r>
      <w:r w:rsidR="000767F6">
        <w:rPr>
          <w:szCs w:val="22"/>
        </w:rPr>
        <w:t xml:space="preserve"> file reimbursement claims by </w:t>
      </w:r>
      <w:r w:rsidR="00657EF0">
        <w:rPr>
          <w:szCs w:val="22"/>
        </w:rPr>
        <w:t>the 15</w:t>
      </w:r>
      <w:r w:rsidRPr="00054D12" w:rsidR="00657EF0">
        <w:rPr>
          <w:szCs w:val="22"/>
          <w:vertAlign w:val="superscript"/>
        </w:rPr>
        <w:t>th</w:t>
      </w:r>
      <w:r w:rsidR="00657EF0">
        <w:rPr>
          <w:szCs w:val="22"/>
        </w:rPr>
        <w:t xml:space="preserve"> </w:t>
      </w:r>
      <w:r w:rsidR="00E90B22">
        <w:rPr>
          <w:szCs w:val="22"/>
        </w:rPr>
        <w:t>of the month after the uniform snapshot date</w:t>
      </w:r>
      <w:r w:rsidR="009B41DA">
        <w:rPr>
          <w:szCs w:val="22"/>
        </w:rPr>
        <w:t xml:space="preserve">.  This waiver is limited to </w:t>
      </w:r>
      <w:r w:rsidR="00683856">
        <w:rPr>
          <w:szCs w:val="22"/>
        </w:rPr>
        <w:t xml:space="preserve">subscribers </w:t>
      </w:r>
      <w:r w:rsidR="00470F95">
        <w:rPr>
          <w:szCs w:val="22"/>
        </w:rPr>
        <w:t xml:space="preserve">that </w:t>
      </w:r>
      <w:r w:rsidR="00683856">
        <w:rPr>
          <w:szCs w:val="22"/>
        </w:rPr>
        <w:t xml:space="preserve">were </w:t>
      </w:r>
      <w:r w:rsidR="00AC5D50">
        <w:rPr>
          <w:szCs w:val="22"/>
        </w:rPr>
        <w:t xml:space="preserve">enrolled </w:t>
      </w:r>
      <w:r w:rsidR="00FC7CDC">
        <w:rPr>
          <w:szCs w:val="22"/>
        </w:rPr>
        <w:t xml:space="preserve">and received the EBB-supported service </w:t>
      </w:r>
      <w:r w:rsidR="00AC5D50">
        <w:rPr>
          <w:szCs w:val="22"/>
        </w:rPr>
        <w:t xml:space="preserve">in May 2021.  </w:t>
      </w:r>
      <w:r w:rsidR="00FB3FD2">
        <w:rPr>
          <w:szCs w:val="22"/>
        </w:rPr>
        <w:t>Based on the record before us, w</w:t>
      </w:r>
      <w:r w:rsidR="00E83103">
        <w:rPr>
          <w:szCs w:val="22"/>
        </w:rPr>
        <w:t xml:space="preserve">e find that good cause </w:t>
      </w:r>
      <w:r w:rsidR="002C765A">
        <w:rPr>
          <w:szCs w:val="22"/>
        </w:rPr>
        <w:t xml:space="preserve">exists </w:t>
      </w:r>
      <w:r w:rsidR="00351140">
        <w:rPr>
          <w:szCs w:val="22"/>
        </w:rPr>
        <w:t>for a limited waiver</w:t>
      </w:r>
      <w:r w:rsidR="00F17498">
        <w:rPr>
          <w:szCs w:val="22"/>
        </w:rPr>
        <w:t>, as provided herein,</w:t>
      </w:r>
      <w:r w:rsidR="00351140">
        <w:rPr>
          <w:szCs w:val="22"/>
        </w:rPr>
        <w:t xml:space="preserve"> </w:t>
      </w:r>
      <w:r w:rsidR="002C765A">
        <w:rPr>
          <w:szCs w:val="22"/>
        </w:rPr>
        <w:t>to</w:t>
      </w:r>
      <w:r w:rsidR="007C4EC9">
        <w:rPr>
          <w:szCs w:val="22"/>
        </w:rPr>
        <w:t xml:space="preserve"> allow all </w:t>
      </w:r>
      <w:r w:rsidR="00230A66">
        <w:rPr>
          <w:szCs w:val="22"/>
        </w:rPr>
        <w:t xml:space="preserve">EBB participating </w:t>
      </w:r>
      <w:r w:rsidR="007C4EC9">
        <w:rPr>
          <w:szCs w:val="22"/>
        </w:rPr>
        <w:t xml:space="preserve">providers </w:t>
      </w:r>
      <w:r w:rsidR="007B0D09">
        <w:rPr>
          <w:szCs w:val="22"/>
        </w:rPr>
        <w:t>an additional month</w:t>
      </w:r>
      <w:r w:rsidR="00C866CB">
        <w:rPr>
          <w:szCs w:val="22"/>
        </w:rPr>
        <w:t>,</w:t>
      </w:r>
      <w:r w:rsidR="007B0D09">
        <w:rPr>
          <w:szCs w:val="22"/>
        </w:rPr>
        <w:t xml:space="preserve"> </w:t>
      </w:r>
      <w:r w:rsidR="002036B5">
        <w:rPr>
          <w:szCs w:val="22"/>
        </w:rPr>
        <w:t>until July 15</w:t>
      </w:r>
      <w:r w:rsidR="0054365E">
        <w:rPr>
          <w:szCs w:val="22"/>
        </w:rPr>
        <w:t>, 2021</w:t>
      </w:r>
      <w:r w:rsidR="009B6A43">
        <w:rPr>
          <w:szCs w:val="22"/>
        </w:rPr>
        <w:t>,</w:t>
      </w:r>
      <w:r w:rsidR="002036B5">
        <w:rPr>
          <w:szCs w:val="22"/>
        </w:rPr>
        <w:t xml:space="preserve"> </w:t>
      </w:r>
      <w:r w:rsidR="00706E52">
        <w:rPr>
          <w:szCs w:val="22"/>
        </w:rPr>
        <w:t xml:space="preserve">to submit the first reimbursement claim </w:t>
      </w:r>
      <w:r w:rsidR="00351140">
        <w:rPr>
          <w:szCs w:val="22"/>
        </w:rPr>
        <w:t xml:space="preserve">for </w:t>
      </w:r>
      <w:r w:rsidR="009B6A43">
        <w:rPr>
          <w:szCs w:val="22"/>
        </w:rPr>
        <w:t>service provided</w:t>
      </w:r>
      <w:r w:rsidR="00706E52">
        <w:rPr>
          <w:szCs w:val="22"/>
        </w:rPr>
        <w:t xml:space="preserve"> in May</w:t>
      </w:r>
      <w:r w:rsidR="00AC5D50">
        <w:rPr>
          <w:szCs w:val="22"/>
        </w:rPr>
        <w:t xml:space="preserve"> 2021</w:t>
      </w:r>
      <w:r w:rsidR="00B64EBE">
        <w:rPr>
          <w:szCs w:val="22"/>
        </w:rPr>
        <w:t>.</w:t>
      </w:r>
    </w:p>
    <w:p w:rsidR="00D71074" w:rsidRPr="004D3A48" w:rsidP="00D71074" w14:paraId="2D530302" w14:textId="77777777">
      <w:pPr>
        <w:pStyle w:val="Heading1"/>
        <w:rPr>
          <w:rFonts w:ascii="Times New Roman" w:hAnsi="Times New Roman"/>
          <w:snapToGrid/>
          <w:color w:val="201F1E"/>
          <w:kern w:val="0"/>
          <w:szCs w:val="22"/>
          <w:shd w:val="clear" w:color="auto" w:fill="FFFFFF"/>
        </w:rPr>
      </w:pPr>
      <w:r w:rsidRPr="004D3A48">
        <w:rPr>
          <w:rFonts w:ascii="Times New Roman" w:hAnsi="Times New Roman"/>
          <w:snapToGrid/>
          <w:color w:val="201F1E"/>
          <w:kern w:val="0"/>
          <w:szCs w:val="22"/>
          <w:shd w:val="clear" w:color="auto" w:fill="FFFFFF"/>
        </w:rPr>
        <w:t xml:space="preserve">BACKGROUND </w:t>
      </w:r>
    </w:p>
    <w:p w:rsidR="00D71074" w:rsidP="00D71074" w14:paraId="7C9330A2" w14:textId="2203629A">
      <w:pPr>
        <w:pStyle w:val="ParaNum"/>
      </w:pPr>
      <w:r w:rsidRPr="004D3A48">
        <w:rPr>
          <w:szCs w:val="22"/>
        </w:rPr>
        <w:t>The EBB Program uses available funding from the Emergency Broadband Connectivity Fund to provide funding for broadband service and connected devices for low-income households during the COVID-19 pandemic.</w:t>
      </w:r>
      <w:r>
        <w:rPr>
          <w:rStyle w:val="FootnoteReference"/>
          <w:sz w:val="22"/>
          <w:szCs w:val="22"/>
        </w:rPr>
        <w:footnoteReference w:id="3"/>
      </w:r>
      <w:r w:rsidRPr="004D3A48">
        <w:rPr>
          <w:szCs w:val="22"/>
        </w:rPr>
        <w:t xml:space="preserve">  </w:t>
      </w:r>
      <w:r>
        <w:t>Participating providers will receive reimbursement from the EBB Program for the discounts granted</w:t>
      </w:r>
      <w:r w:rsidR="00392480">
        <w:t xml:space="preserve"> to eligible low-income households for qualifying service and connected devices</w:t>
      </w:r>
      <w:r>
        <w:t>.</w:t>
      </w:r>
      <w:r>
        <w:rPr>
          <w:rStyle w:val="FootnoteReference"/>
        </w:rPr>
        <w:footnoteReference w:id="4"/>
      </w:r>
      <w:r>
        <w:t xml:space="preserve">  A participating provider must submit certain certifications to the Commission to receive </w:t>
      </w:r>
      <w:r w:rsidR="00C70453">
        <w:t xml:space="preserve">that </w:t>
      </w:r>
      <w:r>
        <w:t>reimbursement.</w:t>
      </w:r>
      <w:r>
        <w:rPr>
          <w:rStyle w:val="FootnoteReference"/>
        </w:rPr>
        <w:footnoteReference w:id="5"/>
      </w:r>
    </w:p>
    <w:p w:rsidR="00D71074" w:rsidP="00F91A53" w14:paraId="35BDA9CB" w14:textId="29DF3B2A">
      <w:pPr>
        <w:pStyle w:val="ParaNum"/>
        <w:widowControl/>
      </w:pPr>
      <w:r>
        <w:t>Reimbursement claims for the EBB Program will be based on the number of Program subscribers enrolled with each provider in the National Lifeline Accountability Database</w:t>
      </w:r>
      <w:r w:rsidR="003475D6">
        <w:t xml:space="preserve"> (NLAD)</w:t>
      </w:r>
      <w:r>
        <w:t xml:space="preserve"> as of the first day of each month.</w:t>
      </w:r>
      <w:r>
        <w:rPr>
          <w:rStyle w:val="FootnoteReference"/>
        </w:rPr>
        <w:footnoteReference w:id="6"/>
      </w:r>
      <w:r>
        <w:t xml:space="preserve">  </w:t>
      </w:r>
      <w:r w:rsidR="00C70453">
        <w:rPr>
          <w:bCs/>
          <w:snapToGrid/>
          <w:color w:val="000000"/>
          <w:szCs w:val="22"/>
        </w:rPr>
        <w:t>T</w:t>
      </w:r>
      <w:r w:rsidRPr="00D71074">
        <w:rPr>
          <w:bCs/>
          <w:snapToGrid/>
          <w:color w:val="000000"/>
          <w:szCs w:val="22"/>
        </w:rPr>
        <w:t xml:space="preserve">o receive reimbursement, </w:t>
      </w:r>
      <w:r>
        <w:t xml:space="preserve">providers must then submit certified </w:t>
      </w:r>
      <w:r w:rsidRPr="00D71074">
        <w:rPr>
          <w:bCs/>
          <w:snapToGrid/>
          <w:color w:val="000000"/>
          <w:szCs w:val="22"/>
        </w:rPr>
        <w:t>reimbursement claims through the Lifeline Claims System by the 15</w:t>
      </w:r>
      <w:r w:rsidRPr="00D71074">
        <w:rPr>
          <w:bCs/>
          <w:snapToGrid/>
          <w:color w:val="000000"/>
          <w:szCs w:val="22"/>
          <w:vertAlign w:val="superscript"/>
        </w:rPr>
        <w:t>th</w:t>
      </w:r>
      <w:r w:rsidRPr="00D71074">
        <w:rPr>
          <w:bCs/>
          <w:snapToGrid/>
          <w:color w:val="000000"/>
          <w:szCs w:val="22"/>
        </w:rPr>
        <w:t xml:space="preserve"> of each month, or the following business day in the event the 15</w:t>
      </w:r>
      <w:r w:rsidRPr="00D71074">
        <w:rPr>
          <w:bCs/>
          <w:snapToGrid/>
          <w:color w:val="000000"/>
          <w:szCs w:val="22"/>
          <w:vertAlign w:val="superscript"/>
        </w:rPr>
        <w:t>th</w:t>
      </w:r>
      <w:r w:rsidRPr="00D71074">
        <w:rPr>
          <w:bCs/>
          <w:snapToGrid/>
          <w:color w:val="000000"/>
          <w:szCs w:val="22"/>
        </w:rPr>
        <w:t xml:space="preserve"> is a holiday or falls on a weekend.</w:t>
      </w:r>
      <w:r>
        <w:rPr>
          <w:rStyle w:val="FootnoteReference"/>
          <w:bCs/>
          <w:snapToGrid/>
          <w:szCs w:val="22"/>
        </w:rPr>
        <w:footnoteReference w:id="7"/>
      </w:r>
      <w:r w:rsidRPr="00D71074">
        <w:rPr>
          <w:bCs/>
          <w:snapToGrid/>
          <w:color w:val="000000"/>
          <w:szCs w:val="22"/>
        </w:rPr>
        <w:t xml:space="preserve">  If the participating provider fails to submit a certified reimbursement claim by the deadline for that month, the reimbursement claim will not be processed</w:t>
      </w:r>
      <w:r w:rsidRPr="00D71074">
        <w:rPr>
          <w:color w:val="000000"/>
          <w:szCs w:val="22"/>
        </w:rPr>
        <w:t>.</w:t>
      </w:r>
      <w:r>
        <w:rPr>
          <w:rStyle w:val="FootnoteReference"/>
          <w:color w:val="000000"/>
          <w:sz w:val="22"/>
          <w:szCs w:val="22"/>
        </w:rPr>
        <w:footnoteReference w:id="8"/>
      </w:r>
      <w:r w:rsidRPr="00D71074">
        <w:rPr>
          <w:color w:val="000000"/>
          <w:szCs w:val="22"/>
        </w:rPr>
        <w:t xml:space="preserve">  This method helps provide</w:t>
      </w:r>
      <w:r w:rsidR="008E69E1">
        <w:rPr>
          <w:color w:val="000000"/>
          <w:szCs w:val="22"/>
        </w:rPr>
        <w:t xml:space="preserve"> the Universal Service Administrative Company (</w:t>
      </w:r>
      <w:r w:rsidRPr="00D71074">
        <w:rPr>
          <w:color w:val="000000"/>
          <w:szCs w:val="22"/>
        </w:rPr>
        <w:t>USAC</w:t>
      </w:r>
      <w:r w:rsidR="008E69E1">
        <w:rPr>
          <w:color w:val="000000"/>
          <w:szCs w:val="22"/>
        </w:rPr>
        <w:t>)</w:t>
      </w:r>
      <w:r w:rsidRPr="00D71074">
        <w:rPr>
          <w:color w:val="000000"/>
          <w:szCs w:val="22"/>
        </w:rPr>
        <w:t xml:space="preserve"> with </w:t>
      </w:r>
      <w:r>
        <w:t xml:space="preserve">actual reimbursement claims information from providers as soon as possible after each service month, </w:t>
      </w:r>
      <w:r>
        <w:t xml:space="preserve">which it can </w:t>
      </w:r>
      <w:r w:rsidR="00935277">
        <w:t xml:space="preserve">then </w:t>
      </w:r>
      <w:r>
        <w:t>use to report the disbursement information to the public and to create a forecast for the projected final month of the program.</w:t>
      </w:r>
      <w:r>
        <w:rPr>
          <w:rStyle w:val="FootnoteReference"/>
        </w:rPr>
        <w:footnoteReference w:id="9"/>
      </w:r>
    </w:p>
    <w:p w:rsidR="00D71074" w:rsidRPr="008F7817" w:rsidP="00D71074" w14:paraId="48279CCC"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1636DF" w:rsidRPr="004B0BB8" w:rsidP="004B0BB8" w14:paraId="32B725F6" w14:textId="25F5B601">
      <w:pPr>
        <w:pStyle w:val="ParaNum"/>
        <w:rPr>
          <w:szCs w:val="22"/>
        </w:rPr>
      </w:pPr>
      <w:r w:rsidRPr="004B0BB8">
        <w:rPr>
          <w:szCs w:val="22"/>
        </w:rPr>
        <w:t>As a general matter, “an agency must adhere to its own rules and regulations.”</w:t>
      </w:r>
      <w:r>
        <w:rPr>
          <w:rStyle w:val="FootnoteReference"/>
          <w:sz w:val="22"/>
          <w:szCs w:val="22"/>
        </w:rPr>
        <w:footnoteReference w:id="10"/>
      </w:r>
      <w:r w:rsidRPr="004B0BB8">
        <w:rPr>
          <w:szCs w:val="22"/>
        </w:rPr>
        <w:t xml:space="preserve">  Although strict application of a rule may be justified “to preserve incentives for compliance and to realize the benefits of easy administration that the rule was designed to achieve,”</w:t>
      </w:r>
      <w:r>
        <w:rPr>
          <w:rStyle w:val="FootnoteReference"/>
          <w:szCs w:val="22"/>
        </w:rPr>
        <w:footnoteReference w:id="11"/>
      </w:r>
      <w:r w:rsidRPr="004B0BB8">
        <w:rPr>
          <w:szCs w:val="22"/>
        </w:rPr>
        <w:t xml:space="preserve"> the Commission’s rules may be waived for “good cause shown.”</w:t>
      </w:r>
      <w:r>
        <w:rPr>
          <w:rStyle w:val="FootnoteReference"/>
          <w:szCs w:val="22"/>
        </w:rPr>
        <w:footnoteReference w:id="12"/>
      </w:r>
      <w:r w:rsidRPr="004B0BB8">
        <w:rPr>
          <w:szCs w:val="22"/>
        </w:rPr>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13"/>
      </w:r>
      <w:r w:rsidRPr="004B0BB8">
        <w:rPr>
          <w:szCs w:val="22"/>
        </w:rPr>
        <w:t xml:space="preserve">  The Commission may take into account considerations of hardship, equity, or more effective implementation of policy on an overall basis.</w:t>
      </w:r>
      <w:r>
        <w:rPr>
          <w:rStyle w:val="FootnoteReference"/>
          <w:szCs w:val="22"/>
        </w:rPr>
        <w:footnoteReference w:id="14"/>
      </w:r>
      <w:r w:rsidRPr="004B0BB8">
        <w:rPr>
          <w:szCs w:val="22"/>
        </w:rPr>
        <w:t xml:space="preserve">  </w:t>
      </w:r>
    </w:p>
    <w:p w:rsidR="00935277" w:rsidRPr="00E445FB" w:rsidP="009F66A2" w14:paraId="6F4F2CF8" w14:textId="0AD5F72E">
      <w:pPr>
        <w:pStyle w:val="ParaNum"/>
        <w:rPr>
          <w:snapToGrid/>
          <w:kern w:val="0"/>
          <w:szCs w:val="22"/>
        </w:rPr>
      </w:pPr>
      <w:r w:rsidRPr="004B0BB8">
        <w:rPr>
          <w:szCs w:val="22"/>
        </w:rPr>
        <w:t>The EBB Program rules were finalized on February 25, 2021</w:t>
      </w:r>
      <w:r w:rsidR="00186A43">
        <w:rPr>
          <w:szCs w:val="22"/>
        </w:rPr>
        <w:t>,</w:t>
      </w:r>
      <w:r w:rsidRPr="004B0BB8">
        <w:rPr>
          <w:szCs w:val="22"/>
        </w:rPr>
        <w:t xml:space="preserve"> and the Commission worked</w:t>
      </w:r>
      <w:r w:rsidR="000C400A">
        <w:rPr>
          <w:szCs w:val="22"/>
        </w:rPr>
        <w:t xml:space="preserve"> quickly</w:t>
      </w:r>
      <w:r w:rsidRPr="004B0BB8">
        <w:rPr>
          <w:szCs w:val="22"/>
        </w:rPr>
        <w:t xml:space="preserve"> to set up </w:t>
      </w:r>
      <w:r w:rsidR="000C400A">
        <w:rPr>
          <w:szCs w:val="22"/>
        </w:rPr>
        <w:t>systems</w:t>
      </w:r>
      <w:r w:rsidRPr="004B0BB8" w:rsidR="000C400A">
        <w:rPr>
          <w:szCs w:val="22"/>
        </w:rPr>
        <w:t xml:space="preserve"> </w:t>
      </w:r>
      <w:r w:rsidRPr="004B0BB8">
        <w:rPr>
          <w:szCs w:val="22"/>
        </w:rPr>
        <w:t xml:space="preserve">and processes </w:t>
      </w:r>
      <w:r w:rsidR="007D4107">
        <w:rPr>
          <w:szCs w:val="22"/>
        </w:rPr>
        <w:t>to implement</w:t>
      </w:r>
      <w:r w:rsidRPr="004B0BB8" w:rsidR="007D4107">
        <w:rPr>
          <w:szCs w:val="22"/>
        </w:rPr>
        <w:t xml:space="preserve"> </w:t>
      </w:r>
      <w:r w:rsidRPr="004B0BB8">
        <w:rPr>
          <w:szCs w:val="22"/>
        </w:rPr>
        <w:t xml:space="preserve">the Program, culminating in the launch on May 12, 2021.  </w:t>
      </w:r>
      <w:r w:rsidR="002F4968">
        <w:rPr>
          <w:szCs w:val="22"/>
        </w:rPr>
        <w:t xml:space="preserve">As provided in the </w:t>
      </w:r>
      <w:r w:rsidR="00A1542C">
        <w:rPr>
          <w:szCs w:val="22"/>
        </w:rPr>
        <w:t>Consolidated Appropriations Act</w:t>
      </w:r>
      <w:r w:rsidR="00FE1479">
        <w:rPr>
          <w:szCs w:val="22"/>
        </w:rPr>
        <w:t xml:space="preserve"> establishing the EBB Program,</w:t>
      </w:r>
      <w:r w:rsidR="00A1542C">
        <w:rPr>
          <w:szCs w:val="22"/>
        </w:rPr>
        <w:t xml:space="preserve"> t</w:t>
      </w:r>
      <w:r w:rsidR="00C833A1">
        <w:rPr>
          <w:szCs w:val="22"/>
        </w:rPr>
        <w:t>he EBB Program</w:t>
      </w:r>
      <w:r w:rsidR="00A1542C">
        <w:rPr>
          <w:szCs w:val="22"/>
        </w:rPr>
        <w:t xml:space="preserve"> is built on</w:t>
      </w:r>
      <w:r w:rsidR="007932F6">
        <w:rPr>
          <w:szCs w:val="22"/>
        </w:rPr>
        <w:t xml:space="preserve"> USAC’s </w:t>
      </w:r>
      <w:r w:rsidR="00A1542C">
        <w:rPr>
          <w:szCs w:val="22"/>
        </w:rPr>
        <w:t>e</w:t>
      </w:r>
      <w:r w:rsidR="00287072">
        <w:rPr>
          <w:szCs w:val="22"/>
        </w:rPr>
        <w:t>xisting Lifeline systems including NLAD</w:t>
      </w:r>
      <w:r w:rsidR="008015B1">
        <w:rPr>
          <w:szCs w:val="22"/>
        </w:rPr>
        <w:t xml:space="preserve"> and</w:t>
      </w:r>
      <w:r w:rsidR="00287072">
        <w:rPr>
          <w:szCs w:val="22"/>
        </w:rPr>
        <w:t xml:space="preserve"> the </w:t>
      </w:r>
      <w:r w:rsidR="002D1924">
        <w:rPr>
          <w:szCs w:val="22"/>
        </w:rPr>
        <w:t xml:space="preserve">Lifeline </w:t>
      </w:r>
      <w:r w:rsidR="00287072">
        <w:rPr>
          <w:szCs w:val="22"/>
        </w:rPr>
        <w:t xml:space="preserve">National </w:t>
      </w:r>
      <w:r w:rsidR="008015B1">
        <w:rPr>
          <w:szCs w:val="22"/>
        </w:rPr>
        <w:t xml:space="preserve">Eligibility </w:t>
      </w:r>
      <w:r w:rsidR="00287072">
        <w:rPr>
          <w:szCs w:val="22"/>
        </w:rPr>
        <w:t>Verifier</w:t>
      </w:r>
      <w:r w:rsidR="00F8599F">
        <w:rPr>
          <w:szCs w:val="22"/>
        </w:rPr>
        <w:t>.</w:t>
      </w:r>
      <w:r>
        <w:rPr>
          <w:rStyle w:val="FootnoteReference"/>
          <w:szCs w:val="22"/>
        </w:rPr>
        <w:footnoteReference w:id="15"/>
      </w:r>
      <w:r w:rsidR="00CB7A99">
        <w:rPr>
          <w:szCs w:val="22"/>
        </w:rPr>
        <w:t xml:space="preserve">  </w:t>
      </w:r>
      <w:r w:rsidRPr="004B0BB8">
        <w:rPr>
          <w:szCs w:val="22"/>
        </w:rPr>
        <w:t>P</w:t>
      </w:r>
      <w:r w:rsidR="008E69E1">
        <w:rPr>
          <w:szCs w:val="22"/>
        </w:rPr>
        <w:t>articipating p</w:t>
      </w:r>
      <w:r w:rsidRPr="004B0BB8">
        <w:rPr>
          <w:szCs w:val="22"/>
        </w:rPr>
        <w:t>roviders</w:t>
      </w:r>
      <w:r w:rsidR="008E69E1">
        <w:rPr>
          <w:szCs w:val="22"/>
        </w:rPr>
        <w:t>, including providers that are not Lifeline providers and do not have familiarity with the relevant USAC systems,</w:t>
      </w:r>
      <w:r w:rsidRPr="004B0BB8">
        <w:rPr>
          <w:szCs w:val="22"/>
        </w:rPr>
        <w:t xml:space="preserve"> have also </w:t>
      </w:r>
      <w:r w:rsidR="000E121D">
        <w:rPr>
          <w:szCs w:val="22"/>
        </w:rPr>
        <w:t>been working expeditiously</w:t>
      </w:r>
      <w:r w:rsidRPr="004B0BB8">
        <w:rPr>
          <w:szCs w:val="22"/>
        </w:rPr>
        <w:t xml:space="preserve"> to set up their </w:t>
      </w:r>
      <w:r w:rsidR="000E121D">
        <w:rPr>
          <w:szCs w:val="22"/>
        </w:rPr>
        <w:t xml:space="preserve">own </w:t>
      </w:r>
      <w:r w:rsidR="00C70E2B">
        <w:rPr>
          <w:szCs w:val="22"/>
        </w:rPr>
        <w:t>business</w:t>
      </w:r>
      <w:r w:rsidRPr="004B0BB8" w:rsidR="00C70E2B">
        <w:rPr>
          <w:szCs w:val="22"/>
        </w:rPr>
        <w:t xml:space="preserve"> </w:t>
      </w:r>
      <w:r w:rsidRPr="004B0BB8">
        <w:rPr>
          <w:szCs w:val="22"/>
        </w:rPr>
        <w:t xml:space="preserve">processes and </w:t>
      </w:r>
      <w:r w:rsidR="007D4107">
        <w:rPr>
          <w:szCs w:val="22"/>
        </w:rPr>
        <w:t xml:space="preserve">develop </w:t>
      </w:r>
      <w:r w:rsidRPr="004B0BB8">
        <w:rPr>
          <w:szCs w:val="22"/>
        </w:rPr>
        <w:t xml:space="preserve">systems </w:t>
      </w:r>
      <w:r w:rsidR="00972A82">
        <w:rPr>
          <w:szCs w:val="22"/>
        </w:rPr>
        <w:t>to enroll customers in</w:t>
      </w:r>
      <w:r w:rsidRPr="004B0BB8" w:rsidR="00972A82">
        <w:rPr>
          <w:szCs w:val="22"/>
        </w:rPr>
        <w:t xml:space="preserve"> </w:t>
      </w:r>
      <w:r w:rsidRPr="004B0BB8">
        <w:rPr>
          <w:szCs w:val="22"/>
        </w:rPr>
        <w:t xml:space="preserve">the EBB Program.  </w:t>
      </w:r>
      <w:r w:rsidR="00BE22AA">
        <w:rPr>
          <w:szCs w:val="22"/>
        </w:rPr>
        <w:t xml:space="preserve">Even those providers that are experienced with the Lifeline program have had to </w:t>
      </w:r>
      <w:r w:rsidR="00376564">
        <w:rPr>
          <w:szCs w:val="22"/>
        </w:rPr>
        <w:t>adjust their processes</w:t>
      </w:r>
      <w:r w:rsidR="002F7156">
        <w:rPr>
          <w:szCs w:val="22"/>
        </w:rPr>
        <w:t xml:space="preserve"> </w:t>
      </w:r>
      <w:r w:rsidR="00D60697">
        <w:rPr>
          <w:szCs w:val="22"/>
        </w:rPr>
        <w:t>in certain ways to account for the differences between</w:t>
      </w:r>
      <w:r w:rsidR="002F7156">
        <w:rPr>
          <w:szCs w:val="22"/>
        </w:rPr>
        <w:t xml:space="preserve"> the EBB Program</w:t>
      </w:r>
      <w:r w:rsidR="00D60697">
        <w:rPr>
          <w:szCs w:val="22"/>
        </w:rPr>
        <w:t xml:space="preserve"> and Lifeline</w:t>
      </w:r>
      <w:r w:rsidR="002F7156">
        <w:rPr>
          <w:szCs w:val="22"/>
        </w:rPr>
        <w:t xml:space="preserve">.  </w:t>
      </w:r>
      <w:r w:rsidR="0085542C">
        <w:rPr>
          <w:szCs w:val="22"/>
        </w:rPr>
        <w:t>As a result,</w:t>
      </w:r>
      <w:r w:rsidR="00DE4843">
        <w:rPr>
          <w:szCs w:val="22"/>
        </w:rPr>
        <w:t xml:space="preserve"> </w:t>
      </w:r>
      <w:r w:rsidR="00DE4843">
        <w:rPr>
          <w:szCs w:val="22"/>
        </w:rPr>
        <w:t>a number of</w:t>
      </w:r>
      <w:r w:rsidR="00DE4843">
        <w:rPr>
          <w:szCs w:val="22"/>
        </w:rPr>
        <w:t xml:space="preserve"> providers have filed petitions </w:t>
      </w:r>
      <w:r w:rsidR="0085542C">
        <w:rPr>
          <w:szCs w:val="22"/>
        </w:rPr>
        <w:t xml:space="preserve">for waiver </w:t>
      </w:r>
      <w:r w:rsidR="00DE4843">
        <w:rPr>
          <w:szCs w:val="22"/>
        </w:rPr>
        <w:t xml:space="preserve">seeking </w:t>
      </w:r>
      <w:r w:rsidR="00A67261">
        <w:rPr>
          <w:szCs w:val="22"/>
        </w:rPr>
        <w:t>additional time to submit reimbursement</w:t>
      </w:r>
      <w:r w:rsidR="0085542C">
        <w:rPr>
          <w:szCs w:val="22"/>
        </w:rPr>
        <w:t xml:space="preserve"> claim</w:t>
      </w:r>
      <w:r w:rsidR="00A67261">
        <w:rPr>
          <w:szCs w:val="22"/>
        </w:rPr>
        <w:t>s</w:t>
      </w:r>
      <w:r w:rsidR="0085542C">
        <w:rPr>
          <w:szCs w:val="22"/>
        </w:rPr>
        <w:t xml:space="preserve"> for their EBB</w:t>
      </w:r>
      <w:r w:rsidR="00A67261">
        <w:rPr>
          <w:szCs w:val="22"/>
        </w:rPr>
        <w:t xml:space="preserve"> subscribers</w:t>
      </w:r>
      <w:bookmarkStart w:id="0" w:name="_Ref73600667"/>
      <w:r>
        <w:rPr>
          <w:szCs w:val="22"/>
        </w:rPr>
        <w:t>.</w:t>
      </w:r>
      <w:r>
        <w:rPr>
          <w:rStyle w:val="FootnoteReference"/>
          <w:szCs w:val="22"/>
        </w:rPr>
        <w:footnoteReference w:id="16"/>
      </w:r>
      <w:bookmarkEnd w:id="0"/>
      <w:r w:rsidR="00352404">
        <w:rPr>
          <w:szCs w:val="22"/>
        </w:rPr>
        <w:t xml:space="preserve"> </w:t>
      </w:r>
      <w:r>
        <w:rPr>
          <w:szCs w:val="22"/>
        </w:rPr>
        <w:t xml:space="preserve"> </w:t>
      </w:r>
    </w:p>
    <w:p w:rsidR="00C46CFE" w:rsidRPr="000B5547" w:rsidP="009F66A2" w14:paraId="0ACA061D" w14:textId="314BB9AE">
      <w:pPr>
        <w:pStyle w:val="ParaNum"/>
        <w:rPr>
          <w:snapToGrid/>
          <w:kern w:val="0"/>
          <w:szCs w:val="22"/>
        </w:rPr>
      </w:pPr>
      <w:r>
        <w:rPr>
          <w:szCs w:val="22"/>
        </w:rPr>
        <w:t>Based on the record before us, w</w:t>
      </w:r>
      <w:r w:rsidRPr="004B0BB8">
        <w:rPr>
          <w:szCs w:val="22"/>
        </w:rPr>
        <w:t xml:space="preserve">e find there is good cause to grant a limited waiver </w:t>
      </w:r>
      <w:r>
        <w:rPr>
          <w:szCs w:val="22"/>
        </w:rPr>
        <w:t xml:space="preserve">of the reimbursement rules </w:t>
      </w:r>
      <w:r w:rsidRPr="004B0BB8">
        <w:rPr>
          <w:szCs w:val="22"/>
        </w:rPr>
        <w:t xml:space="preserve">and allow all providers until July 15, 2021 to submit reimbursement claims for </w:t>
      </w:r>
      <w:r w:rsidR="00C70E2B">
        <w:rPr>
          <w:szCs w:val="22"/>
        </w:rPr>
        <w:t>households</w:t>
      </w:r>
      <w:r w:rsidRPr="004B0BB8" w:rsidR="00C70E2B">
        <w:rPr>
          <w:szCs w:val="22"/>
        </w:rPr>
        <w:t xml:space="preserve"> </w:t>
      </w:r>
      <w:r w:rsidRPr="004B0BB8">
        <w:rPr>
          <w:szCs w:val="22"/>
        </w:rPr>
        <w:t xml:space="preserve">that were enrolled in the EBB Program in May 2021.  </w:t>
      </w:r>
      <w:r w:rsidRPr="00935277" w:rsidR="00935277">
        <w:rPr>
          <w:szCs w:val="22"/>
        </w:rPr>
        <w:t>P</w:t>
      </w:r>
      <w:r w:rsidRPr="00E07B0B" w:rsidR="00352404">
        <w:rPr>
          <w:szCs w:val="22"/>
        </w:rPr>
        <w:t xml:space="preserve">roviders </w:t>
      </w:r>
      <w:r w:rsidRPr="00E07B0B" w:rsidR="00626E60">
        <w:rPr>
          <w:szCs w:val="22"/>
        </w:rPr>
        <w:t xml:space="preserve">across the program </w:t>
      </w:r>
      <w:r>
        <w:rPr>
          <w:szCs w:val="22"/>
        </w:rPr>
        <w:t xml:space="preserve">suggest it would be helpful to provide </w:t>
      </w:r>
      <w:r w:rsidRPr="00935277" w:rsidR="00837A01">
        <w:rPr>
          <w:szCs w:val="22"/>
        </w:rPr>
        <w:t xml:space="preserve">additional time to </w:t>
      </w:r>
      <w:r w:rsidRPr="00935277" w:rsidR="00626E60">
        <w:rPr>
          <w:szCs w:val="22"/>
        </w:rPr>
        <w:t xml:space="preserve">confirm and submit </w:t>
      </w:r>
      <w:r w:rsidRPr="00935277" w:rsidR="00837A01">
        <w:rPr>
          <w:szCs w:val="22"/>
        </w:rPr>
        <w:t xml:space="preserve">up their reimbursement claims </w:t>
      </w:r>
      <w:r w:rsidRPr="00935277" w:rsidR="00626E60">
        <w:rPr>
          <w:szCs w:val="22"/>
        </w:rPr>
        <w:t xml:space="preserve">for service provided </w:t>
      </w:r>
      <w:r w:rsidRPr="00935277" w:rsidR="00211F2C">
        <w:rPr>
          <w:szCs w:val="22"/>
        </w:rPr>
        <w:t xml:space="preserve">to eligible households </w:t>
      </w:r>
      <w:r w:rsidRPr="00935277" w:rsidR="00626E60">
        <w:rPr>
          <w:szCs w:val="22"/>
        </w:rPr>
        <w:t>in the</w:t>
      </w:r>
      <w:r w:rsidRPr="00935277" w:rsidR="00837A01">
        <w:rPr>
          <w:szCs w:val="22"/>
        </w:rPr>
        <w:t xml:space="preserve"> first </w:t>
      </w:r>
      <w:r w:rsidRPr="00935277" w:rsidR="00626E60">
        <w:rPr>
          <w:szCs w:val="22"/>
        </w:rPr>
        <w:t>month of</w:t>
      </w:r>
      <w:r w:rsidRPr="00935277" w:rsidR="00837A01">
        <w:rPr>
          <w:szCs w:val="22"/>
        </w:rPr>
        <w:t xml:space="preserve"> the EBB Program.</w:t>
      </w:r>
      <w:r w:rsidR="00935277">
        <w:rPr>
          <w:szCs w:val="22"/>
        </w:rPr>
        <w:t xml:space="preserve">  </w:t>
      </w:r>
      <w:r w:rsidR="00C70E2B">
        <w:rPr>
          <w:szCs w:val="22"/>
        </w:rPr>
        <w:t xml:space="preserve">In particular, while the </w:t>
      </w:r>
      <w:r w:rsidR="00C70E2B">
        <w:rPr>
          <w:szCs w:val="22"/>
        </w:rPr>
        <w:t xml:space="preserve">details of the waiver requests vary in their requested relief, all </w:t>
      </w:r>
      <w:r w:rsidR="00E07B0B">
        <w:rPr>
          <w:szCs w:val="22"/>
        </w:rPr>
        <w:t xml:space="preserve">petitions </w:t>
      </w:r>
      <w:r w:rsidR="001B7F9D">
        <w:rPr>
          <w:szCs w:val="22"/>
        </w:rPr>
        <w:t xml:space="preserve">raise the concern </w:t>
      </w:r>
      <w:r w:rsidR="00A961C4">
        <w:rPr>
          <w:szCs w:val="22"/>
        </w:rPr>
        <w:t xml:space="preserve">that </w:t>
      </w:r>
      <w:r w:rsidRPr="00935277" w:rsidR="00C62659">
        <w:rPr>
          <w:snapToGrid/>
          <w:color w:val="201F1E"/>
          <w:kern w:val="0"/>
          <w:szCs w:val="22"/>
          <w:shd w:val="clear" w:color="auto" w:fill="FFFFFF"/>
        </w:rPr>
        <w:t>the 15-day deadline for the first reimbursement claim</w:t>
      </w:r>
      <w:r w:rsidRPr="00935277" w:rsidR="00474D20">
        <w:rPr>
          <w:snapToGrid/>
          <w:color w:val="201F1E"/>
          <w:kern w:val="0"/>
          <w:szCs w:val="22"/>
          <w:shd w:val="clear" w:color="auto" w:fill="FFFFFF"/>
        </w:rPr>
        <w:t xml:space="preserve">s based on the </w:t>
      </w:r>
      <w:r w:rsidR="0036417C">
        <w:rPr>
          <w:snapToGrid/>
          <w:color w:val="201F1E"/>
          <w:kern w:val="0"/>
          <w:szCs w:val="22"/>
          <w:shd w:val="clear" w:color="auto" w:fill="FFFFFF"/>
        </w:rPr>
        <w:t xml:space="preserve">Program’s first </w:t>
      </w:r>
      <w:r w:rsidRPr="00935277" w:rsidR="00474D20">
        <w:rPr>
          <w:snapToGrid/>
          <w:color w:val="201F1E"/>
          <w:kern w:val="0"/>
          <w:szCs w:val="22"/>
          <w:shd w:val="clear" w:color="auto" w:fill="FFFFFF"/>
        </w:rPr>
        <w:t>snapshot</w:t>
      </w:r>
      <w:r w:rsidRPr="00935277" w:rsidR="00C62659">
        <w:rPr>
          <w:snapToGrid/>
          <w:color w:val="201F1E"/>
          <w:kern w:val="0"/>
          <w:szCs w:val="22"/>
          <w:shd w:val="clear" w:color="auto" w:fill="FFFFFF"/>
        </w:rPr>
        <w:t xml:space="preserve"> </w:t>
      </w:r>
      <w:r w:rsidR="0036417C">
        <w:rPr>
          <w:snapToGrid/>
          <w:color w:val="201F1E"/>
          <w:kern w:val="0"/>
          <w:szCs w:val="22"/>
          <w:shd w:val="clear" w:color="auto" w:fill="FFFFFF"/>
        </w:rPr>
        <w:t xml:space="preserve">could </w:t>
      </w:r>
      <w:r w:rsidRPr="00935277" w:rsidR="00C62659">
        <w:rPr>
          <w:szCs w:val="22"/>
        </w:rPr>
        <w:t>pose a substantial hardship to providers</w:t>
      </w:r>
      <w:r w:rsidR="00A961C4">
        <w:rPr>
          <w:szCs w:val="22"/>
        </w:rPr>
        <w:t xml:space="preserve">.  </w:t>
      </w:r>
      <w:r w:rsidR="004510C2">
        <w:rPr>
          <w:szCs w:val="22"/>
        </w:rPr>
        <w:t xml:space="preserve">  </w:t>
      </w:r>
    </w:p>
    <w:p w:rsidR="001636DF" w:rsidRPr="00935277" w:rsidP="009F66A2" w14:paraId="37381EC4" w14:textId="2EE657FC">
      <w:pPr>
        <w:pStyle w:val="ParaNum"/>
        <w:rPr>
          <w:snapToGrid/>
          <w:kern w:val="0"/>
          <w:szCs w:val="22"/>
        </w:rPr>
      </w:pPr>
      <w:r>
        <w:rPr>
          <w:szCs w:val="22"/>
        </w:rPr>
        <w:t xml:space="preserve">Because we grant only a </w:t>
      </w:r>
      <w:r w:rsidRPr="00737425" w:rsidR="00A961C4">
        <w:rPr>
          <w:szCs w:val="22"/>
        </w:rPr>
        <w:t xml:space="preserve">one-month delay of </w:t>
      </w:r>
      <w:r>
        <w:rPr>
          <w:szCs w:val="22"/>
        </w:rPr>
        <w:t xml:space="preserve">the deadline for </w:t>
      </w:r>
      <w:r w:rsidRPr="00737425" w:rsidR="00A961C4">
        <w:rPr>
          <w:szCs w:val="22"/>
        </w:rPr>
        <w:t>reimbursement claims for subscribers enrolled in May 2021</w:t>
      </w:r>
      <w:r>
        <w:rPr>
          <w:szCs w:val="22"/>
        </w:rPr>
        <w:t xml:space="preserve">, we </w:t>
      </w:r>
      <w:r w:rsidRPr="00935277" w:rsidR="00C62659">
        <w:rPr>
          <w:szCs w:val="22"/>
        </w:rPr>
        <w:t>find that this limited waiver will not materially undermine USAC’s ability to track disbursements and forecast for the projected final month of the program</w:t>
      </w:r>
      <w:r>
        <w:rPr>
          <w:szCs w:val="22"/>
        </w:rPr>
        <w:t xml:space="preserve">.  Moreover, </w:t>
      </w:r>
      <w:r w:rsidR="00C46CFE">
        <w:rPr>
          <w:szCs w:val="22"/>
        </w:rPr>
        <w:t xml:space="preserve">applying </w:t>
      </w:r>
      <w:r w:rsidRPr="00E07B0B" w:rsidR="00620282">
        <w:rPr>
          <w:szCs w:val="22"/>
        </w:rPr>
        <w:t xml:space="preserve">this limited waiver to all providers and giving them an </w:t>
      </w:r>
      <w:r w:rsidRPr="00935277" w:rsidR="008F271A">
        <w:rPr>
          <w:szCs w:val="22"/>
        </w:rPr>
        <w:t xml:space="preserve">additional </w:t>
      </w:r>
      <w:r w:rsidRPr="00935277" w:rsidR="00620282">
        <w:rPr>
          <w:szCs w:val="22"/>
        </w:rPr>
        <w:t xml:space="preserve">month to file reimbursement claims for subscribers enrolled in May 2021 will ensure that providers </w:t>
      </w:r>
      <w:r w:rsidRPr="00935277" w:rsidR="0077079E">
        <w:rPr>
          <w:szCs w:val="22"/>
        </w:rPr>
        <w:t>have the time needed</w:t>
      </w:r>
      <w:r w:rsidRPr="00935277" w:rsidR="00620282">
        <w:rPr>
          <w:szCs w:val="22"/>
        </w:rPr>
        <w:t xml:space="preserve"> to develop and refine their processes and billing systems</w:t>
      </w:r>
      <w:r w:rsidR="00E07B0B">
        <w:rPr>
          <w:szCs w:val="22"/>
        </w:rPr>
        <w:t>,</w:t>
      </w:r>
      <w:r w:rsidRPr="00E07B0B" w:rsidR="00620282">
        <w:rPr>
          <w:szCs w:val="22"/>
        </w:rPr>
        <w:t xml:space="preserve"> and </w:t>
      </w:r>
      <w:r w:rsidR="00E07B0B">
        <w:rPr>
          <w:szCs w:val="22"/>
        </w:rPr>
        <w:t xml:space="preserve">to </w:t>
      </w:r>
      <w:r w:rsidRPr="00E07B0B" w:rsidR="00620282">
        <w:rPr>
          <w:szCs w:val="22"/>
        </w:rPr>
        <w:t xml:space="preserve">submit </w:t>
      </w:r>
      <w:r w:rsidRPr="00E07B0B" w:rsidR="00F23F92">
        <w:rPr>
          <w:szCs w:val="22"/>
        </w:rPr>
        <w:t xml:space="preserve">accurate </w:t>
      </w:r>
      <w:r w:rsidRPr="00935277" w:rsidR="00620282">
        <w:rPr>
          <w:szCs w:val="22"/>
        </w:rPr>
        <w:t>reimbursement claims for their enrolled subscribers.</w:t>
      </w:r>
      <w:r w:rsidRPr="00935277" w:rsidR="00F96F73">
        <w:rPr>
          <w:szCs w:val="22"/>
        </w:rPr>
        <w:t xml:space="preserve">  </w:t>
      </w:r>
      <w:r w:rsidR="00E07B0B">
        <w:rPr>
          <w:szCs w:val="22"/>
        </w:rPr>
        <w:t xml:space="preserve">Finally, we </w:t>
      </w:r>
      <w:r w:rsidR="00C46CFE">
        <w:rPr>
          <w:szCs w:val="22"/>
        </w:rPr>
        <w:t xml:space="preserve">are comfortable </w:t>
      </w:r>
      <w:r w:rsidR="00E07B0B">
        <w:rPr>
          <w:szCs w:val="22"/>
        </w:rPr>
        <w:t xml:space="preserve">that the </w:t>
      </w:r>
      <w:r w:rsidRPr="00E07B0B" w:rsidR="00F96F73">
        <w:rPr>
          <w:szCs w:val="22"/>
        </w:rPr>
        <w:t xml:space="preserve">additional time </w:t>
      </w:r>
      <w:r w:rsidR="00E07B0B">
        <w:rPr>
          <w:szCs w:val="22"/>
        </w:rPr>
        <w:t xml:space="preserve">we grant </w:t>
      </w:r>
      <w:r w:rsidRPr="00935277" w:rsidR="00F96F73">
        <w:rPr>
          <w:szCs w:val="22"/>
        </w:rPr>
        <w:t xml:space="preserve">providers </w:t>
      </w:r>
      <w:r w:rsidRPr="00935277" w:rsidR="001A0221">
        <w:rPr>
          <w:szCs w:val="22"/>
        </w:rPr>
        <w:t xml:space="preserve">to prepare to file their first EBB claims </w:t>
      </w:r>
      <w:r w:rsidR="00E07B0B">
        <w:rPr>
          <w:szCs w:val="22"/>
        </w:rPr>
        <w:t xml:space="preserve">will not </w:t>
      </w:r>
      <w:r w:rsidR="001B7F9D">
        <w:rPr>
          <w:szCs w:val="22"/>
        </w:rPr>
        <w:t xml:space="preserve">materially affect </w:t>
      </w:r>
      <w:r w:rsidRPr="00E07B0B" w:rsidR="001A0221">
        <w:rPr>
          <w:szCs w:val="22"/>
        </w:rPr>
        <w:t xml:space="preserve">the operations of the Program or impact </w:t>
      </w:r>
      <w:r w:rsidR="0036417C">
        <w:rPr>
          <w:szCs w:val="22"/>
        </w:rPr>
        <w:t xml:space="preserve">the </w:t>
      </w:r>
      <w:r w:rsidR="001B7F9D">
        <w:rPr>
          <w:szCs w:val="22"/>
        </w:rPr>
        <w:t xml:space="preserve">broadband service provided to the </w:t>
      </w:r>
      <w:r w:rsidR="0036417C">
        <w:rPr>
          <w:szCs w:val="22"/>
        </w:rPr>
        <w:t>enrolled households</w:t>
      </w:r>
      <w:r w:rsidRPr="00E07B0B" w:rsidR="001A0221">
        <w:rPr>
          <w:szCs w:val="22"/>
        </w:rPr>
        <w:t>.</w:t>
      </w:r>
    </w:p>
    <w:p w:rsidR="00D71074" w:rsidRPr="00DC3D98" w:rsidP="00D71074" w14:paraId="49CEF329" w14:textId="77777777">
      <w:pPr>
        <w:pStyle w:val="Heading1"/>
        <w:rPr>
          <w:rFonts w:ascii="Times New Roman" w:hAnsi="Times New Roman"/>
          <w:snapToGrid/>
          <w:color w:val="201F1E"/>
          <w:kern w:val="0"/>
          <w:szCs w:val="22"/>
          <w:shd w:val="clear" w:color="auto" w:fill="FFFFFF"/>
        </w:rPr>
      </w:pPr>
      <w:r w:rsidRPr="00DC3D98">
        <w:rPr>
          <w:rFonts w:ascii="Times New Roman" w:hAnsi="Times New Roman"/>
          <w:snapToGrid/>
          <w:color w:val="201F1E"/>
          <w:kern w:val="0"/>
          <w:szCs w:val="22"/>
          <w:shd w:val="clear" w:color="auto" w:fill="FFFFFF"/>
        </w:rPr>
        <w:t xml:space="preserve">ORDering clause </w:t>
      </w:r>
    </w:p>
    <w:p w:rsidR="00D71074" w:rsidRPr="00D71074" w:rsidP="00D71074" w14:paraId="23535459" w14:textId="77777777">
      <w:pPr>
        <w:pStyle w:val="ParaNum"/>
        <w:rPr>
          <w:snapToGrid/>
          <w:kern w:val="0"/>
          <w:sz w:val="24"/>
          <w:szCs w:val="24"/>
        </w:rPr>
      </w:pPr>
      <w:r w:rsidRPr="00DC3D98">
        <w:rPr>
          <w:szCs w:val="22"/>
        </w:rPr>
        <w:t xml:space="preserve">ACCORDINGLY, IT IS ORDERED, 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 xml:space="preserve">1.3, that section </w:t>
      </w:r>
      <w:r>
        <w:rPr>
          <w:rFonts w:ascii="TimesNewRomanPSMT" w:hAnsi="TimesNewRomanPSMT"/>
        </w:rPr>
        <w:t xml:space="preserve">47 CFR § 54.1608(g) </w:t>
      </w:r>
      <w:r w:rsidRPr="00DC3D98">
        <w:rPr>
          <w:szCs w:val="22"/>
        </w:rPr>
        <w:t>of the Commission’s rules is WAIVED to the limited extent provided herein</w:t>
      </w:r>
      <w:r>
        <w:rPr>
          <w:szCs w:val="22"/>
        </w:rPr>
        <w:t xml:space="preserve"> and </w:t>
      </w:r>
      <w:r w:rsidRPr="00B53331">
        <w:rPr>
          <w:szCs w:val="22"/>
        </w:rPr>
        <w:t>SHALL BE EFFECTIVE upon release</w:t>
      </w:r>
      <w:r w:rsidRPr="00DC3D98">
        <w:rPr>
          <w:szCs w:val="22"/>
        </w:rPr>
        <w:t xml:space="preserve">. </w:t>
      </w:r>
    </w:p>
    <w:p w:rsidR="00D71074" w:rsidP="00D71074" w14:paraId="4ED795C0" w14:textId="77777777">
      <w:pPr>
        <w:pStyle w:val="ParaNum"/>
        <w:numPr>
          <w:ilvl w:val="0"/>
          <w:numId w:val="0"/>
        </w:numPr>
        <w:rPr>
          <w:szCs w:val="22"/>
        </w:rPr>
      </w:pPr>
    </w:p>
    <w:p w:rsidR="00D71074" w:rsidP="0017296B" w14:paraId="3F98C22A" w14:textId="77777777">
      <w:r>
        <w:tab/>
      </w:r>
      <w:r>
        <w:tab/>
      </w:r>
      <w:r>
        <w:tab/>
      </w:r>
      <w:r>
        <w:tab/>
      </w:r>
      <w:r>
        <w:tab/>
      </w:r>
      <w:r>
        <w:tab/>
        <w:t>FEDERAL COMMUNICATIONS COMMISSION</w:t>
      </w:r>
    </w:p>
    <w:p w:rsidR="00D71074" w:rsidP="0017296B" w14:paraId="625D8FCF" w14:textId="77777777"/>
    <w:p w:rsidR="00D71074" w:rsidP="0017296B" w14:paraId="3A62EE23" w14:textId="77777777"/>
    <w:p w:rsidR="00D71074" w:rsidP="0017296B" w14:paraId="00568AD0" w14:textId="77777777"/>
    <w:p w:rsidR="00D71074" w:rsidP="0017296B" w14:paraId="1317F5BA" w14:textId="77777777"/>
    <w:p w:rsidR="00D71074" w:rsidRPr="00B53331" w:rsidP="00D71074" w14:paraId="193AA1D6" w14:textId="77777777">
      <w:pPr>
        <w:pStyle w:val="NormalWeb"/>
        <w:ind w:left="4320"/>
      </w:pPr>
      <w:r>
        <w:rPr>
          <w:sz w:val="22"/>
          <w:szCs w:val="22"/>
        </w:rPr>
        <w:t xml:space="preserve">Kris </w:t>
      </w:r>
      <w:r w:rsidR="00D44424">
        <w:rPr>
          <w:sz w:val="22"/>
          <w:szCs w:val="22"/>
        </w:rPr>
        <w:t>Anne</w:t>
      </w:r>
      <w:r w:rsidR="00A92252">
        <w:rPr>
          <w:sz w:val="22"/>
          <w:szCs w:val="22"/>
        </w:rPr>
        <w:t xml:space="preserve"> </w:t>
      </w:r>
      <w:r>
        <w:rPr>
          <w:sz w:val="22"/>
          <w:szCs w:val="22"/>
        </w:rPr>
        <w:t xml:space="preserve">Monteith </w:t>
      </w:r>
      <w:r w:rsidRPr="00B53331" w:rsidR="006E1610">
        <w:rPr>
          <w:sz w:val="22"/>
          <w:szCs w:val="22"/>
        </w:rPr>
        <w:br/>
        <w:t>Chief</w:t>
      </w:r>
      <w:r w:rsidRPr="00B53331" w:rsidR="006E1610">
        <w:rPr>
          <w:sz w:val="22"/>
          <w:szCs w:val="22"/>
        </w:rPr>
        <w:br/>
        <w:t xml:space="preserve">Wireline Competition Bureau </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9809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A6F2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739" w14:paraId="725090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2089" w14:paraId="646CBC7B" w14:textId="77777777">
      <w:r>
        <w:separator/>
      </w:r>
    </w:p>
  </w:footnote>
  <w:footnote w:type="continuationSeparator" w:id="1">
    <w:p w:rsidR="00462089" w:rsidP="00C721AC" w14:paraId="0327F301" w14:textId="77777777">
      <w:pPr>
        <w:spacing w:before="120"/>
        <w:rPr>
          <w:sz w:val="20"/>
        </w:rPr>
      </w:pPr>
      <w:r>
        <w:rPr>
          <w:sz w:val="20"/>
        </w:rPr>
        <w:t xml:space="preserve">(Continued from previous page)  </w:t>
      </w:r>
      <w:r>
        <w:rPr>
          <w:sz w:val="20"/>
        </w:rPr>
        <w:separator/>
      </w:r>
    </w:p>
  </w:footnote>
  <w:footnote w:type="continuationNotice" w:id="2">
    <w:p w:rsidR="00462089" w:rsidP="00C721AC" w14:paraId="1CE3E902" w14:textId="77777777">
      <w:pPr>
        <w:jc w:val="right"/>
        <w:rPr>
          <w:sz w:val="20"/>
        </w:rPr>
      </w:pPr>
      <w:r>
        <w:rPr>
          <w:sz w:val="20"/>
        </w:rPr>
        <w:t>(continued….)</w:t>
      </w:r>
    </w:p>
  </w:footnote>
  <w:footnote w:id="3">
    <w:p w:rsidR="00D71074" w:rsidP="00D71074" w14:paraId="138AE8E4" w14:textId="77777777">
      <w:pPr>
        <w:pStyle w:val="FootnoteText"/>
      </w:pPr>
      <w:r>
        <w:rPr>
          <w:rStyle w:val="FootnoteReference"/>
        </w:rPr>
        <w:footnoteRef/>
      </w:r>
      <w:r>
        <w:t xml:space="preserve"> 4</w:t>
      </w:r>
      <w:r w:rsidRPr="005A50B6">
        <w:t>7 CFR § 54.160</w:t>
      </w:r>
      <w:r>
        <w:t>2</w:t>
      </w:r>
      <w:r w:rsidRPr="005A50B6">
        <w:t>.</w:t>
      </w:r>
    </w:p>
  </w:footnote>
  <w:footnote w:id="4">
    <w:p w:rsidR="00D71074" w:rsidRPr="005A50B6" w:rsidP="00D71074" w14:paraId="09AD68D3" w14:textId="77777777">
      <w:pPr>
        <w:pStyle w:val="FootnoteText"/>
      </w:pPr>
      <w:r w:rsidRPr="005A50B6">
        <w:rPr>
          <w:rStyle w:val="FootnoteReference"/>
        </w:rPr>
        <w:footnoteRef/>
      </w:r>
      <w:r w:rsidRPr="005A50B6">
        <w:t xml:space="preserve"> </w:t>
      </w:r>
      <w:r>
        <w:rPr>
          <w:i/>
        </w:rPr>
        <w:t>Id.</w:t>
      </w:r>
      <w:r>
        <w:t xml:space="preserve"> </w:t>
      </w:r>
      <w:r w:rsidRPr="005A50B6">
        <w:t>§ 54.160</w:t>
      </w:r>
      <w:r>
        <w:t>8.</w:t>
      </w:r>
    </w:p>
  </w:footnote>
  <w:footnote w:id="5">
    <w:p w:rsidR="00D71074" w:rsidRPr="005A50B6" w:rsidP="00D71074" w14:paraId="4CC17836" w14:textId="77777777">
      <w:pPr>
        <w:pStyle w:val="FootnoteText"/>
      </w:pPr>
      <w:r w:rsidRPr="005A50B6">
        <w:rPr>
          <w:rStyle w:val="FootnoteReference"/>
        </w:rPr>
        <w:footnoteRef/>
      </w:r>
      <w:r w:rsidRPr="005A50B6">
        <w:t xml:space="preserve"> </w:t>
      </w:r>
      <w:r w:rsidRPr="005A50B6">
        <w:rPr>
          <w:i/>
          <w:iCs/>
        </w:rPr>
        <w:t>Id.</w:t>
      </w:r>
      <w:r w:rsidRPr="005A50B6">
        <w:t xml:space="preserve"> § 54.160</w:t>
      </w:r>
      <w:r>
        <w:t>8(e)</w:t>
      </w:r>
      <w:r w:rsidRPr="005A50B6">
        <w:t>.</w:t>
      </w:r>
    </w:p>
  </w:footnote>
  <w:footnote w:id="6">
    <w:p w:rsidR="00D71074" w:rsidRPr="00F65D7C" w:rsidP="00D71074" w14:paraId="352D9A8A" w14:textId="77777777">
      <w:pPr>
        <w:pStyle w:val="FootnoteText"/>
      </w:pPr>
      <w:r>
        <w:rPr>
          <w:rStyle w:val="FootnoteReference"/>
        </w:rPr>
        <w:footnoteRef/>
      </w:r>
      <w:r>
        <w:t xml:space="preserve"> </w:t>
      </w:r>
      <w:r>
        <w:rPr>
          <w:i/>
          <w:iCs/>
        </w:rPr>
        <w:t xml:space="preserve">Id. </w:t>
      </w:r>
      <w:r>
        <w:t>§ 54.1608(a).</w:t>
      </w:r>
    </w:p>
  </w:footnote>
  <w:footnote w:id="7">
    <w:p w:rsidR="00D71074" w:rsidRPr="00052B87" w:rsidP="00D71074" w14:paraId="318E81B1" w14:textId="77777777">
      <w:pPr>
        <w:pStyle w:val="FootnoteText"/>
      </w:pPr>
      <w:r>
        <w:rPr>
          <w:rStyle w:val="FootnoteReference"/>
        </w:rPr>
        <w:footnoteRef/>
      </w:r>
      <w:r>
        <w:t xml:space="preserve"> </w:t>
      </w:r>
      <w:r>
        <w:rPr>
          <w:i/>
          <w:iCs/>
        </w:rPr>
        <w:t>Id.</w:t>
      </w:r>
      <w:r>
        <w:t xml:space="preserve"> § 54.1608(g).</w:t>
      </w:r>
    </w:p>
  </w:footnote>
  <w:footnote w:id="8">
    <w:p w:rsidR="00D71074" w:rsidRPr="005A50B6" w:rsidP="00D71074" w14:paraId="431229CF"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Pr>
          <w:i/>
          <w:sz w:val="20"/>
          <w:szCs w:val="20"/>
        </w:rPr>
        <w:t>Id.</w:t>
      </w:r>
    </w:p>
  </w:footnote>
  <w:footnote w:id="9">
    <w:p w:rsidR="00D71074" w:rsidRPr="00DF58F6" w:rsidP="00D71074" w14:paraId="2ADAC11E" w14:textId="192D889E">
      <w:pPr>
        <w:pStyle w:val="FootnoteText"/>
      </w:pPr>
      <w:r w:rsidRPr="00DF58F6">
        <w:rPr>
          <w:rStyle w:val="FootnoteReference"/>
        </w:rPr>
        <w:footnoteRef/>
      </w:r>
      <w:r w:rsidRPr="00DF58F6">
        <w:t xml:space="preserve"> </w:t>
      </w:r>
      <w:r w:rsidRPr="005A50B6" w:rsidR="00FC390E">
        <w:rPr>
          <w:i/>
          <w:iCs/>
        </w:rPr>
        <w:t>Emergency Broadband Benefit Program</w:t>
      </w:r>
      <w:r w:rsidRPr="005A50B6" w:rsidR="00FC390E">
        <w:t>, WC Docket No. 20-445</w:t>
      </w:r>
      <w:r w:rsidR="00FC390E">
        <w:t xml:space="preserve">, </w:t>
      </w:r>
      <w:r w:rsidRPr="005A50B6" w:rsidR="00FC390E">
        <w:t xml:space="preserve">Report and Order, FCC 21- 29, </w:t>
      </w:r>
      <w:r w:rsidR="00FC390E">
        <w:t xml:space="preserve">50, </w:t>
      </w:r>
      <w:r w:rsidRPr="005A50B6" w:rsidR="00FC390E">
        <w:t>para</w:t>
      </w:r>
      <w:r w:rsidR="00FC390E">
        <w:t>s</w:t>
      </w:r>
      <w:r w:rsidRPr="005A50B6" w:rsidR="00FC390E">
        <w:t>. 98</w:t>
      </w:r>
      <w:r w:rsidR="00FC390E">
        <w:t>, 100</w:t>
      </w:r>
      <w:r w:rsidRPr="005A50B6" w:rsidR="00FC390E">
        <w:t xml:space="preserve"> (2021) (</w:t>
      </w:r>
      <w:r w:rsidRPr="005A50B6" w:rsidR="00FC390E">
        <w:rPr>
          <w:i/>
          <w:iCs/>
        </w:rPr>
        <w:t>EBB Program Order</w:t>
      </w:r>
      <w:r w:rsidRPr="005A50B6" w:rsidR="00FC390E">
        <w:t>).</w:t>
      </w:r>
    </w:p>
  </w:footnote>
  <w:footnote w:id="10">
    <w:p w:rsidR="00D71074" w:rsidRPr="00DF58F6" w:rsidP="00D71074" w14:paraId="252F6A5A"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 LLC v. FCC</w:t>
      </w:r>
      <w:r w:rsidRPr="00DF58F6">
        <w:rPr>
          <w:sz w:val="20"/>
          <w:szCs w:val="20"/>
        </w:rPr>
        <w:t>, 548 F.3d 116, 127 (D.C. Cir. 2008).</w:t>
      </w:r>
      <w:r w:rsidRPr="00DF58F6">
        <w:t xml:space="preserve"> </w:t>
      </w:r>
    </w:p>
  </w:footnote>
  <w:footnote w:id="11">
    <w:p w:rsidR="00D71074" w:rsidRPr="00DF58F6" w:rsidP="00D71074" w14:paraId="270FB8FE" w14:textId="72B46389">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sidR="00771BE8">
        <w:rPr>
          <w:i/>
          <w:iCs/>
          <w:sz w:val="20"/>
          <w:szCs w:val="20"/>
        </w:rPr>
        <w:t>V</w:t>
      </w:r>
      <w:r w:rsidRPr="00DF58F6">
        <w:rPr>
          <w:i/>
          <w:iCs/>
          <w:sz w:val="20"/>
          <w:szCs w:val="20"/>
        </w:rPr>
        <w:t>. Harris Found. v. FCC</w:t>
      </w:r>
      <w:r w:rsidRPr="00DF58F6">
        <w:rPr>
          <w:sz w:val="20"/>
          <w:szCs w:val="20"/>
        </w:rPr>
        <w:t>, 776 F.3d 21, 28 (D.C. Cir. 2015).</w:t>
      </w:r>
    </w:p>
  </w:footnote>
  <w:footnote w:id="12">
    <w:p w:rsidR="00D71074" w:rsidRPr="00E90A96" w:rsidP="00D71074" w14:paraId="2138A7E4"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13">
    <w:p w:rsidR="00D71074" w:rsidRPr="00E90A96" w:rsidP="00D71074" w14:paraId="158D9179"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14">
    <w:p w:rsidR="00D71074" w:rsidRPr="00E90A96" w:rsidP="00D71074" w14:paraId="731298E9"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F.2d at 1166; </w:t>
      </w:r>
      <w:r w:rsidRPr="00E90A96">
        <w:rPr>
          <w:i/>
          <w:iCs/>
          <w:sz w:val="20"/>
          <w:szCs w:val="20"/>
        </w:rPr>
        <w:t>WAIT Radio v. FCC</w:t>
      </w:r>
      <w:r w:rsidRPr="00E90A96">
        <w:rPr>
          <w:sz w:val="20"/>
          <w:szCs w:val="20"/>
        </w:rPr>
        <w:t>, 418 F.2d 1153, 1159 (D.C. Cir. 1969)</w:t>
      </w:r>
      <w:r>
        <w:rPr>
          <w:sz w:val="20"/>
          <w:szCs w:val="20"/>
        </w:rPr>
        <w:t>.</w:t>
      </w:r>
    </w:p>
  </w:footnote>
  <w:footnote w:id="15">
    <w:p w:rsidR="005653B5" w:rsidP="00B02499" w14:paraId="5DC0F3DD" w14:textId="015B7A15">
      <w:pPr>
        <w:pStyle w:val="FootnoteText"/>
      </w:pPr>
      <w:r>
        <w:rPr>
          <w:rStyle w:val="FootnoteReference"/>
        </w:rPr>
        <w:footnoteRef/>
      </w:r>
      <w:r>
        <w:t xml:space="preserve"> </w:t>
      </w:r>
      <w:r w:rsidRPr="00BE5CAF" w:rsidR="00BE5CAF">
        <w:t xml:space="preserve">Consolidated Appropriations Act, 2021, Pub. L. No. 116-260, div. N, tit. IX, § 904(b)(3), 134 Stat. </w:t>
      </w:r>
      <w:r w:rsidR="00B02499">
        <w:t>1182</w:t>
      </w:r>
      <w:r w:rsidRPr="00BE5CAF" w:rsidR="00BE5CAF">
        <w:t>, 213</w:t>
      </w:r>
      <w:r w:rsidR="005A5500">
        <w:t>2</w:t>
      </w:r>
      <w:r w:rsidR="00E34865">
        <w:t xml:space="preserve"> (2020)</w:t>
      </w:r>
      <w:r w:rsidR="00C06761">
        <w:t xml:space="preserve">, </w:t>
      </w:r>
      <w:r w:rsidR="00B02499">
        <w:t xml:space="preserve">available at </w:t>
      </w:r>
      <w:hyperlink r:id="rId1" w:history="1">
        <w:r w:rsidRPr="00F31D81" w:rsidR="00771BE8">
          <w:rPr>
            <w:rStyle w:val="Hyperlink"/>
          </w:rPr>
          <w:t>https://www.congress.gov/bill/116th-congress/house-bill/133/text</w:t>
        </w:r>
      </w:hyperlink>
      <w:r w:rsidRPr="00BE5CAF" w:rsidR="00BE5CAF">
        <w:t>.</w:t>
      </w:r>
      <w:r w:rsidR="00771BE8">
        <w:t xml:space="preserve"> </w:t>
      </w:r>
    </w:p>
  </w:footnote>
  <w:footnote w:id="16">
    <w:p w:rsidR="00A67261" w:rsidRPr="00BE25B6" w:rsidP="00BE25B6" w14:paraId="7BAA7AA8" w14:textId="71CC33F7">
      <w:pPr>
        <w:pStyle w:val="Default"/>
        <w:rPr>
          <w:sz w:val="20"/>
          <w:szCs w:val="20"/>
        </w:rPr>
      </w:pPr>
      <w:r>
        <w:rPr>
          <w:rStyle w:val="FootnoteReference"/>
        </w:rPr>
        <w:footnoteRef/>
      </w:r>
      <w:r>
        <w:t xml:space="preserve"> </w:t>
      </w:r>
      <w:r w:rsidRPr="00771BE8">
        <w:rPr>
          <w:i/>
          <w:iCs/>
          <w:sz w:val="20"/>
          <w:szCs w:val="20"/>
        </w:rPr>
        <w:t>See, e.g.</w:t>
      </w:r>
      <w:r w:rsidRPr="00771BE8">
        <w:rPr>
          <w:sz w:val="20"/>
          <w:szCs w:val="20"/>
        </w:rPr>
        <w:t xml:space="preserve">, </w:t>
      </w:r>
      <w:r w:rsidRPr="00771BE8" w:rsidR="00331F5B">
        <w:rPr>
          <w:sz w:val="20"/>
          <w:szCs w:val="20"/>
        </w:rPr>
        <w:t>Cox</w:t>
      </w:r>
      <w:r w:rsidRPr="00771BE8" w:rsidR="00BE25B6">
        <w:rPr>
          <w:sz w:val="20"/>
          <w:szCs w:val="20"/>
        </w:rPr>
        <w:t xml:space="preserve"> </w:t>
      </w:r>
      <w:r w:rsidRPr="00771BE8" w:rsidR="00F2297E">
        <w:rPr>
          <w:sz w:val="20"/>
          <w:szCs w:val="20"/>
        </w:rPr>
        <w:t xml:space="preserve">Petition for Limited Waiver, WC Docket No. 20-445 (filed May 10, 2021), </w:t>
      </w:r>
      <w:hyperlink r:id="rId2" w:history="1">
        <w:r w:rsidRPr="00771BE8" w:rsidR="00F2297E">
          <w:rPr>
            <w:rStyle w:val="Hyperlink"/>
            <w:sz w:val="20"/>
            <w:szCs w:val="20"/>
          </w:rPr>
          <w:t>https://ecfsapi.fcc.gov/file/105101144728616/EBB%20Waiver%20Claims%20Submission%20Final.docx</w:t>
        </w:r>
      </w:hyperlink>
      <w:r w:rsidRPr="00771BE8" w:rsidR="00F2297E">
        <w:rPr>
          <w:sz w:val="20"/>
          <w:szCs w:val="20"/>
        </w:rPr>
        <w:t>;</w:t>
      </w:r>
      <w:r w:rsidRPr="00771BE8" w:rsidR="00BE71EE">
        <w:rPr>
          <w:sz w:val="20"/>
          <w:szCs w:val="20"/>
        </w:rPr>
        <w:t xml:space="preserve"> Cellular South Licenses, LLC Petition for Limited Waiver, WC Docket No. 20-445 (filed May 14, 2021), </w:t>
      </w:r>
      <w:hyperlink r:id="rId3" w:history="1">
        <w:r w:rsidRPr="00771BE8" w:rsidR="00BE71EE">
          <w:rPr>
            <w:rStyle w:val="Hyperlink"/>
            <w:sz w:val="20"/>
            <w:szCs w:val="20"/>
          </w:rPr>
          <w:t>https://ecfsapi.fcc.gov/file/10514206053988/C%20Spire%20EBB%20Waiver_%20FINAL.pdf</w:t>
        </w:r>
      </w:hyperlink>
      <w:r w:rsidRPr="00771BE8" w:rsidR="00BE71EE">
        <w:rPr>
          <w:sz w:val="20"/>
          <w:szCs w:val="20"/>
        </w:rPr>
        <w:t xml:space="preserve">; </w:t>
      </w:r>
      <w:r w:rsidRPr="00771BE8" w:rsidR="00331F5B">
        <w:rPr>
          <w:sz w:val="20"/>
          <w:szCs w:val="20"/>
        </w:rPr>
        <w:t xml:space="preserve">Cable One </w:t>
      </w:r>
      <w:r w:rsidRPr="00771BE8" w:rsidR="002F0A50">
        <w:rPr>
          <w:sz w:val="20"/>
          <w:szCs w:val="20"/>
        </w:rPr>
        <w:t xml:space="preserve">Expedited Petition for Waiver, WC Docket No. 20-445 (filed May 17, 2021), </w:t>
      </w:r>
      <w:hyperlink r:id="rId4" w:history="1">
        <w:r w:rsidRPr="00771BE8" w:rsidR="002F0A50">
          <w:rPr>
            <w:rStyle w:val="Hyperlink"/>
            <w:sz w:val="20"/>
            <w:szCs w:val="20"/>
          </w:rPr>
          <w:t>https://ecfsapi.fcc.gov/file/</w:t>
        </w:r>
        <w:r w:rsidRPr="00771BE8" w:rsidR="00331F5B">
          <w:rPr>
            <w:rStyle w:val="Hyperlink"/>
            <w:sz w:val="20"/>
            <w:szCs w:val="20"/>
          </w:rPr>
          <w:t>‌</w:t>
        </w:r>
        <w:r w:rsidRPr="00771BE8" w:rsidR="002F0A50">
          <w:rPr>
            <w:rStyle w:val="Hyperlink"/>
            <w:sz w:val="20"/>
            <w:szCs w:val="20"/>
          </w:rPr>
          <w:t>10517303123951/</w:t>
        </w:r>
        <w:r w:rsidRPr="00771BE8" w:rsidR="00331F5B">
          <w:rPr>
            <w:rStyle w:val="Hyperlink"/>
            <w:sz w:val="20"/>
            <w:szCs w:val="20"/>
          </w:rPr>
          <w:t>‌‌</w:t>
        </w:r>
        <w:r w:rsidRPr="00771BE8" w:rsidR="002F0A50">
          <w:rPr>
            <w:rStyle w:val="Hyperlink"/>
            <w:sz w:val="20"/>
            <w:szCs w:val="20"/>
          </w:rPr>
          <w:t>Cable%20One%20Expedited%20Petition%20for%20Waiver%20(5-17-21).pdf</w:t>
        </w:r>
      </w:hyperlink>
      <w:r w:rsidRPr="00771BE8" w:rsidR="002F0A50">
        <w:rPr>
          <w:sz w:val="20"/>
          <w:szCs w:val="20"/>
        </w:rPr>
        <w:t xml:space="preserve">; </w:t>
      </w:r>
      <w:r w:rsidRPr="00771BE8" w:rsidR="00331F5B">
        <w:rPr>
          <w:sz w:val="20"/>
          <w:szCs w:val="20"/>
        </w:rPr>
        <w:t xml:space="preserve">Radiate </w:t>
      </w:r>
      <w:r w:rsidRPr="00771BE8" w:rsidR="00D21B08">
        <w:rPr>
          <w:sz w:val="20"/>
          <w:szCs w:val="20"/>
        </w:rPr>
        <w:t xml:space="preserve">Petition for Waiver and Request for Expedited Treatment, WC Docket No. 20-445 (filed May 25, 2021), </w:t>
      </w:r>
      <w:hyperlink r:id="rId5" w:history="1">
        <w:r w:rsidRPr="00771BE8" w:rsidR="00431AE4">
          <w:rPr>
            <w:rStyle w:val="Hyperlink"/>
            <w:sz w:val="20"/>
            <w:szCs w:val="20"/>
          </w:rPr>
          <w:t>https://ecfsapi.fcc.‌gov/file/10526114322360/Radiate%20Holdings%20Petition%20for%20Expedited%20Waiver%20May%2025%202021%20Dkt%2020%20445.pdf</w:t>
        </w:r>
      </w:hyperlink>
      <w:r w:rsidRPr="00771BE8" w:rsidR="00331F5B">
        <w:rPr>
          <w:sz w:val="20"/>
          <w:szCs w:val="20"/>
        </w:rPr>
        <w:t>; WOW P</w:t>
      </w:r>
      <w:r w:rsidRPr="00771BE8" w:rsidR="00934FE7">
        <w:rPr>
          <w:sz w:val="20"/>
          <w:szCs w:val="20"/>
        </w:rPr>
        <w:t xml:space="preserve">etition for Limited Waiver and Request for Expedited Treatment, WC Docket No. 20-445 (filed May 27, 2021), </w:t>
      </w:r>
      <w:hyperlink r:id="rId6" w:history="1">
        <w:r w:rsidRPr="00771BE8" w:rsidR="00934FE7">
          <w:rPr>
            <w:rStyle w:val="Hyperlink"/>
            <w:sz w:val="20"/>
            <w:szCs w:val="20"/>
          </w:rPr>
          <w:t>https://ecfsapi.fcc.gov/file/1052729447937/WOW_EBB%20Waiver%</w:t>
        </w:r>
        <w:r w:rsidRPr="00771BE8" w:rsidR="00431AE4">
          <w:rPr>
            <w:rStyle w:val="Hyperlink"/>
            <w:sz w:val="20"/>
            <w:szCs w:val="20"/>
          </w:rPr>
          <w:t>‌</w:t>
        </w:r>
        <w:r w:rsidRPr="00771BE8" w:rsidR="00934FE7">
          <w:rPr>
            <w:rStyle w:val="Hyperlink"/>
            <w:sz w:val="20"/>
            <w:szCs w:val="20"/>
          </w:rPr>
          <w:t>20Petition%20Final.pdf</w:t>
        </w:r>
      </w:hyperlink>
      <w:r w:rsidRPr="00771BE8" w:rsidR="00934FE7">
        <w:rPr>
          <w:sz w:val="20"/>
          <w:szCs w:val="20"/>
        </w:rPr>
        <w:t>.</w:t>
      </w:r>
      <w:r w:rsidRPr="00771BE8" w:rsidR="00950D93">
        <w:rPr>
          <w:sz w:val="20"/>
          <w:szCs w:val="20"/>
        </w:rPr>
        <w:t xml:space="preserve">  </w:t>
      </w:r>
      <w:r w:rsidRPr="00771BE8" w:rsidR="00C46CFE">
        <w:rPr>
          <w:sz w:val="20"/>
          <w:szCs w:val="20"/>
        </w:rPr>
        <w:t xml:space="preserve">While we reference these individual provider petitions in </w:t>
      </w:r>
      <w:r w:rsidRPr="00771BE8" w:rsidR="00B4357A">
        <w:rPr>
          <w:sz w:val="20"/>
          <w:szCs w:val="20"/>
        </w:rPr>
        <w:t xml:space="preserve">justifying the relief given in </w:t>
      </w:r>
      <w:r w:rsidRPr="00771BE8" w:rsidR="00C46CFE">
        <w:rPr>
          <w:sz w:val="20"/>
          <w:szCs w:val="20"/>
        </w:rPr>
        <w:t>this waiver</w:t>
      </w:r>
      <w:r w:rsidRPr="00771BE8" w:rsidR="00B4357A">
        <w:rPr>
          <w:sz w:val="20"/>
          <w:szCs w:val="20"/>
        </w:rPr>
        <w:t xml:space="preserve"> order, the petitions also contain more discrete requests specific to the operational needs of the requesting providers and we therefore</w:t>
      </w:r>
      <w:r w:rsidRPr="00771BE8" w:rsidR="00C46CFE">
        <w:rPr>
          <w:sz w:val="20"/>
          <w:szCs w:val="20"/>
        </w:rPr>
        <w:t xml:space="preserve"> </w:t>
      </w:r>
      <w:r w:rsidRPr="00771BE8" w:rsidR="00950D93">
        <w:rPr>
          <w:sz w:val="20"/>
          <w:szCs w:val="20"/>
        </w:rPr>
        <w:t>do not act on these individual petitions in today’s Order</w:t>
      </w:r>
      <w:r w:rsidRPr="00771BE8" w:rsidR="00B4357A">
        <w:rPr>
          <w:sz w:val="20"/>
          <w:szCs w:val="20"/>
        </w:rPr>
        <w:t>.  T</w:t>
      </w:r>
      <w:r w:rsidRPr="00771BE8" w:rsidR="00950D93">
        <w:rPr>
          <w:sz w:val="20"/>
          <w:szCs w:val="20"/>
        </w:rPr>
        <w:t>he petitions remain pending</w:t>
      </w:r>
      <w:r w:rsidR="00950D9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A2292" w14:textId="1D5C7E2F">
    <w:pPr>
      <w:pStyle w:val="Header"/>
      <w:rPr>
        <w:b w:val="0"/>
      </w:rPr>
    </w:pPr>
    <w:r>
      <w:tab/>
      <w:t>Federal Communications Commission</w:t>
    </w:r>
    <w:r>
      <w:tab/>
    </w:r>
    <w:r w:rsidR="00047029">
      <w:t>DA 21-</w:t>
    </w:r>
    <w:r w:rsidR="00190DA0">
      <w:t>671</w:t>
    </w:r>
  </w:p>
  <w:p w:rsidR="00D25FB5" w14:paraId="4FED2B8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8AAE65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92D505" w14:textId="28783E4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E1610">
      <w:tab/>
      <w:t>Federal Communications Commission</w:t>
    </w:r>
    <w:r w:rsidR="006E1610">
      <w:tab/>
    </w:r>
    <w:r w:rsidR="00F91A53">
      <w:rPr>
        <w:spacing w:val="-2"/>
      </w:rPr>
      <w:t>DA 21-</w:t>
    </w:r>
    <w:r w:rsidR="00190DA0">
      <w:rPr>
        <w:spacing w:val="-2"/>
      </w:rPr>
      <w:t>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74"/>
    <w:rsid w:val="000028B8"/>
    <w:rsid w:val="00002DF0"/>
    <w:rsid w:val="000035E6"/>
    <w:rsid w:val="00033716"/>
    <w:rsid w:val="00036039"/>
    <w:rsid w:val="00037F90"/>
    <w:rsid w:val="00041D4E"/>
    <w:rsid w:val="00046077"/>
    <w:rsid w:val="00047029"/>
    <w:rsid w:val="00051CAC"/>
    <w:rsid w:val="000521F0"/>
    <w:rsid w:val="00052B87"/>
    <w:rsid w:val="00054D12"/>
    <w:rsid w:val="00060D02"/>
    <w:rsid w:val="00061748"/>
    <w:rsid w:val="00066816"/>
    <w:rsid w:val="000767F6"/>
    <w:rsid w:val="0008372E"/>
    <w:rsid w:val="00084E4D"/>
    <w:rsid w:val="000862EC"/>
    <w:rsid w:val="000875BF"/>
    <w:rsid w:val="000967AC"/>
    <w:rsid w:val="00096D8C"/>
    <w:rsid w:val="00097D1C"/>
    <w:rsid w:val="000A3798"/>
    <w:rsid w:val="000A4DA5"/>
    <w:rsid w:val="000B0BA0"/>
    <w:rsid w:val="000B4732"/>
    <w:rsid w:val="000B5328"/>
    <w:rsid w:val="000B5547"/>
    <w:rsid w:val="000C0B65"/>
    <w:rsid w:val="000C2A88"/>
    <w:rsid w:val="000C400A"/>
    <w:rsid w:val="000D05CE"/>
    <w:rsid w:val="000D1975"/>
    <w:rsid w:val="000D32E7"/>
    <w:rsid w:val="000D55F5"/>
    <w:rsid w:val="000E05FE"/>
    <w:rsid w:val="000E0A15"/>
    <w:rsid w:val="000E121D"/>
    <w:rsid w:val="000E1AD9"/>
    <w:rsid w:val="000E3D42"/>
    <w:rsid w:val="00100A70"/>
    <w:rsid w:val="00110504"/>
    <w:rsid w:val="00122BD5"/>
    <w:rsid w:val="001304AF"/>
    <w:rsid w:val="00131D71"/>
    <w:rsid w:val="00133F79"/>
    <w:rsid w:val="00162C27"/>
    <w:rsid w:val="001636DF"/>
    <w:rsid w:val="0017296B"/>
    <w:rsid w:val="001746DD"/>
    <w:rsid w:val="00186A43"/>
    <w:rsid w:val="00190DA0"/>
    <w:rsid w:val="00194A66"/>
    <w:rsid w:val="00194D07"/>
    <w:rsid w:val="00194E1D"/>
    <w:rsid w:val="001A0221"/>
    <w:rsid w:val="001A7EC3"/>
    <w:rsid w:val="001B0469"/>
    <w:rsid w:val="001B7EFB"/>
    <w:rsid w:val="001B7F9D"/>
    <w:rsid w:val="001C26C2"/>
    <w:rsid w:val="001C3139"/>
    <w:rsid w:val="001D6BCF"/>
    <w:rsid w:val="001E01CA"/>
    <w:rsid w:val="001E5E69"/>
    <w:rsid w:val="001F4655"/>
    <w:rsid w:val="00202A3B"/>
    <w:rsid w:val="002036B5"/>
    <w:rsid w:val="00211F2C"/>
    <w:rsid w:val="00230A66"/>
    <w:rsid w:val="002347C9"/>
    <w:rsid w:val="002443FF"/>
    <w:rsid w:val="00244409"/>
    <w:rsid w:val="0024643F"/>
    <w:rsid w:val="00255F43"/>
    <w:rsid w:val="0026089D"/>
    <w:rsid w:val="0026502B"/>
    <w:rsid w:val="002668E5"/>
    <w:rsid w:val="00271D39"/>
    <w:rsid w:val="00275CF5"/>
    <w:rsid w:val="0028056D"/>
    <w:rsid w:val="0028301F"/>
    <w:rsid w:val="00283021"/>
    <w:rsid w:val="0028480B"/>
    <w:rsid w:val="00285017"/>
    <w:rsid w:val="002860DD"/>
    <w:rsid w:val="00287072"/>
    <w:rsid w:val="00293BCA"/>
    <w:rsid w:val="002A2D2E"/>
    <w:rsid w:val="002B4647"/>
    <w:rsid w:val="002C00E8"/>
    <w:rsid w:val="002C6680"/>
    <w:rsid w:val="002C765A"/>
    <w:rsid w:val="002D1924"/>
    <w:rsid w:val="002D61FA"/>
    <w:rsid w:val="002D6332"/>
    <w:rsid w:val="002E1435"/>
    <w:rsid w:val="002F0A50"/>
    <w:rsid w:val="002F4968"/>
    <w:rsid w:val="002F7156"/>
    <w:rsid w:val="00306E42"/>
    <w:rsid w:val="00310E20"/>
    <w:rsid w:val="003140DB"/>
    <w:rsid w:val="003268B7"/>
    <w:rsid w:val="00331F5B"/>
    <w:rsid w:val="0033583F"/>
    <w:rsid w:val="00343749"/>
    <w:rsid w:val="003475D6"/>
    <w:rsid w:val="00351140"/>
    <w:rsid w:val="00352404"/>
    <w:rsid w:val="00353A3A"/>
    <w:rsid w:val="0035669B"/>
    <w:rsid w:val="0036417C"/>
    <w:rsid w:val="003660ED"/>
    <w:rsid w:val="00373EB4"/>
    <w:rsid w:val="00376564"/>
    <w:rsid w:val="003777BF"/>
    <w:rsid w:val="00377AFD"/>
    <w:rsid w:val="00387CFD"/>
    <w:rsid w:val="00392480"/>
    <w:rsid w:val="00394695"/>
    <w:rsid w:val="0039500B"/>
    <w:rsid w:val="00395867"/>
    <w:rsid w:val="0039684D"/>
    <w:rsid w:val="003A0DEE"/>
    <w:rsid w:val="003A7411"/>
    <w:rsid w:val="003B0550"/>
    <w:rsid w:val="003B50B7"/>
    <w:rsid w:val="003B694F"/>
    <w:rsid w:val="003B6E27"/>
    <w:rsid w:val="003C1351"/>
    <w:rsid w:val="003C34AC"/>
    <w:rsid w:val="003C6905"/>
    <w:rsid w:val="003C7B31"/>
    <w:rsid w:val="003D2739"/>
    <w:rsid w:val="003F171C"/>
    <w:rsid w:val="004004FB"/>
    <w:rsid w:val="00410DB4"/>
    <w:rsid w:val="00412FC5"/>
    <w:rsid w:val="004156B6"/>
    <w:rsid w:val="00422276"/>
    <w:rsid w:val="004242F1"/>
    <w:rsid w:val="00427A58"/>
    <w:rsid w:val="00431AE4"/>
    <w:rsid w:val="0043338D"/>
    <w:rsid w:val="00442128"/>
    <w:rsid w:val="00445A00"/>
    <w:rsid w:val="004461D7"/>
    <w:rsid w:val="004510C2"/>
    <w:rsid w:val="004517D6"/>
    <w:rsid w:val="00451B0F"/>
    <w:rsid w:val="00456D78"/>
    <w:rsid w:val="00460C20"/>
    <w:rsid w:val="00462089"/>
    <w:rsid w:val="004636C3"/>
    <w:rsid w:val="00470F95"/>
    <w:rsid w:val="00474D20"/>
    <w:rsid w:val="00487F5F"/>
    <w:rsid w:val="004948B1"/>
    <w:rsid w:val="00494CC7"/>
    <w:rsid w:val="004B0BB8"/>
    <w:rsid w:val="004B3597"/>
    <w:rsid w:val="004C2EE3"/>
    <w:rsid w:val="004C483B"/>
    <w:rsid w:val="004D2C07"/>
    <w:rsid w:val="004D31FC"/>
    <w:rsid w:val="004D3A48"/>
    <w:rsid w:val="004E073C"/>
    <w:rsid w:val="004E3F27"/>
    <w:rsid w:val="004E4A22"/>
    <w:rsid w:val="004E5249"/>
    <w:rsid w:val="004E5BF9"/>
    <w:rsid w:val="00505BE0"/>
    <w:rsid w:val="0050673A"/>
    <w:rsid w:val="0051091E"/>
    <w:rsid w:val="00511968"/>
    <w:rsid w:val="00515979"/>
    <w:rsid w:val="00516C7D"/>
    <w:rsid w:val="00520AFD"/>
    <w:rsid w:val="00522EAC"/>
    <w:rsid w:val="005240DB"/>
    <w:rsid w:val="005245D6"/>
    <w:rsid w:val="00533984"/>
    <w:rsid w:val="0054365E"/>
    <w:rsid w:val="0055588A"/>
    <w:rsid w:val="005559B6"/>
    <w:rsid w:val="0055614C"/>
    <w:rsid w:val="00561FDD"/>
    <w:rsid w:val="005653B5"/>
    <w:rsid w:val="00565F53"/>
    <w:rsid w:val="00565FCD"/>
    <w:rsid w:val="00566D06"/>
    <w:rsid w:val="0057242A"/>
    <w:rsid w:val="00572EFB"/>
    <w:rsid w:val="00584485"/>
    <w:rsid w:val="005A0D60"/>
    <w:rsid w:val="005A50B6"/>
    <w:rsid w:val="005A5500"/>
    <w:rsid w:val="005A61F2"/>
    <w:rsid w:val="005B05FA"/>
    <w:rsid w:val="005B4BC8"/>
    <w:rsid w:val="005C07E3"/>
    <w:rsid w:val="005D0595"/>
    <w:rsid w:val="005D18C6"/>
    <w:rsid w:val="005D2A5A"/>
    <w:rsid w:val="005D4338"/>
    <w:rsid w:val="005D5F81"/>
    <w:rsid w:val="005E07F4"/>
    <w:rsid w:val="005E14C2"/>
    <w:rsid w:val="005E150E"/>
    <w:rsid w:val="005E2994"/>
    <w:rsid w:val="005E62E8"/>
    <w:rsid w:val="005E68BF"/>
    <w:rsid w:val="00600284"/>
    <w:rsid w:val="006034CF"/>
    <w:rsid w:val="00607BA5"/>
    <w:rsid w:val="00607EF6"/>
    <w:rsid w:val="0061180A"/>
    <w:rsid w:val="00620282"/>
    <w:rsid w:val="0062555B"/>
    <w:rsid w:val="00626E60"/>
    <w:rsid w:val="00626EB6"/>
    <w:rsid w:val="00643A98"/>
    <w:rsid w:val="00646142"/>
    <w:rsid w:val="00655D03"/>
    <w:rsid w:val="00655FD5"/>
    <w:rsid w:val="00657EF0"/>
    <w:rsid w:val="00664715"/>
    <w:rsid w:val="006816D3"/>
    <w:rsid w:val="00683189"/>
    <w:rsid w:val="00683275"/>
    <w:rsid w:val="00683388"/>
    <w:rsid w:val="00683856"/>
    <w:rsid w:val="00683F84"/>
    <w:rsid w:val="006900CB"/>
    <w:rsid w:val="006A11AF"/>
    <w:rsid w:val="006A3C45"/>
    <w:rsid w:val="006A6A81"/>
    <w:rsid w:val="006A6D92"/>
    <w:rsid w:val="006B73F0"/>
    <w:rsid w:val="006D55BE"/>
    <w:rsid w:val="006E1610"/>
    <w:rsid w:val="006E4121"/>
    <w:rsid w:val="006E41DD"/>
    <w:rsid w:val="006E529B"/>
    <w:rsid w:val="006F59D6"/>
    <w:rsid w:val="006F7393"/>
    <w:rsid w:val="0070224F"/>
    <w:rsid w:val="00706E52"/>
    <w:rsid w:val="007115F7"/>
    <w:rsid w:val="00734F9F"/>
    <w:rsid w:val="00737425"/>
    <w:rsid w:val="00745389"/>
    <w:rsid w:val="0077079E"/>
    <w:rsid w:val="00771BE8"/>
    <w:rsid w:val="007754C9"/>
    <w:rsid w:val="00781394"/>
    <w:rsid w:val="00785689"/>
    <w:rsid w:val="007932F6"/>
    <w:rsid w:val="0079754B"/>
    <w:rsid w:val="007A18D3"/>
    <w:rsid w:val="007A1E6D"/>
    <w:rsid w:val="007A66D8"/>
    <w:rsid w:val="007B0D09"/>
    <w:rsid w:val="007B0EB2"/>
    <w:rsid w:val="007B1C51"/>
    <w:rsid w:val="007C360C"/>
    <w:rsid w:val="007C4EC9"/>
    <w:rsid w:val="007C50AA"/>
    <w:rsid w:val="007D4107"/>
    <w:rsid w:val="007D5002"/>
    <w:rsid w:val="007D59EA"/>
    <w:rsid w:val="007E4FEC"/>
    <w:rsid w:val="007F32B6"/>
    <w:rsid w:val="007F559D"/>
    <w:rsid w:val="007F792B"/>
    <w:rsid w:val="008015B1"/>
    <w:rsid w:val="00803722"/>
    <w:rsid w:val="00810B6F"/>
    <w:rsid w:val="00810EC7"/>
    <w:rsid w:val="00815D05"/>
    <w:rsid w:val="00815ED4"/>
    <w:rsid w:val="00822CE0"/>
    <w:rsid w:val="00837A01"/>
    <w:rsid w:val="00841AB1"/>
    <w:rsid w:val="008537BB"/>
    <w:rsid w:val="00854A2F"/>
    <w:rsid w:val="0085542C"/>
    <w:rsid w:val="00863749"/>
    <w:rsid w:val="00865223"/>
    <w:rsid w:val="0086722A"/>
    <w:rsid w:val="00873DB2"/>
    <w:rsid w:val="00874BF0"/>
    <w:rsid w:val="0088230F"/>
    <w:rsid w:val="00885A5A"/>
    <w:rsid w:val="00890B1D"/>
    <w:rsid w:val="00890C6A"/>
    <w:rsid w:val="00893E73"/>
    <w:rsid w:val="008A0BB8"/>
    <w:rsid w:val="008A51A0"/>
    <w:rsid w:val="008C68F1"/>
    <w:rsid w:val="008D4B74"/>
    <w:rsid w:val="008D6294"/>
    <w:rsid w:val="008D6505"/>
    <w:rsid w:val="008E1D95"/>
    <w:rsid w:val="008E69E1"/>
    <w:rsid w:val="008F271A"/>
    <w:rsid w:val="008F37CB"/>
    <w:rsid w:val="008F390E"/>
    <w:rsid w:val="008F5D91"/>
    <w:rsid w:val="008F6137"/>
    <w:rsid w:val="008F7817"/>
    <w:rsid w:val="009020AC"/>
    <w:rsid w:val="009073CA"/>
    <w:rsid w:val="00913EB0"/>
    <w:rsid w:val="00921803"/>
    <w:rsid w:val="009228B9"/>
    <w:rsid w:val="00925122"/>
    <w:rsid w:val="00926503"/>
    <w:rsid w:val="00926B11"/>
    <w:rsid w:val="00930735"/>
    <w:rsid w:val="009334BA"/>
    <w:rsid w:val="00934FE7"/>
    <w:rsid w:val="00935277"/>
    <w:rsid w:val="00940B81"/>
    <w:rsid w:val="00950C5D"/>
    <w:rsid w:val="00950D93"/>
    <w:rsid w:val="009565BD"/>
    <w:rsid w:val="009601C5"/>
    <w:rsid w:val="0097074A"/>
    <w:rsid w:val="009713D5"/>
    <w:rsid w:val="009726D8"/>
    <w:rsid w:val="00972A82"/>
    <w:rsid w:val="00984250"/>
    <w:rsid w:val="00986887"/>
    <w:rsid w:val="00992DCF"/>
    <w:rsid w:val="00993F8B"/>
    <w:rsid w:val="009A2558"/>
    <w:rsid w:val="009A649D"/>
    <w:rsid w:val="009B3310"/>
    <w:rsid w:val="009B4092"/>
    <w:rsid w:val="009B41DA"/>
    <w:rsid w:val="009B6A43"/>
    <w:rsid w:val="009C385D"/>
    <w:rsid w:val="009C3FC9"/>
    <w:rsid w:val="009D37A3"/>
    <w:rsid w:val="009D7308"/>
    <w:rsid w:val="009E2D54"/>
    <w:rsid w:val="009F66A2"/>
    <w:rsid w:val="009F6E51"/>
    <w:rsid w:val="009F76DB"/>
    <w:rsid w:val="00A0529B"/>
    <w:rsid w:val="00A07890"/>
    <w:rsid w:val="00A127E7"/>
    <w:rsid w:val="00A12A11"/>
    <w:rsid w:val="00A1542C"/>
    <w:rsid w:val="00A1691F"/>
    <w:rsid w:val="00A2430C"/>
    <w:rsid w:val="00A24423"/>
    <w:rsid w:val="00A25D53"/>
    <w:rsid w:val="00A32C3B"/>
    <w:rsid w:val="00A45F4F"/>
    <w:rsid w:val="00A600A9"/>
    <w:rsid w:val="00A60B28"/>
    <w:rsid w:val="00A65923"/>
    <w:rsid w:val="00A66508"/>
    <w:rsid w:val="00A67261"/>
    <w:rsid w:val="00A70338"/>
    <w:rsid w:val="00A760F0"/>
    <w:rsid w:val="00A80C74"/>
    <w:rsid w:val="00A92252"/>
    <w:rsid w:val="00A961C4"/>
    <w:rsid w:val="00AA55B7"/>
    <w:rsid w:val="00AA5B9E"/>
    <w:rsid w:val="00AB00C8"/>
    <w:rsid w:val="00AB2407"/>
    <w:rsid w:val="00AB53DF"/>
    <w:rsid w:val="00AB78A2"/>
    <w:rsid w:val="00AC0FA6"/>
    <w:rsid w:val="00AC353C"/>
    <w:rsid w:val="00AC5D50"/>
    <w:rsid w:val="00AD1FB0"/>
    <w:rsid w:val="00B02499"/>
    <w:rsid w:val="00B0757F"/>
    <w:rsid w:val="00B07E5C"/>
    <w:rsid w:val="00B1597C"/>
    <w:rsid w:val="00B1770A"/>
    <w:rsid w:val="00B3005A"/>
    <w:rsid w:val="00B3291B"/>
    <w:rsid w:val="00B409F0"/>
    <w:rsid w:val="00B41E9A"/>
    <w:rsid w:val="00B42861"/>
    <w:rsid w:val="00B4357A"/>
    <w:rsid w:val="00B50387"/>
    <w:rsid w:val="00B51165"/>
    <w:rsid w:val="00B53331"/>
    <w:rsid w:val="00B64EBE"/>
    <w:rsid w:val="00B6777E"/>
    <w:rsid w:val="00B77E28"/>
    <w:rsid w:val="00B811F7"/>
    <w:rsid w:val="00B85AA1"/>
    <w:rsid w:val="00BA0B85"/>
    <w:rsid w:val="00BA5DC6"/>
    <w:rsid w:val="00BA6196"/>
    <w:rsid w:val="00BC08F1"/>
    <w:rsid w:val="00BC1C4B"/>
    <w:rsid w:val="00BC6D8C"/>
    <w:rsid w:val="00BD2D8A"/>
    <w:rsid w:val="00BD3B2A"/>
    <w:rsid w:val="00BE22AA"/>
    <w:rsid w:val="00BE25B6"/>
    <w:rsid w:val="00BE5CAF"/>
    <w:rsid w:val="00BE71EE"/>
    <w:rsid w:val="00BF158A"/>
    <w:rsid w:val="00BF46E0"/>
    <w:rsid w:val="00BF5F92"/>
    <w:rsid w:val="00C02CBB"/>
    <w:rsid w:val="00C06761"/>
    <w:rsid w:val="00C155DF"/>
    <w:rsid w:val="00C15BDD"/>
    <w:rsid w:val="00C21A06"/>
    <w:rsid w:val="00C2660B"/>
    <w:rsid w:val="00C26F90"/>
    <w:rsid w:val="00C34006"/>
    <w:rsid w:val="00C36B4C"/>
    <w:rsid w:val="00C41CBB"/>
    <w:rsid w:val="00C426B1"/>
    <w:rsid w:val="00C46A06"/>
    <w:rsid w:val="00C46CFE"/>
    <w:rsid w:val="00C46DF1"/>
    <w:rsid w:val="00C62659"/>
    <w:rsid w:val="00C655F8"/>
    <w:rsid w:val="00C66160"/>
    <w:rsid w:val="00C70453"/>
    <w:rsid w:val="00C70E2B"/>
    <w:rsid w:val="00C721AC"/>
    <w:rsid w:val="00C76D92"/>
    <w:rsid w:val="00C80777"/>
    <w:rsid w:val="00C82FDB"/>
    <w:rsid w:val="00C833A1"/>
    <w:rsid w:val="00C866CB"/>
    <w:rsid w:val="00C90D6A"/>
    <w:rsid w:val="00CA0308"/>
    <w:rsid w:val="00CA1E31"/>
    <w:rsid w:val="00CA247E"/>
    <w:rsid w:val="00CA4C50"/>
    <w:rsid w:val="00CA6D21"/>
    <w:rsid w:val="00CB2F16"/>
    <w:rsid w:val="00CB7A99"/>
    <w:rsid w:val="00CC04AE"/>
    <w:rsid w:val="00CC0ECD"/>
    <w:rsid w:val="00CC72B6"/>
    <w:rsid w:val="00CD1563"/>
    <w:rsid w:val="00CE2924"/>
    <w:rsid w:val="00CE7918"/>
    <w:rsid w:val="00D0218D"/>
    <w:rsid w:val="00D10C5E"/>
    <w:rsid w:val="00D20B56"/>
    <w:rsid w:val="00D20D65"/>
    <w:rsid w:val="00D21B08"/>
    <w:rsid w:val="00D23D1E"/>
    <w:rsid w:val="00D25FB5"/>
    <w:rsid w:val="00D33324"/>
    <w:rsid w:val="00D43721"/>
    <w:rsid w:val="00D44223"/>
    <w:rsid w:val="00D44424"/>
    <w:rsid w:val="00D45273"/>
    <w:rsid w:val="00D6025E"/>
    <w:rsid w:val="00D60697"/>
    <w:rsid w:val="00D60711"/>
    <w:rsid w:val="00D615A7"/>
    <w:rsid w:val="00D71074"/>
    <w:rsid w:val="00D82F90"/>
    <w:rsid w:val="00D87B78"/>
    <w:rsid w:val="00D95008"/>
    <w:rsid w:val="00D9547B"/>
    <w:rsid w:val="00DA2529"/>
    <w:rsid w:val="00DA42EB"/>
    <w:rsid w:val="00DA4BD5"/>
    <w:rsid w:val="00DB130A"/>
    <w:rsid w:val="00DB176F"/>
    <w:rsid w:val="00DB2EBB"/>
    <w:rsid w:val="00DC10A1"/>
    <w:rsid w:val="00DC1C6B"/>
    <w:rsid w:val="00DC2DCC"/>
    <w:rsid w:val="00DC3D98"/>
    <w:rsid w:val="00DC655F"/>
    <w:rsid w:val="00DC68D9"/>
    <w:rsid w:val="00DD0B59"/>
    <w:rsid w:val="00DD29B0"/>
    <w:rsid w:val="00DD7EBD"/>
    <w:rsid w:val="00DE35D5"/>
    <w:rsid w:val="00DE4843"/>
    <w:rsid w:val="00DE5F39"/>
    <w:rsid w:val="00DF0E16"/>
    <w:rsid w:val="00DF58F6"/>
    <w:rsid w:val="00DF62B6"/>
    <w:rsid w:val="00DF6A77"/>
    <w:rsid w:val="00E02091"/>
    <w:rsid w:val="00E05ADA"/>
    <w:rsid w:val="00E07225"/>
    <w:rsid w:val="00E073DE"/>
    <w:rsid w:val="00E07B0B"/>
    <w:rsid w:val="00E12AC5"/>
    <w:rsid w:val="00E17782"/>
    <w:rsid w:val="00E3111B"/>
    <w:rsid w:val="00E3121F"/>
    <w:rsid w:val="00E32ED9"/>
    <w:rsid w:val="00E34865"/>
    <w:rsid w:val="00E34F04"/>
    <w:rsid w:val="00E4208B"/>
    <w:rsid w:val="00E445FB"/>
    <w:rsid w:val="00E45AD2"/>
    <w:rsid w:val="00E50BF1"/>
    <w:rsid w:val="00E5123E"/>
    <w:rsid w:val="00E51ECC"/>
    <w:rsid w:val="00E522CC"/>
    <w:rsid w:val="00E5409F"/>
    <w:rsid w:val="00E54DC4"/>
    <w:rsid w:val="00E57D60"/>
    <w:rsid w:val="00E61EF2"/>
    <w:rsid w:val="00E802F8"/>
    <w:rsid w:val="00E83103"/>
    <w:rsid w:val="00E90A96"/>
    <w:rsid w:val="00E90B22"/>
    <w:rsid w:val="00E94218"/>
    <w:rsid w:val="00EA7298"/>
    <w:rsid w:val="00EC2272"/>
    <w:rsid w:val="00EC2310"/>
    <w:rsid w:val="00EC321E"/>
    <w:rsid w:val="00ED349A"/>
    <w:rsid w:val="00ED596F"/>
    <w:rsid w:val="00EE6488"/>
    <w:rsid w:val="00F021FA"/>
    <w:rsid w:val="00F17498"/>
    <w:rsid w:val="00F2297E"/>
    <w:rsid w:val="00F23F92"/>
    <w:rsid w:val="00F31D81"/>
    <w:rsid w:val="00F3230F"/>
    <w:rsid w:val="00F3557D"/>
    <w:rsid w:val="00F35900"/>
    <w:rsid w:val="00F41F1A"/>
    <w:rsid w:val="00F422D5"/>
    <w:rsid w:val="00F44B7F"/>
    <w:rsid w:val="00F45291"/>
    <w:rsid w:val="00F5221D"/>
    <w:rsid w:val="00F54CC0"/>
    <w:rsid w:val="00F574B5"/>
    <w:rsid w:val="00F62E97"/>
    <w:rsid w:val="00F64209"/>
    <w:rsid w:val="00F65D7C"/>
    <w:rsid w:val="00F70163"/>
    <w:rsid w:val="00F81600"/>
    <w:rsid w:val="00F8599F"/>
    <w:rsid w:val="00F90208"/>
    <w:rsid w:val="00F91A53"/>
    <w:rsid w:val="00F93BF5"/>
    <w:rsid w:val="00F961A6"/>
    <w:rsid w:val="00F96F73"/>
    <w:rsid w:val="00FA1C5D"/>
    <w:rsid w:val="00FB11D0"/>
    <w:rsid w:val="00FB3F18"/>
    <w:rsid w:val="00FB3FD2"/>
    <w:rsid w:val="00FC390E"/>
    <w:rsid w:val="00FC5419"/>
    <w:rsid w:val="00FC7CDC"/>
    <w:rsid w:val="00FD0E0F"/>
    <w:rsid w:val="00FE1479"/>
    <w:rsid w:val="00FF2AB2"/>
    <w:rsid w:val="00FF4F12"/>
    <w:rsid w:val="00FF5400"/>
    <w:rsid w:val="00FF67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5268AC"/>
  <w15:chartTrackingRefBased/>
  <w15:docId w15:val="{A52B63A1-4D15-422F-9C91-49321F5B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D71074"/>
  </w:style>
  <w:style w:type="character" w:customStyle="1" w:styleId="ParaNumChar">
    <w:name w:val="ParaNum Char"/>
    <w:link w:val="ParaNum"/>
    <w:rsid w:val="00D71074"/>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D71074"/>
    <w:rPr>
      <w:rFonts w:ascii="Times New Roman Bold" w:hAnsi="Times New Roman Bold"/>
      <w:b/>
      <w:caps/>
      <w:snapToGrid w:val="0"/>
      <w:kern w:val="28"/>
      <w:sz w:val="22"/>
    </w:rPr>
  </w:style>
  <w:style w:type="paragraph" w:styleId="NormalWeb">
    <w:name w:val="Normal (Web)"/>
    <w:basedOn w:val="Normal"/>
    <w:uiPriority w:val="99"/>
    <w:unhideWhenUsed/>
    <w:rsid w:val="00D71074"/>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rsid w:val="00041D4E"/>
    <w:rPr>
      <w:color w:val="605E5C"/>
      <w:shd w:val="clear" w:color="auto" w:fill="E1DFDD"/>
    </w:rPr>
  </w:style>
  <w:style w:type="character" w:customStyle="1" w:styleId="UnresolvedMention">
    <w:name w:val="Unresolved Mention"/>
    <w:basedOn w:val="DefaultParagraphFont"/>
    <w:rsid w:val="00D45273"/>
    <w:rPr>
      <w:color w:val="605E5C"/>
      <w:shd w:val="clear" w:color="auto" w:fill="E1DFDD"/>
    </w:rPr>
  </w:style>
  <w:style w:type="paragraph" w:styleId="BalloonText">
    <w:name w:val="Balloon Text"/>
    <w:basedOn w:val="Normal"/>
    <w:link w:val="BalloonTextChar"/>
    <w:semiHidden/>
    <w:unhideWhenUsed/>
    <w:rsid w:val="00061748"/>
    <w:rPr>
      <w:rFonts w:ascii="Segoe UI" w:hAnsi="Segoe UI" w:cs="Segoe UI"/>
      <w:sz w:val="18"/>
      <w:szCs w:val="18"/>
    </w:rPr>
  </w:style>
  <w:style w:type="character" w:customStyle="1" w:styleId="BalloonTextChar">
    <w:name w:val="Balloon Text Char"/>
    <w:basedOn w:val="DefaultParagraphFont"/>
    <w:link w:val="BalloonText"/>
    <w:semiHidden/>
    <w:rsid w:val="00061748"/>
    <w:rPr>
      <w:rFonts w:ascii="Segoe UI" w:hAnsi="Segoe UI" w:cs="Segoe UI"/>
      <w:snapToGrid w:val="0"/>
      <w:kern w:val="28"/>
      <w:sz w:val="18"/>
      <w:szCs w:val="18"/>
    </w:rPr>
  </w:style>
  <w:style w:type="character" w:styleId="CommentReference">
    <w:name w:val="annotation reference"/>
    <w:basedOn w:val="DefaultParagraphFont"/>
    <w:rsid w:val="00B77E28"/>
    <w:rPr>
      <w:sz w:val="16"/>
      <w:szCs w:val="16"/>
    </w:rPr>
  </w:style>
  <w:style w:type="paragraph" w:styleId="CommentText">
    <w:name w:val="annotation text"/>
    <w:basedOn w:val="Normal"/>
    <w:link w:val="CommentTextChar"/>
    <w:rsid w:val="00B77E28"/>
    <w:rPr>
      <w:sz w:val="20"/>
    </w:rPr>
  </w:style>
  <w:style w:type="character" w:customStyle="1" w:styleId="CommentTextChar">
    <w:name w:val="Comment Text Char"/>
    <w:basedOn w:val="DefaultParagraphFont"/>
    <w:link w:val="CommentText"/>
    <w:rsid w:val="00B77E28"/>
    <w:rPr>
      <w:snapToGrid w:val="0"/>
      <w:kern w:val="28"/>
    </w:rPr>
  </w:style>
  <w:style w:type="paragraph" w:styleId="CommentSubject">
    <w:name w:val="annotation subject"/>
    <w:basedOn w:val="CommentText"/>
    <w:next w:val="CommentText"/>
    <w:link w:val="CommentSubjectChar"/>
    <w:rsid w:val="00B77E28"/>
    <w:rPr>
      <w:b/>
      <w:bCs/>
    </w:rPr>
  </w:style>
  <w:style w:type="character" w:customStyle="1" w:styleId="CommentSubjectChar">
    <w:name w:val="Comment Subject Char"/>
    <w:basedOn w:val="CommentTextChar"/>
    <w:link w:val="CommentSubject"/>
    <w:rsid w:val="00B77E28"/>
    <w:rPr>
      <w:b/>
      <w:bCs/>
      <w:snapToGrid w:val="0"/>
      <w:kern w:val="28"/>
    </w:rPr>
  </w:style>
  <w:style w:type="paragraph" w:customStyle="1" w:styleId="Default">
    <w:name w:val="Default"/>
    <w:rsid w:val="00D43721"/>
    <w:pPr>
      <w:autoSpaceDE w:val="0"/>
      <w:autoSpaceDN w:val="0"/>
      <w:adjustRightInd w:val="0"/>
    </w:pPr>
    <w:rPr>
      <w:color w:val="000000"/>
      <w:sz w:val="24"/>
      <w:szCs w:val="24"/>
    </w:rPr>
  </w:style>
  <w:style w:type="character" w:styleId="FollowedHyperlink">
    <w:name w:val="FollowedHyperlink"/>
    <w:basedOn w:val="DefaultParagraphFont"/>
    <w:rsid w:val="00284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2" Type="http://schemas.openxmlformats.org/officeDocument/2006/relationships/hyperlink" Target="https://ecfsapi.fcc.gov/file/105101144728616/EBB%20Waiver%20Claims%20Submission%20Final.docx" TargetMode="External" /><Relationship Id="rId3" Type="http://schemas.openxmlformats.org/officeDocument/2006/relationships/hyperlink" Target="https://ecfsapi.fcc.gov/file/10514206053988/C%20Spire%20EBB%20Waiver_%20FINAL.pdf" TargetMode="External" /><Relationship Id="rId4" Type="http://schemas.openxmlformats.org/officeDocument/2006/relationships/hyperlink" Target="https://ecfsapi.fcc.gov/file/10517303123951/Cable%20One%20Expedited%20Petition%20for%20Waiver%20(5-17-21).pdf" TargetMode="External" /><Relationship Id="rId5" Type="http://schemas.openxmlformats.org/officeDocument/2006/relationships/hyperlink" Target="https://ecfsapi.fcc.&#8204;gov/file/10526114322360/Radiate%20Holdings%20Petition%20for%20Expedited%20Waiver%20May%2025%202021%20Dkt%2020%20445.pdf" TargetMode="External" /><Relationship Id="rId6" Type="http://schemas.openxmlformats.org/officeDocument/2006/relationships/hyperlink" Target="https://ecfsapi.fcc.gov/file/1052729447937/WOW_EBB%20Waiver%20Petition%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