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1CE5B8F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3F68473" w14:textId="77777777">
      <w:pPr>
        <w:pStyle w:val="StyleBoldCentered"/>
      </w:pPr>
      <w:r>
        <w:t>F</w:t>
      </w:r>
      <w:r>
        <w:rPr>
          <w:caps w:val="0"/>
        </w:rPr>
        <w:t>ederal Communications Commission</w:t>
      </w:r>
    </w:p>
    <w:p w:rsidR="004C2EE3" w:rsidP="00096D8C" w14:paraId="1343EEA5" w14:textId="77777777">
      <w:pPr>
        <w:pStyle w:val="StyleBoldCentered"/>
      </w:pPr>
      <w:r>
        <w:rPr>
          <w:caps w:val="0"/>
        </w:rPr>
        <w:t>Washington, D.C. 20554</w:t>
      </w:r>
    </w:p>
    <w:p w:rsidR="004C2EE3" w:rsidP="0070224F" w14:paraId="3026F2A1" w14:textId="77777777"/>
    <w:p w:rsidR="004C2EE3" w:rsidP="0070224F" w14:paraId="6136D74A" w14:textId="77777777"/>
    <w:tbl>
      <w:tblPr>
        <w:tblW w:w="0" w:type="auto"/>
        <w:tblLayout w:type="fixed"/>
        <w:tblLook w:val="0000"/>
      </w:tblPr>
      <w:tblGrid>
        <w:gridCol w:w="4698"/>
        <w:gridCol w:w="630"/>
        <w:gridCol w:w="4248"/>
      </w:tblGrid>
      <w:tr w14:paraId="7BD5781F" w14:textId="77777777">
        <w:tblPrEx>
          <w:tblW w:w="0" w:type="auto"/>
          <w:tblLayout w:type="fixed"/>
          <w:tblLook w:val="0000"/>
        </w:tblPrEx>
        <w:tc>
          <w:tcPr>
            <w:tcW w:w="4698" w:type="dxa"/>
          </w:tcPr>
          <w:p w:rsidR="004C2EE3" w14:paraId="0FEE12B2" w14:textId="77777777">
            <w:pPr>
              <w:tabs>
                <w:tab w:val="center" w:pos="4680"/>
              </w:tabs>
              <w:suppressAutoHyphens/>
              <w:rPr>
                <w:spacing w:val="-2"/>
              </w:rPr>
            </w:pPr>
            <w:r>
              <w:rPr>
                <w:spacing w:val="-2"/>
              </w:rPr>
              <w:t>In the Matter of</w:t>
            </w:r>
          </w:p>
          <w:p w:rsidR="004C2EE3" w14:paraId="3B4FDDDA" w14:textId="77777777">
            <w:pPr>
              <w:tabs>
                <w:tab w:val="center" w:pos="4680"/>
              </w:tabs>
              <w:suppressAutoHyphens/>
              <w:rPr>
                <w:spacing w:val="-2"/>
              </w:rPr>
            </w:pPr>
          </w:p>
          <w:p w:rsidR="004C2EE3" w:rsidP="007115F7" w14:paraId="01FECDF7" w14:textId="77777777">
            <w:pPr>
              <w:tabs>
                <w:tab w:val="center" w:pos="4680"/>
              </w:tabs>
              <w:suppressAutoHyphens/>
              <w:rPr>
                <w:spacing w:val="-2"/>
              </w:rPr>
            </w:pPr>
            <w:r>
              <w:rPr>
                <w:spacing w:val="-2"/>
              </w:rPr>
              <w:t xml:space="preserve">The </w:t>
            </w:r>
            <w:r>
              <w:rPr>
                <w:spacing w:val="-2"/>
              </w:rPr>
              <w:t>Uniendo</w:t>
            </w:r>
            <w:r>
              <w:rPr>
                <w:spacing w:val="-2"/>
              </w:rPr>
              <w:t xml:space="preserve"> a Puerto Rico Fund and the Connect USVI Fund</w:t>
            </w:r>
          </w:p>
          <w:p w:rsidR="00E506CA" w:rsidP="007115F7" w14:paraId="27302113" w14:textId="77777777">
            <w:pPr>
              <w:tabs>
                <w:tab w:val="center" w:pos="4680"/>
              </w:tabs>
              <w:suppressAutoHyphens/>
              <w:rPr>
                <w:spacing w:val="-2"/>
              </w:rPr>
            </w:pPr>
          </w:p>
          <w:p w:rsidR="00E506CA" w:rsidRPr="007115F7" w:rsidP="007115F7" w14:paraId="7C718D0C" w14:textId="77777777">
            <w:pPr>
              <w:tabs>
                <w:tab w:val="center" w:pos="4680"/>
              </w:tabs>
              <w:suppressAutoHyphens/>
              <w:rPr>
                <w:spacing w:val="-2"/>
              </w:rPr>
            </w:pPr>
            <w:r>
              <w:rPr>
                <w:spacing w:val="-2"/>
              </w:rPr>
              <w:t>Connect America Fund</w:t>
            </w:r>
          </w:p>
        </w:tc>
        <w:tc>
          <w:tcPr>
            <w:tcW w:w="630" w:type="dxa"/>
          </w:tcPr>
          <w:p w:rsidR="004C2EE3" w14:paraId="2B3D1094" w14:textId="77777777">
            <w:pPr>
              <w:tabs>
                <w:tab w:val="center" w:pos="4680"/>
              </w:tabs>
              <w:suppressAutoHyphens/>
              <w:rPr>
                <w:b/>
                <w:spacing w:val="-2"/>
              </w:rPr>
            </w:pPr>
            <w:r>
              <w:rPr>
                <w:b/>
                <w:spacing w:val="-2"/>
              </w:rPr>
              <w:t>)</w:t>
            </w:r>
          </w:p>
          <w:p w:rsidR="004C2EE3" w14:paraId="60B1C41F" w14:textId="77777777">
            <w:pPr>
              <w:tabs>
                <w:tab w:val="center" w:pos="4680"/>
              </w:tabs>
              <w:suppressAutoHyphens/>
              <w:rPr>
                <w:b/>
                <w:spacing w:val="-2"/>
              </w:rPr>
            </w:pPr>
            <w:r>
              <w:rPr>
                <w:b/>
                <w:spacing w:val="-2"/>
              </w:rPr>
              <w:t>)</w:t>
            </w:r>
          </w:p>
          <w:p w:rsidR="004C2EE3" w14:paraId="1EBDC89C" w14:textId="77777777">
            <w:pPr>
              <w:tabs>
                <w:tab w:val="center" w:pos="4680"/>
              </w:tabs>
              <w:suppressAutoHyphens/>
              <w:rPr>
                <w:b/>
                <w:spacing w:val="-2"/>
              </w:rPr>
            </w:pPr>
            <w:r>
              <w:rPr>
                <w:b/>
                <w:spacing w:val="-2"/>
              </w:rPr>
              <w:t>)</w:t>
            </w:r>
          </w:p>
          <w:p w:rsidR="004C2EE3" w14:paraId="71C5B8FF" w14:textId="77777777">
            <w:pPr>
              <w:tabs>
                <w:tab w:val="center" w:pos="4680"/>
              </w:tabs>
              <w:suppressAutoHyphens/>
              <w:rPr>
                <w:b/>
                <w:spacing w:val="-2"/>
              </w:rPr>
            </w:pPr>
            <w:r>
              <w:rPr>
                <w:b/>
                <w:spacing w:val="-2"/>
              </w:rPr>
              <w:t>)</w:t>
            </w:r>
          </w:p>
          <w:p w:rsidR="004C2EE3" w14:paraId="495714E8" w14:textId="77777777">
            <w:pPr>
              <w:tabs>
                <w:tab w:val="center" w:pos="4680"/>
              </w:tabs>
              <w:suppressAutoHyphens/>
              <w:rPr>
                <w:b/>
                <w:spacing w:val="-2"/>
              </w:rPr>
            </w:pPr>
            <w:r>
              <w:rPr>
                <w:b/>
                <w:spacing w:val="-2"/>
              </w:rPr>
              <w:t>)</w:t>
            </w:r>
          </w:p>
          <w:p w:rsidR="004C2EE3" w14:paraId="2CC9F54E" w14:textId="77777777">
            <w:pPr>
              <w:tabs>
                <w:tab w:val="center" w:pos="4680"/>
              </w:tabs>
              <w:suppressAutoHyphens/>
              <w:rPr>
                <w:b/>
                <w:spacing w:val="-2"/>
              </w:rPr>
            </w:pPr>
            <w:r>
              <w:rPr>
                <w:b/>
                <w:spacing w:val="-2"/>
              </w:rPr>
              <w:t>)</w:t>
            </w:r>
          </w:p>
          <w:p w:rsidR="004C2EE3" w14:paraId="5AD46FD3" w14:textId="77777777">
            <w:pPr>
              <w:tabs>
                <w:tab w:val="center" w:pos="4680"/>
              </w:tabs>
              <w:suppressAutoHyphens/>
              <w:rPr>
                <w:b/>
                <w:spacing w:val="-2"/>
              </w:rPr>
            </w:pPr>
            <w:r>
              <w:rPr>
                <w:b/>
                <w:spacing w:val="-2"/>
              </w:rPr>
              <w:t>)</w:t>
            </w:r>
          </w:p>
          <w:p w:rsidR="004C2EE3" w14:paraId="22D2DE3A" w14:textId="77777777">
            <w:pPr>
              <w:tabs>
                <w:tab w:val="center" w:pos="4680"/>
              </w:tabs>
              <w:suppressAutoHyphens/>
              <w:rPr>
                <w:b/>
                <w:spacing w:val="-2"/>
              </w:rPr>
            </w:pPr>
            <w:r>
              <w:rPr>
                <w:b/>
                <w:spacing w:val="-2"/>
              </w:rPr>
              <w:t>)</w:t>
            </w:r>
          </w:p>
          <w:p w:rsidR="004C2EE3" w14:paraId="0EA4121E" w14:textId="77777777">
            <w:pPr>
              <w:tabs>
                <w:tab w:val="center" w:pos="4680"/>
              </w:tabs>
              <w:suppressAutoHyphens/>
              <w:rPr>
                <w:spacing w:val="-2"/>
              </w:rPr>
            </w:pPr>
            <w:r>
              <w:rPr>
                <w:b/>
                <w:spacing w:val="-2"/>
              </w:rPr>
              <w:t>)</w:t>
            </w:r>
          </w:p>
        </w:tc>
        <w:tc>
          <w:tcPr>
            <w:tcW w:w="4248" w:type="dxa"/>
          </w:tcPr>
          <w:p w:rsidR="004C2EE3" w14:paraId="4757C178" w14:textId="77777777">
            <w:pPr>
              <w:tabs>
                <w:tab w:val="center" w:pos="4680"/>
              </w:tabs>
              <w:suppressAutoHyphens/>
              <w:rPr>
                <w:spacing w:val="-2"/>
              </w:rPr>
            </w:pPr>
          </w:p>
          <w:p w:rsidR="004C2EE3" w14:paraId="0CA5F7C2" w14:textId="77777777">
            <w:pPr>
              <w:pStyle w:val="TOAHeading"/>
              <w:tabs>
                <w:tab w:val="center" w:pos="4680"/>
                <w:tab w:val="clear" w:pos="9360"/>
              </w:tabs>
              <w:rPr>
                <w:spacing w:val="-2"/>
              </w:rPr>
            </w:pPr>
          </w:p>
          <w:p w:rsidR="004C2EE3" w14:paraId="561E74D0" w14:textId="77777777">
            <w:pPr>
              <w:tabs>
                <w:tab w:val="center" w:pos="4680"/>
              </w:tabs>
              <w:suppressAutoHyphens/>
              <w:rPr>
                <w:spacing w:val="-2"/>
              </w:rPr>
            </w:pPr>
            <w:r>
              <w:rPr>
                <w:spacing w:val="-2"/>
              </w:rPr>
              <w:t>WC Docket No. 18-143</w:t>
            </w:r>
          </w:p>
          <w:p w:rsidR="00E506CA" w14:paraId="69743743" w14:textId="77777777">
            <w:pPr>
              <w:tabs>
                <w:tab w:val="center" w:pos="4680"/>
              </w:tabs>
              <w:suppressAutoHyphens/>
              <w:rPr>
                <w:spacing w:val="-2"/>
              </w:rPr>
            </w:pPr>
          </w:p>
          <w:p w:rsidR="00E506CA" w14:paraId="2A78EE2B" w14:textId="77777777">
            <w:pPr>
              <w:tabs>
                <w:tab w:val="center" w:pos="4680"/>
              </w:tabs>
              <w:suppressAutoHyphens/>
              <w:rPr>
                <w:spacing w:val="-2"/>
              </w:rPr>
            </w:pPr>
          </w:p>
          <w:p w:rsidR="00E506CA" w14:paraId="7C559F84" w14:textId="77777777">
            <w:pPr>
              <w:tabs>
                <w:tab w:val="center" w:pos="4680"/>
              </w:tabs>
              <w:suppressAutoHyphens/>
              <w:rPr>
                <w:spacing w:val="-2"/>
              </w:rPr>
            </w:pPr>
            <w:r>
              <w:rPr>
                <w:spacing w:val="-2"/>
              </w:rPr>
              <w:t>WC Docket No. 10-90</w:t>
            </w:r>
          </w:p>
        </w:tc>
      </w:tr>
    </w:tbl>
    <w:p w:rsidR="004C2EE3" w:rsidP="0070224F" w14:paraId="476E3020" w14:textId="77777777"/>
    <w:p w:rsidR="00841AB1" w:rsidP="00F021FA" w14:paraId="693926FF" w14:textId="77777777">
      <w:pPr>
        <w:pStyle w:val="StyleBoldCentered"/>
      </w:pPr>
      <w:r>
        <w:t>Order</w:t>
      </w:r>
      <w:r w:rsidR="00A17AB1">
        <w:t xml:space="preserve"> on reconsideration</w:t>
      </w:r>
    </w:p>
    <w:p w:rsidR="004C2EE3" w14:paraId="5099E9A4" w14:textId="77777777">
      <w:pPr>
        <w:tabs>
          <w:tab w:val="left" w:pos="-720"/>
        </w:tabs>
        <w:suppressAutoHyphens/>
        <w:spacing w:line="227" w:lineRule="auto"/>
        <w:rPr>
          <w:spacing w:val="-2"/>
        </w:rPr>
      </w:pPr>
    </w:p>
    <w:p w:rsidR="004C2EE3" w:rsidP="00133F79" w14:paraId="3BA50CB9" w14:textId="43241FE5">
      <w:pPr>
        <w:tabs>
          <w:tab w:val="left" w:pos="720"/>
          <w:tab w:val="right" w:pos="9360"/>
        </w:tabs>
        <w:suppressAutoHyphens/>
        <w:spacing w:line="227" w:lineRule="auto"/>
        <w:rPr>
          <w:spacing w:val="-2"/>
        </w:rPr>
      </w:pPr>
      <w:r>
        <w:rPr>
          <w:b/>
          <w:spacing w:val="-2"/>
        </w:rPr>
        <w:t xml:space="preserve">Adopted:  </w:t>
      </w:r>
      <w:r w:rsidR="009930C5">
        <w:rPr>
          <w:b/>
          <w:spacing w:val="-2"/>
        </w:rPr>
        <w:t>June 8,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930C5">
        <w:rPr>
          <w:b/>
          <w:spacing w:val="-2"/>
        </w:rPr>
        <w:t>June 8, 2021</w:t>
      </w:r>
    </w:p>
    <w:p w:rsidR="00822CE0" w14:paraId="45E5EE5F" w14:textId="77777777"/>
    <w:p w:rsidR="004C2EE3" w14:paraId="20F69233" w14:textId="77777777">
      <w:pPr>
        <w:rPr>
          <w:spacing w:val="-2"/>
        </w:rPr>
      </w:pPr>
      <w:r>
        <w:t xml:space="preserve">By </w:t>
      </w:r>
      <w:r w:rsidR="004E4A22">
        <w:t>the</w:t>
      </w:r>
      <w:r w:rsidR="002A2D2E">
        <w:t xml:space="preserve"> </w:t>
      </w:r>
      <w:r w:rsidR="00552EDC">
        <w:rPr>
          <w:spacing w:val="-2"/>
        </w:rPr>
        <w:t>Chief, Wireline Competition Bureau</w:t>
      </w:r>
      <w:r>
        <w:rPr>
          <w:spacing w:val="-2"/>
        </w:rPr>
        <w:t>:</w:t>
      </w:r>
    </w:p>
    <w:p w:rsidR="00822CE0" w14:paraId="2E536048" w14:textId="77777777">
      <w:pPr>
        <w:rPr>
          <w:spacing w:val="-2"/>
        </w:rPr>
      </w:pPr>
    </w:p>
    <w:p w:rsidR="00412FC5" w:rsidP="00C36B4C" w14:paraId="4FA17502" w14:textId="77777777">
      <w:pPr>
        <w:pStyle w:val="Heading1"/>
      </w:pPr>
      <w:r>
        <w:t>introduction</w:t>
      </w:r>
    </w:p>
    <w:p w:rsidR="00275C81" w:rsidP="00275C81" w14:paraId="0012B92E" w14:textId="4B892B07">
      <w:pPr>
        <w:pStyle w:val="ParaNum"/>
      </w:pPr>
      <w:r>
        <w:t xml:space="preserve">The Wireline Competition Bureau </w:t>
      </w:r>
      <w:r w:rsidR="008C4A2B">
        <w:t xml:space="preserve">(Bureau) </w:t>
      </w:r>
      <w:r>
        <w:t>denies</w:t>
      </w:r>
      <w:r w:rsidR="00C949D0">
        <w:t xml:space="preserve"> as </w:t>
      </w:r>
      <w:r w:rsidR="009A44B6">
        <w:t>untimely</w:t>
      </w:r>
      <w:r>
        <w:t xml:space="preserve"> a </w:t>
      </w:r>
      <w:r w:rsidR="001B2661">
        <w:t>P</w:t>
      </w:r>
      <w:r>
        <w:t xml:space="preserve">etition for </w:t>
      </w:r>
      <w:r w:rsidR="001B2661">
        <w:t>R</w:t>
      </w:r>
      <w:r>
        <w:t xml:space="preserve">econsideration </w:t>
      </w:r>
      <w:r w:rsidR="008D0BDD">
        <w:t xml:space="preserve">filed </w:t>
      </w:r>
      <w:r>
        <w:t>by Virgin Islands Telephone Corp.</w:t>
      </w:r>
      <w:r w:rsidR="00D40D83">
        <w:t xml:space="preserve"> d/b/a Viya (Viya)</w:t>
      </w:r>
      <w:r w:rsidR="00BD5AC0">
        <w:t xml:space="preserve"> </w:t>
      </w:r>
      <w:r w:rsidR="008D0BDD">
        <w:t xml:space="preserve">requesting that the Bureau </w:t>
      </w:r>
      <w:r w:rsidR="00BD5AC0">
        <w:t xml:space="preserve">vacate </w:t>
      </w:r>
      <w:r w:rsidR="00797244">
        <w:t xml:space="preserve">and </w:t>
      </w:r>
      <w:r w:rsidR="00E52193">
        <w:t xml:space="preserve">reissue </w:t>
      </w:r>
      <w:r w:rsidR="008D0BDD">
        <w:t xml:space="preserve">its </w:t>
      </w:r>
      <w:r w:rsidR="00BD5AC0">
        <w:t xml:space="preserve">public notice announcing </w:t>
      </w:r>
      <w:r w:rsidR="00C21225">
        <w:t>Broadband VI</w:t>
      </w:r>
      <w:r w:rsidR="0050787D">
        <w:t xml:space="preserve">, </w:t>
      </w:r>
      <w:r w:rsidR="00953231">
        <w:t>LLC</w:t>
      </w:r>
      <w:r w:rsidR="0050787D">
        <w:t xml:space="preserve"> (Broadband VI)</w:t>
      </w:r>
      <w:r w:rsidR="00C21225">
        <w:t xml:space="preserve"> as </w:t>
      </w:r>
      <w:r w:rsidR="00255ECD">
        <w:t xml:space="preserve">the winning applicant of </w:t>
      </w:r>
      <w:r w:rsidR="00A05D31">
        <w:t>the</w:t>
      </w:r>
      <w:r w:rsidR="00255ECD">
        <w:t xml:space="preserve"> Stage 2 competitive process </w:t>
      </w:r>
      <w:r w:rsidR="003A553E">
        <w:t>for</w:t>
      </w:r>
      <w:r w:rsidR="00255ECD">
        <w:t xml:space="preserve"> the Connect USVI Fund</w:t>
      </w:r>
      <w:r w:rsidR="00E123AA">
        <w:t xml:space="preserve"> (</w:t>
      </w:r>
      <w:r w:rsidR="009F77F1">
        <w:t>Fund)</w:t>
      </w:r>
      <w:r w:rsidR="00255ECD">
        <w:t>.</w:t>
      </w:r>
      <w:r>
        <w:rPr>
          <w:rStyle w:val="FootnoteReference"/>
        </w:rPr>
        <w:footnoteReference w:id="3"/>
      </w:r>
      <w:r w:rsidR="00C32958">
        <w:rPr>
          <w:rStyle w:val="FootnoteReference"/>
        </w:rPr>
        <w:t xml:space="preserve"> </w:t>
      </w:r>
      <w:r w:rsidR="00D155BB">
        <w:t xml:space="preserve"> </w:t>
      </w:r>
      <w:r w:rsidR="00FF4982">
        <w:t>Because</w:t>
      </w:r>
      <w:r w:rsidR="006157F9">
        <w:t xml:space="preserve"> </w:t>
      </w:r>
      <w:r w:rsidR="00BA710B">
        <w:t xml:space="preserve">the Bureau </w:t>
      </w:r>
      <w:r w:rsidR="00A01569">
        <w:t xml:space="preserve">is </w:t>
      </w:r>
      <w:r w:rsidR="008D0BDD">
        <w:t xml:space="preserve">now </w:t>
      </w:r>
      <w:r w:rsidR="00A01569">
        <w:t xml:space="preserve">taking final action in this proceeding by concurrently releasing a </w:t>
      </w:r>
      <w:r w:rsidR="00E45619">
        <w:t xml:space="preserve">public </w:t>
      </w:r>
      <w:r w:rsidR="00A01569">
        <w:t>notice authorizing support to</w:t>
      </w:r>
      <w:r w:rsidR="0050787D">
        <w:t xml:space="preserve"> Broadband VI</w:t>
      </w:r>
      <w:r w:rsidR="00964C5A">
        <w:t xml:space="preserve">, Viya </w:t>
      </w:r>
      <w:r w:rsidR="00FF4982">
        <w:t>is free to</w:t>
      </w:r>
      <w:r w:rsidR="00964C5A">
        <w:t xml:space="preserve"> </w:t>
      </w:r>
      <w:r w:rsidR="00FF4982">
        <w:t>file a new</w:t>
      </w:r>
      <w:r w:rsidR="00BE6C3B">
        <w:t xml:space="preserve"> petition for</w:t>
      </w:r>
      <w:r w:rsidR="00964C5A">
        <w:t xml:space="preserve"> reconsideration</w:t>
      </w:r>
      <w:r w:rsidR="00FF4982">
        <w:t xml:space="preserve"> that re</w:t>
      </w:r>
      <w:r w:rsidR="001D5673">
        <w:t>-</w:t>
      </w:r>
      <w:r w:rsidR="00FF4982">
        <w:t>raises the issues that were premature at the time of the original filing</w:t>
      </w:r>
      <w:r w:rsidR="00F72F3C">
        <w:t>.</w:t>
      </w:r>
      <w:r>
        <w:rPr>
          <w:rStyle w:val="FootnoteReference"/>
        </w:rPr>
        <w:footnoteReference w:id="4"/>
      </w:r>
      <w:r w:rsidR="00964C5A">
        <w:t xml:space="preserve"> </w:t>
      </w:r>
      <w:r w:rsidR="00A01569">
        <w:t xml:space="preserve"> </w:t>
      </w:r>
    </w:p>
    <w:p w:rsidR="00275C81" w:rsidP="00275C81" w14:paraId="6956B8F4" w14:textId="77777777">
      <w:pPr>
        <w:pStyle w:val="Heading1"/>
      </w:pPr>
      <w:r>
        <w:t>background</w:t>
      </w:r>
    </w:p>
    <w:p w:rsidR="00374A07" w:rsidP="00F87F29" w14:paraId="3F025F07" w14:textId="26559F3D">
      <w:pPr>
        <w:pStyle w:val="ParaNum"/>
      </w:pPr>
      <w:r>
        <w:t xml:space="preserve">In the </w:t>
      </w:r>
      <w:r w:rsidRPr="441EA6F3">
        <w:rPr>
          <w:i/>
          <w:iCs/>
        </w:rPr>
        <w:t>PR-USVI Stage 2 Order</w:t>
      </w:r>
      <w:r>
        <w:t xml:space="preserve">, the Commission </w:t>
      </w:r>
      <w:r w:rsidR="00C32958">
        <w:t>allocated federal universal service support</w:t>
      </w:r>
      <w:r>
        <w:t xml:space="preserve"> to promote the deployment of advanced, hardened networks in both Puerto Rico and the U.S. Virgin Islands (collectively, the Territories</w:t>
      </w:r>
      <w:r w:rsidR="00C32958">
        <w:t>)</w:t>
      </w:r>
      <w:r>
        <w:t>.</w:t>
      </w:r>
      <w:r>
        <w:rPr>
          <w:rStyle w:val="FootnoteReference"/>
        </w:rPr>
        <w:footnoteReference w:id="5"/>
      </w:r>
      <w:r>
        <w:t xml:space="preserve">  </w:t>
      </w:r>
      <w:r w:rsidR="00D90BA8">
        <w:t>As part of</w:t>
      </w:r>
      <w:r>
        <w:t xml:space="preserve"> Stage 2, the Commission allocated approximately $180 million over ten years to facilitate the improvement and expansion of existing fixed networks in the U.S. Virgin Islands and to provide for the deployment of new voice and broadband networks following the devastation of the 2017 hurricanes, so that those living in the U.S. Virgin Islands will have access to and benefit from high-speed broadband services</w:t>
      </w:r>
      <w:r w:rsidR="009B6565">
        <w:t xml:space="preserve"> comparable to those</w:t>
      </w:r>
      <w:r>
        <w:t xml:space="preserve"> that residents of the mainland United States enjoy</w:t>
      </w:r>
      <w:r w:rsidR="003704E7">
        <w:t>.  T</w:t>
      </w:r>
      <w:r>
        <w:t xml:space="preserve">he Commission adopted a competitive proposal process to award </w:t>
      </w:r>
      <w:r w:rsidR="003704E7">
        <w:t xml:space="preserve">this </w:t>
      </w:r>
      <w:r>
        <w:t>high-cost support</w:t>
      </w:r>
      <w:r w:rsidR="0037055A">
        <w:t xml:space="preserve">, </w:t>
      </w:r>
      <w:r w:rsidR="0037055A">
        <w:t>with one winner to be selected per geographic area</w:t>
      </w:r>
      <w:r>
        <w:t>.</w:t>
      </w:r>
      <w:r>
        <w:rPr>
          <w:rStyle w:val="FootnoteReference"/>
        </w:rPr>
        <w:footnoteReference w:id="6"/>
      </w:r>
      <w:r>
        <w:t xml:space="preserve">  For the U.S. Virgin Islands, the Commission established St. Croix Island as one geographic area, and St. John and St. Thomas Islands as a second geographic area.</w:t>
      </w:r>
      <w:r>
        <w:rPr>
          <w:rStyle w:val="FootnoteReference"/>
        </w:rPr>
        <w:footnoteReference w:id="7"/>
      </w:r>
      <w:r>
        <w:t xml:space="preserve">  Under the competitive process, each proposal for a geographic area would receive a score based on a 270-point scale </w:t>
      </w:r>
      <w:r w:rsidR="00C533DE">
        <w:t>based on (1)</w:t>
      </w:r>
      <w:r>
        <w:t xml:space="preserve"> price</w:t>
      </w:r>
      <w:r w:rsidR="00C533DE">
        <w:t>;</w:t>
      </w:r>
      <w:r>
        <w:t xml:space="preserve"> </w:t>
      </w:r>
      <w:r w:rsidR="00C533DE">
        <w:t xml:space="preserve">(2) </w:t>
      </w:r>
      <w:r>
        <w:t>network performance, including speed, latency, and usage allowance</w:t>
      </w:r>
      <w:r w:rsidR="00C533DE">
        <w:t>; and (3) resilience and redundancy</w:t>
      </w:r>
      <w:r>
        <w:t>.</w:t>
      </w:r>
      <w:r>
        <w:rPr>
          <w:rStyle w:val="FootnoteReference"/>
        </w:rPr>
        <w:footnoteReference w:id="8"/>
      </w:r>
      <w:r>
        <w:t xml:space="preserve">  </w:t>
      </w:r>
      <w:r w:rsidR="00FA2C54">
        <w:t xml:space="preserve">The Commission directed the Bureau to evaluate applications and select the </w:t>
      </w:r>
      <w:r w:rsidR="00F23633">
        <w:t xml:space="preserve">proposal </w:t>
      </w:r>
      <w:r w:rsidR="00FA2C54">
        <w:t xml:space="preserve">with the lowest overall score per geographic area consistent with the methodology adopted in the </w:t>
      </w:r>
      <w:r w:rsidRPr="441EA6F3" w:rsidR="00FA2C54">
        <w:rPr>
          <w:i/>
          <w:iCs/>
        </w:rPr>
        <w:t>PR-USVI Stage 2 Order</w:t>
      </w:r>
      <w:r w:rsidR="00FA2C54">
        <w:t xml:space="preserve"> using the 270-point scale.</w:t>
      </w:r>
      <w:r>
        <w:rPr>
          <w:rStyle w:val="FootnoteReference"/>
        </w:rPr>
        <w:footnoteReference w:id="9"/>
      </w:r>
      <w:r w:rsidR="00A92D61">
        <w:t xml:space="preserve">  T</w:t>
      </w:r>
      <w:r w:rsidR="00DD25B3">
        <w:t xml:space="preserve">he Commission </w:t>
      </w:r>
      <w:r w:rsidR="00A92D61">
        <w:t xml:space="preserve">also </w:t>
      </w:r>
      <w:r w:rsidR="00DD25B3">
        <w:t xml:space="preserve">directed the Bureau to </w:t>
      </w:r>
      <w:r w:rsidR="00A25F02">
        <w:t xml:space="preserve">collect </w:t>
      </w:r>
      <w:r w:rsidR="00D16599">
        <w:t xml:space="preserve">and review </w:t>
      </w:r>
      <w:r w:rsidR="00A25F02">
        <w:t xml:space="preserve">from each applicant </w:t>
      </w:r>
      <w:r w:rsidR="001556C0">
        <w:t xml:space="preserve">financial and </w:t>
      </w:r>
      <w:r w:rsidR="003024CF">
        <w:t xml:space="preserve">technical </w:t>
      </w:r>
      <w:r w:rsidR="008F6B4E">
        <w:t xml:space="preserve">information </w:t>
      </w:r>
      <w:r w:rsidR="003024CF">
        <w:t xml:space="preserve">to ensure that </w:t>
      </w:r>
      <w:r w:rsidR="00A92D61">
        <w:t>the applicant</w:t>
      </w:r>
      <w:r w:rsidR="003024CF">
        <w:t xml:space="preserve"> possesses the qualifications to successfully complete </w:t>
      </w:r>
      <w:r w:rsidR="00EE1A5D">
        <w:t>its</w:t>
      </w:r>
      <w:r w:rsidR="003024CF">
        <w:t xml:space="preserve"> proposed network.</w:t>
      </w:r>
      <w:r>
        <w:rPr>
          <w:rStyle w:val="FootnoteReference"/>
        </w:rPr>
        <w:footnoteReference w:id="10"/>
      </w:r>
    </w:p>
    <w:p w:rsidR="00B44282" w:rsidP="00F33835" w14:paraId="590476B8" w14:textId="1673FD52">
      <w:pPr>
        <w:pStyle w:val="ParaNum"/>
      </w:pPr>
      <w:r>
        <w:t xml:space="preserve">The Bureau received </w:t>
      </w:r>
      <w:r w:rsidR="0033171F">
        <w:t>proposal</w:t>
      </w:r>
      <w:r w:rsidR="00C41BF3">
        <w:t>s</w:t>
      </w:r>
      <w:r w:rsidR="0033171F">
        <w:t xml:space="preserve"> </w:t>
      </w:r>
      <w:r>
        <w:t xml:space="preserve">from </w:t>
      </w:r>
      <w:r w:rsidR="002A7683">
        <w:t xml:space="preserve">Viya and Broadband VI </w:t>
      </w:r>
      <w:r>
        <w:t xml:space="preserve">for </w:t>
      </w:r>
      <w:r w:rsidR="006F2E8F">
        <w:t>each</w:t>
      </w:r>
      <w:r w:rsidR="008F6B4E">
        <w:t xml:space="preserve"> of the two</w:t>
      </w:r>
      <w:r w:rsidR="006F2E8F">
        <w:t xml:space="preserve"> </w:t>
      </w:r>
      <w:r>
        <w:t>geographic area</w:t>
      </w:r>
      <w:r w:rsidR="008F6B4E">
        <w:t>s</w:t>
      </w:r>
      <w:r w:rsidR="006F2E8F">
        <w:t xml:space="preserve"> </w:t>
      </w:r>
      <w:r w:rsidR="00D5472C">
        <w:t xml:space="preserve">within </w:t>
      </w:r>
      <w:r w:rsidR="006F2E8F">
        <w:t>the U.S. Virgin Islands</w:t>
      </w:r>
      <w:r>
        <w:t>.</w:t>
      </w:r>
      <w:r>
        <w:rPr>
          <w:rStyle w:val="FootnoteReference"/>
        </w:rPr>
        <w:footnoteReference w:id="11"/>
      </w:r>
      <w:r>
        <w:t xml:space="preserve">  On November </w:t>
      </w:r>
      <w:r w:rsidR="008551B8">
        <w:t>16</w:t>
      </w:r>
      <w:r>
        <w:t xml:space="preserve">, 2020, </w:t>
      </w:r>
      <w:r w:rsidRPr="0064481F">
        <w:t xml:space="preserve">the Bureau </w:t>
      </w:r>
      <w:r w:rsidRPr="0064481F" w:rsidR="00526B35">
        <w:t xml:space="preserve">released the </w:t>
      </w:r>
      <w:r w:rsidRPr="009E60E3" w:rsidR="009E60E3">
        <w:rPr>
          <w:i/>
          <w:iCs/>
        </w:rPr>
        <w:t xml:space="preserve">USVI </w:t>
      </w:r>
      <w:r w:rsidRPr="005956A8" w:rsidR="005956A8">
        <w:rPr>
          <w:i/>
          <w:iCs/>
        </w:rPr>
        <w:t>Winner Public Notice</w:t>
      </w:r>
      <w:r w:rsidRPr="0064481F" w:rsidR="00526B35">
        <w:t xml:space="preserve"> </w:t>
      </w:r>
      <w:r w:rsidRPr="0064481F">
        <w:t xml:space="preserve">closing the </w:t>
      </w:r>
      <w:r w:rsidRPr="0064481F" w:rsidR="6F48F610">
        <w:t>Stage 2</w:t>
      </w:r>
      <w:r w:rsidRPr="0064481F">
        <w:t xml:space="preserve"> competitive process and </w:t>
      </w:r>
      <w:r w:rsidRPr="0064481F">
        <w:t>announc</w:t>
      </w:r>
      <w:r w:rsidRPr="0064481F" w:rsidR="00526B35">
        <w:t>ing</w:t>
      </w:r>
      <w:r w:rsidRPr="0064481F">
        <w:t xml:space="preserve"> </w:t>
      </w:r>
      <w:r w:rsidRPr="0064481F" w:rsidR="00DD7335">
        <w:t>th</w:t>
      </w:r>
      <w:r w:rsidRPr="0064481F" w:rsidR="008232FC">
        <w:t xml:space="preserve">e results based on </w:t>
      </w:r>
      <w:r w:rsidRPr="0064481F" w:rsidR="00270E55">
        <w:t>proposals from</w:t>
      </w:r>
      <w:r w:rsidR="00CE232D">
        <w:t xml:space="preserve"> these</w:t>
      </w:r>
      <w:r w:rsidRPr="0064481F" w:rsidR="00270E55">
        <w:t xml:space="preserve"> applicants.</w:t>
      </w:r>
      <w:r>
        <w:rPr>
          <w:rStyle w:val="FootnoteReference"/>
        </w:rPr>
        <w:footnoteReference w:id="12"/>
      </w:r>
      <w:r w:rsidRPr="0064481F" w:rsidR="00270E55">
        <w:t xml:space="preserve">  </w:t>
      </w:r>
      <w:r w:rsidRPr="0064481F" w:rsidR="00196CC8">
        <w:t xml:space="preserve">The </w:t>
      </w:r>
      <w:r w:rsidRPr="005956A8" w:rsidR="005956A8">
        <w:rPr>
          <w:i/>
          <w:iCs/>
        </w:rPr>
        <w:t>USVI Winner Public Notice</w:t>
      </w:r>
      <w:r w:rsidRPr="0064481F" w:rsidR="00196CC8">
        <w:t xml:space="preserve"> </w:t>
      </w:r>
      <w:r w:rsidRPr="0064481F" w:rsidR="008B59B4">
        <w:t>announced</w:t>
      </w:r>
      <w:r w:rsidRPr="0064481F" w:rsidR="008900E1">
        <w:t xml:space="preserve"> </w:t>
      </w:r>
      <w:r w:rsidRPr="0064481F" w:rsidR="00DD7335">
        <w:t xml:space="preserve">Broadband VI </w:t>
      </w:r>
      <w:r w:rsidRPr="0064481F" w:rsidR="00D02B16">
        <w:t>as</w:t>
      </w:r>
      <w:r w:rsidRPr="0064481F" w:rsidR="00894810">
        <w:t xml:space="preserve"> the winning applicant </w:t>
      </w:r>
      <w:r w:rsidRPr="0064481F" w:rsidR="00A466D7">
        <w:t xml:space="preserve">for </w:t>
      </w:r>
      <w:r w:rsidR="00B06398">
        <w:t>both</w:t>
      </w:r>
      <w:r w:rsidRPr="0064481F" w:rsidR="00B06398">
        <w:t xml:space="preserve"> </w:t>
      </w:r>
      <w:r w:rsidRPr="0064481F" w:rsidR="00894810">
        <w:t xml:space="preserve">geographic </w:t>
      </w:r>
      <w:r w:rsidRPr="0064481F" w:rsidR="00DD7335">
        <w:t>area</w:t>
      </w:r>
      <w:r w:rsidR="00B06398">
        <w:t>s</w:t>
      </w:r>
      <w:r w:rsidRPr="0064481F">
        <w:t>.</w:t>
      </w:r>
      <w:r>
        <w:rPr>
          <w:rStyle w:val="FootnoteReference"/>
        </w:rPr>
        <w:footnoteReference w:id="13"/>
      </w:r>
      <w:r>
        <w:t xml:space="preserve">  </w:t>
      </w:r>
      <w:r w:rsidR="009E60E3">
        <w:t>Consistent with the process adopted by the Commission</w:t>
      </w:r>
      <w:r w:rsidR="00A466D7">
        <w:t>, the Bureau</w:t>
      </w:r>
      <w:r w:rsidR="00A633D3">
        <w:t xml:space="preserve"> </w:t>
      </w:r>
      <w:r w:rsidR="0064481F">
        <w:t xml:space="preserve">also </w:t>
      </w:r>
      <w:r w:rsidR="00A466D7">
        <w:t xml:space="preserve">instructed </w:t>
      </w:r>
      <w:r w:rsidR="0051293C">
        <w:t xml:space="preserve">Broadband VI to </w:t>
      </w:r>
      <w:r w:rsidR="0044083E">
        <w:t>complete additional filing requirements</w:t>
      </w:r>
      <w:r w:rsidR="00D71C7B">
        <w:t xml:space="preserve"> by submitting </w:t>
      </w:r>
      <w:r w:rsidR="0069345A">
        <w:t xml:space="preserve">a letter of credit from an eligible bank, </w:t>
      </w:r>
      <w:r w:rsidR="007E690F">
        <w:t xml:space="preserve">a bankruptcy opinion letter from counsel, </w:t>
      </w:r>
      <w:r w:rsidR="00D71C7B">
        <w:t xml:space="preserve">and </w:t>
      </w:r>
      <w:r w:rsidR="007E690F">
        <w:t xml:space="preserve">certification of its eligible telecommunications carrier designation covering the </w:t>
      </w:r>
      <w:r w:rsidR="00E91945">
        <w:t>geographic areas for its winning proposals.</w:t>
      </w:r>
      <w:r>
        <w:rPr>
          <w:rStyle w:val="FootnoteReference"/>
        </w:rPr>
        <w:footnoteReference w:id="14"/>
      </w:r>
      <w:r w:rsidR="00D8352B">
        <w:t xml:space="preserve">  </w:t>
      </w:r>
    </w:p>
    <w:p w:rsidR="00541C8C" w:rsidP="002B70A0" w14:paraId="1B4B4F42" w14:textId="375506D5">
      <w:pPr>
        <w:pStyle w:val="ParaNum"/>
        <w:widowControl/>
      </w:pPr>
      <w:r>
        <w:t>On Decembe</w:t>
      </w:r>
      <w:r w:rsidR="002A5770">
        <w:t>r 16</w:t>
      </w:r>
      <w:r>
        <w:t xml:space="preserve">, 2020, </w:t>
      </w:r>
      <w:r w:rsidR="002A5770">
        <w:t xml:space="preserve">Viya filed a petition for reconsideration </w:t>
      </w:r>
      <w:r>
        <w:t xml:space="preserve">seeking review of the </w:t>
      </w:r>
      <w:r w:rsidRPr="006B4CD0" w:rsidR="00015FA9">
        <w:rPr>
          <w:i/>
          <w:iCs/>
        </w:rPr>
        <w:t>USVI Winner Public Notice</w:t>
      </w:r>
      <w:r w:rsidRPr="006B4CD0" w:rsidR="00605242">
        <w:rPr>
          <w:i/>
          <w:iCs/>
        </w:rPr>
        <w:t xml:space="preserve"> </w:t>
      </w:r>
      <w:r w:rsidR="00404DFD">
        <w:t>and request</w:t>
      </w:r>
      <w:r w:rsidR="00E40ABD">
        <w:t>ed</w:t>
      </w:r>
      <w:r w:rsidR="00404DFD">
        <w:t xml:space="preserve"> </w:t>
      </w:r>
      <w:r w:rsidR="00015FA9">
        <w:t xml:space="preserve">that </w:t>
      </w:r>
      <w:r w:rsidR="00404DFD">
        <w:t>the Bureau</w:t>
      </w:r>
      <w:r w:rsidR="00015FA9">
        <w:t xml:space="preserve"> vacate the Public Notice, reconsider its selection of Broadband VI, and “issue a new notice announcing the winning applicant that provides adequate transparency into the reasons and justifications underlying the Bureau’s selection.”</w:t>
      </w:r>
      <w:r>
        <w:rPr>
          <w:rStyle w:val="FootnoteReference"/>
        </w:rPr>
        <w:footnoteReference w:id="15"/>
      </w:r>
      <w:r>
        <w:t xml:space="preserve">  In the </w:t>
      </w:r>
      <w:r w:rsidR="00AF5691">
        <w:t xml:space="preserve">petition, </w:t>
      </w:r>
      <w:r w:rsidR="00076D42">
        <w:t>Viya acknowledge</w:t>
      </w:r>
      <w:r w:rsidR="009E60E3">
        <w:t>s</w:t>
      </w:r>
      <w:r w:rsidR="00872402">
        <w:t xml:space="preserve"> </w:t>
      </w:r>
      <w:r w:rsidR="005E268E">
        <w:t xml:space="preserve">the competitive process adopted by the Commission </w:t>
      </w:r>
      <w:r w:rsidR="008A5D77">
        <w:t>and the Bureau’s evaluation of proposals based on</w:t>
      </w:r>
      <w:r w:rsidR="00C232C0">
        <w:t xml:space="preserve"> factors of</w:t>
      </w:r>
      <w:r w:rsidR="008A5D77">
        <w:t xml:space="preserve"> price, redundancy and resiliency, and network performance.</w:t>
      </w:r>
      <w:r>
        <w:rPr>
          <w:rStyle w:val="FootnoteReference"/>
        </w:rPr>
        <w:footnoteReference w:id="16"/>
      </w:r>
      <w:r w:rsidR="008A5D77">
        <w:t xml:space="preserve">  </w:t>
      </w:r>
      <w:r w:rsidR="009E60E3">
        <w:t xml:space="preserve">However, </w:t>
      </w:r>
      <w:r w:rsidR="00C232C0">
        <w:t>Viya</w:t>
      </w:r>
      <w:r w:rsidR="000F2172">
        <w:t xml:space="preserve"> </w:t>
      </w:r>
      <w:r w:rsidR="000107C1">
        <w:t xml:space="preserve">argues that </w:t>
      </w:r>
      <w:r w:rsidR="00A005C8">
        <w:t xml:space="preserve">the </w:t>
      </w:r>
      <w:r w:rsidRPr="00382EF0" w:rsidR="009E60E3">
        <w:rPr>
          <w:i/>
          <w:iCs/>
        </w:rPr>
        <w:t xml:space="preserve">USVI </w:t>
      </w:r>
      <w:r w:rsidRPr="005956A8" w:rsidR="005956A8">
        <w:rPr>
          <w:i/>
          <w:iCs/>
        </w:rPr>
        <w:t>Winner Public Notice</w:t>
      </w:r>
      <w:r w:rsidR="00A005C8">
        <w:t xml:space="preserve"> </w:t>
      </w:r>
      <w:r w:rsidR="002804D8">
        <w:t xml:space="preserve">and its announcement </w:t>
      </w:r>
      <w:r w:rsidR="00FB23DB">
        <w:t xml:space="preserve">of Broadband VI as the winning applicant </w:t>
      </w:r>
      <w:r w:rsidR="00B747D7">
        <w:t>are</w:t>
      </w:r>
      <w:r w:rsidR="00FB23DB">
        <w:t xml:space="preserve"> “clearly erroneous</w:t>
      </w:r>
      <w:r w:rsidR="000148CF">
        <w:t>”</w:t>
      </w:r>
      <w:r w:rsidR="00FB23DB">
        <w:t xml:space="preserve"> and must be </w:t>
      </w:r>
      <w:r w:rsidR="00E142A5">
        <w:t>reconsidered because the Public Notice</w:t>
      </w:r>
      <w:r w:rsidR="00AA2E46">
        <w:t xml:space="preserve"> does not “</w:t>
      </w:r>
      <w:r w:rsidR="00E142A5">
        <w:t>articulate</w:t>
      </w:r>
      <w:r w:rsidR="009F4548">
        <w:t xml:space="preserve"> </w:t>
      </w:r>
      <w:r w:rsidR="009F4548">
        <w:t>a satisfactory explanation</w:t>
      </w:r>
      <w:r w:rsidR="00AA2E46">
        <w:t>” for</w:t>
      </w:r>
      <w:r w:rsidR="00BA0930">
        <w:t xml:space="preserve"> </w:t>
      </w:r>
      <w:r w:rsidR="003B4B6A">
        <w:t>the selection of Broadband VI</w:t>
      </w:r>
      <w:r w:rsidR="00A2551C">
        <w:t xml:space="preserve"> as the winning applicant</w:t>
      </w:r>
      <w:r w:rsidR="003B4B6A">
        <w:t xml:space="preserve"> </w:t>
      </w:r>
      <w:r w:rsidR="00A2551C">
        <w:t>for each eligible area</w:t>
      </w:r>
      <w:r w:rsidR="004213E9">
        <w:t>.</w:t>
      </w:r>
      <w:r>
        <w:rPr>
          <w:rStyle w:val="FootnoteReference"/>
        </w:rPr>
        <w:footnoteReference w:id="17"/>
      </w:r>
    </w:p>
    <w:p w:rsidR="00F64A5D" w:rsidP="00F64A5D" w14:paraId="332C455C" w14:textId="77777777">
      <w:pPr>
        <w:pStyle w:val="Heading1"/>
      </w:pPr>
      <w:r>
        <w:t>discussion</w:t>
      </w:r>
    </w:p>
    <w:p w:rsidR="006B06D9" w:rsidRPr="00A14A46" w:rsidP="00B95DC8" w14:paraId="3C6A8563" w14:textId="3CACB4B6">
      <w:pPr>
        <w:pStyle w:val="ParaNum"/>
      </w:pPr>
      <w:r w:rsidRPr="00A14A46">
        <w:t xml:space="preserve">We deny </w:t>
      </w:r>
      <w:r w:rsidRPr="00A14A46" w:rsidR="00561FC3">
        <w:t>Viy</w:t>
      </w:r>
      <w:r w:rsidRPr="00A14A46" w:rsidR="00B95DC8">
        <w:t xml:space="preserve">a’s Reconsideration Petition </w:t>
      </w:r>
      <w:r w:rsidR="00A14A46">
        <w:t>a</w:t>
      </w:r>
      <w:r w:rsidRPr="00A14A46" w:rsidR="00B95DC8">
        <w:t xml:space="preserve">s </w:t>
      </w:r>
      <w:r w:rsidR="001F52C8">
        <w:t>untimely for two reasons.  First, we deny it as premature</w:t>
      </w:r>
      <w:r w:rsidRPr="00A14A46" w:rsidR="00B95DC8">
        <w:t xml:space="preserve"> to the extent that it seeks to challenge an award of </w:t>
      </w:r>
      <w:r w:rsidRPr="00A14A46" w:rsidR="00B11499">
        <w:t>support to Broadband VI</w:t>
      </w:r>
      <w:r w:rsidRPr="00A14A46" w:rsidR="00637024">
        <w:t xml:space="preserve">.  As we discuss below, the </w:t>
      </w:r>
      <w:r w:rsidRPr="00A14A46" w:rsidR="00867476">
        <w:t>Bureau</w:t>
      </w:r>
      <w:r w:rsidRPr="00A14A46" w:rsidR="005B3A0B">
        <w:t xml:space="preserve">’s announcement of </w:t>
      </w:r>
      <w:r w:rsidRPr="00A14A46" w:rsidR="00B7516C">
        <w:t xml:space="preserve">Broadband VI as the winning applicant </w:t>
      </w:r>
      <w:r w:rsidR="00FF4982">
        <w:t>wa</w:t>
      </w:r>
      <w:r w:rsidRPr="00A14A46" w:rsidR="00B7516C">
        <w:t>s an interlocutory decision</w:t>
      </w:r>
      <w:r w:rsidRPr="00A14A46" w:rsidR="00934992">
        <w:t xml:space="preserve"> not subject to appeal.</w:t>
      </w:r>
      <w:r>
        <w:rPr>
          <w:rStyle w:val="FootnoteReference"/>
        </w:rPr>
        <w:footnoteReference w:id="18"/>
      </w:r>
      <w:r w:rsidRPr="00A14A46" w:rsidR="00E85E10">
        <w:t xml:space="preserve"> </w:t>
      </w:r>
      <w:r w:rsidRPr="00A14A46" w:rsidR="00BD5761">
        <w:t xml:space="preserve"> </w:t>
      </w:r>
      <w:r w:rsidR="001F52C8">
        <w:t>Second, w</w:t>
      </w:r>
      <w:r w:rsidRPr="00A14A46" w:rsidR="00BD5761">
        <w:t>e de</w:t>
      </w:r>
      <w:r w:rsidRPr="00A14A46" w:rsidR="00D56401">
        <w:t xml:space="preserve">ny the Reconsideration Petition </w:t>
      </w:r>
      <w:r w:rsidRPr="00A14A46" w:rsidR="00703810">
        <w:t>as untimely</w:t>
      </w:r>
      <w:r w:rsidRPr="00A14A46" w:rsidR="006008F4">
        <w:t xml:space="preserve"> to the extent Viya seeks reconsideration of the </w:t>
      </w:r>
      <w:r w:rsidR="003B7C9B">
        <w:t>procedures</w:t>
      </w:r>
      <w:r w:rsidRPr="00A14A46" w:rsidR="00DB702C">
        <w:t xml:space="preserve"> established for the Stage 2 competitive process by </w:t>
      </w:r>
      <w:r w:rsidR="009A44B6">
        <w:t xml:space="preserve">the </w:t>
      </w:r>
      <w:r w:rsidRPr="00A14A46" w:rsidR="00BB7EC1">
        <w:rPr>
          <w:i/>
          <w:iCs/>
        </w:rPr>
        <w:t>Procedures Public Notice</w:t>
      </w:r>
      <w:r w:rsidRPr="00A14A46" w:rsidR="00BB7EC1">
        <w:t>.</w:t>
      </w:r>
      <w:r>
        <w:rPr>
          <w:rStyle w:val="FootnoteReference"/>
        </w:rPr>
        <w:footnoteReference w:id="19"/>
      </w:r>
    </w:p>
    <w:p w:rsidR="00B67DCB" w:rsidP="00DB3B6F" w14:paraId="7DC693E0" w14:textId="6844903F">
      <w:pPr>
        <w:pStyle w:val="ParaNum"/>
      </w:pPr>
      <w:r w:rsidRPr="441EA6F3">
        <w:rPr>
          <w:i/>
          <w:iCs/>
        </w:rPr>
        <w:t>Untimely Interlocutory Appeal</w:t>
      </w:r>
      <w:r>
        <w:t xml:space="preserve">.  </w:t>
      </w:r>
      <w:r w:rsidR="006628AE">
        <w:t>First, we deny Viya’s petition as premature</w:t>
      </w:r>
      <w:r w:rsidR="006B06D9">
        <w:t xml:space="preserve"> because </w:t>
      </w:r>
      <w:r w:rsidR="00FF4982">
        <w:t>at the time it filed its petition, we had</w:t>
      </w:r>
      <w:r w:rsidR="006B06D9">
        <w:t xml:space="preserve"> not yet taken the final action to authorize Broadband VI to receive support</w:t>
      </w:r>
      <w:r w:rsidR="00F67F47">
        <w:t>.</w:t>
      </w:r>
      <w:r>
        <w:rPr>
          <w:rStyle w:val="FootnoteReference"/>
        </w:rPr>
        <w:footnoteReference w:id="20"/>
      </w:r>
      <w:r w:rsidR="00DA3744">
        <w:t xml:space="preserve">  </w:t>
      </w:r>
      <w:r w:rsidR="00AB5F8B">
        <w:t xml:space="preserve">As Viya </w:t>
      </w:r>
      <w:r w:rsidR="0047080B">
        <w:t>acknowledges</w:t>
      </w:r>
      <w:r w:rsidR="002E367A">
        <w:t xml:space="preserve"> in its petition</w:t>
      </w:r>
      <w:r w:rsidR="0047080B">
        <w:t xml:space="preserve">, </w:t>
      </w:r>
      <w:r>
        <w:t>s</w:t>
      </w:r>
      <w:r w:rsidR="009016E9">
        <w:t>ection 1.10</w:t>
      </w:r>
      <w:r w:rsidR="004F48DE">
        <w:t>6</w:t>
      </w:r>
      <w:r w:rsidR="0047080B">
        <w:t>(a)(1) of the Commission’s rules</w:t>
      </w:r>
      <w:r w:rsidR="004F48DE">
        <w:t xml:space="preserve"> specifically </w:t>
      </w:r>
      <w:r w:rsidR="0047080B">
        <w:t>provides</w:t>
      </w:r>
      <w:r w:rsidR="004F48DE">
        <w:t xml:space="preserve"> </w:t>
      </w:r>
      <w:r w:rsidR="006B06D9">
        <w:t xml:space="preserve">for petitions for reconsideration of final actions and states </w:t>
      </w:r>
      <w:r w:rsidR="004F48DE">
        <w:t>that “[p]</w:t>
      </w:r>
      <w:r w:rsidR="004F48DE">
        <w:t>etitions</w:t>
      </w:r>
      <w:r w:rsidR="004F48DE">
        <w:t xml:space="preserve"> for </w:t>
      </w:r>
      <w:r w:rsidR="000B0FB9">
        <w:t>reconsideration of . . . interlocutory actions will not be entertained.”</w:t>
      </w:r>
      <w:r>
        <w:rPr>
          <w:rStyle w:val="FootnoteReference"/>
        </w:rPr>
        <w:footnoteReference w:id="21"/>
      </w:r>
      <w:r w:rsidR="00026AFA">
        <w:t xml:space="preserve">  </w:t>
      </w:r>
      <w:r w:rsidR="00782D64">
        <w:t xml:space="preserve">An agency action is final, rather than interlocutory, </w:t>
      </w:r>
      <w:r w:rsidR="004B41B9">
        <w:t xml:space="preserve">if it is the </w:t>
      </w:r>
      <w:r w:rsidR="00C10C73">
        <w:t>“</w:t>
      </w:r>
      <w:r w:rsidR="004B41B9">
        <w:t>consummation</w:t>
      </w:r>
      <w:r w:rsidR="00C10C73">
        <w:t>”</w:t>
      </w:r>
      <w:r w:rsidR="004B41B9">
        <w:t xml:space="preserve"> of an agency’s </w:t>
      </w:r>
      <w:r w:rsidR="0034015C">
        <w:t>decision</w:t>
      </w:r>
      <w:r w:rsidR="00D51D7F">
        <w:t xml:space="preserve"> </w:t>
      </w:r>
      <w:r w:rsidR="0034015C">
        <w:t xml:space="preserve">making process and the rights or obligations </w:t>
      </w:r>
      <w:r w:rsidR="000C19FD">
        <w:t>have been determined</w:t>
      </w:r>
      <w:r w:rsidR="00D51D7F">
        <w:t xml:space="preserve"> and not be merely of a tentative or interlocutory nature</w:t>
      </w:r>
      <w:r w:rsidR="000C19FD">
        <w:t xml:space="preserve">, </w:t>
      </w:r>
      <w:r w:rsidR="00E258C2">
        <w:t xml:space="preserve">and the </w:t>
      </w:r>
      <w:r w:rsidR="000C19FD">
        <w:t xml:space="preserve">action </w:t>
      </w:r>
      <w:r w:rsidR="00E258C2">
        <w:t>must be one by which rights or obligations have been determined</w:t>
      </w:r>
      <w:r w:rsidR="00303F3D">
        <w:t xml:space="preserve">, or </w:t>
      </w:r>
      <w:r w:rsidR="000C19FD">
        <w:t>from which legal consequences will flow.</w:t>
      </w:r>
      <w:r>
        <w:rPr>
          <w:rStyle w:val="FootnoteReference"/>
        </w:rPr>
        <w:footnoteReference w:id="22"/>
      </w:r>
      <w:r w:rsidRPr="00CB71CD" w:rsidR="00CB71CD">
        <w:t xml:space="preserve">  </w:t>
      </w:r>
    </w:p>
    <w:p w:rsidR="007E1900" w:rsidP="00DB3B6F" w14:paraId="5D8C0213" w14:textId="513BCA23">
      <w:pPr>
        <w:pStyle w:val="ParaNum"/>
      </w:pPr>
      <w:r>
        <w:t xml:space="preserve">As Broadband VI correctly observes, the </w:t>
      </w:r>
      <w:r w:rsidRPr="441EA6F3" w:rsidR="004C3A4C">
        <w:rPr>
          <w:i/>
          <w:iCs/>
        </w:rPr>
        <w:t xml:space="preserve">USVI </w:t>
      </w:r>
      <w:r w:rsidRPr="441EA6F3" w:rsidR="005956A8">
        <w:rPr>
          <w:i/>
          <w:iCs/>
        </w:rPr>
        <w:t>Winner</w:t>
      </w:r>
      <w:r w:rsidRPr="441EA6F3" w:rsidR="004C3A4C">
        <w:rPr>
          <w:i/>
          <w:iCs/>
        </w:rPr>
        <w:t xml:space="preserve"> Public Notice</w:t>
      </w:r>
      <w:r w:rsidR="004C3A4C">
        <w:t xml:space="preserve"> </w:t>
      </w:r>
      <w:r w:rsidR="00FF4982">
        <w:t xml:space="preserve">was </w:t>
      </w:r>
      <w:r w:rsidR="00893955">
        <w:t xml:space="preserve">an intermediate step </w:t>
      </w:r>
      <w:r w:rsidR="00A21229">
        <w:t>taken by the Bureau</w:t>
      </w:r>
      <w:r w:rsidR="00A90913">
        <w:t xml:space="preserve"> announcing that Broadband VI is</w:t>
      </w:r>
      <w:r w:rsidR="006B06D9">
        <w:t xml:space="preserve"> the winner of the application process and explaining the additional steps it must take to be </w:t>
      </w:r>
      <w:r w:rsidR="00A90913">
        <w:t>authorized to rec</w:t>
      </w:r>
      <w:r w:rsidR="000310C4">
        <w:t>eive high-cost support.</w:t>
      </w:r>
      <w:r>
        <w:rPr>
          <w:rStyle w:val="FootnoteReference"/>
        </w:rPr>
        <w:footnoteReference w:id="23"/>
      </w:r>
      <w:r w:rsidR="000310C4">
        <w:t xml:space="preserve">  </w:t>
      </w:r>
      <w:r w:rsidR="006B06D9">
        <w:t>The</w:t>
      </w:r>
      <w:r w:rsidR="005956A8">
        <w:t xml:space="preserve"> </w:t>
      </w:r>
      <w:r w:rsidRPr="441EA6F3" w:rsidR="005956A8">
        <w:rPr>
          <w:i/>
          <w:iCs/>
        </w:rPr>
        <w:t>USVI Winner Public Notice</w:t>
      </w:r>
      <w:r w:rsidR="005956A8">
        <w:t xml:space="preserve"> specifically provide</w:t>
      </w:r>
      <w:r w:rsidR="00FF4982">
        <w:t>d</w:t>
      </w:r>
      <w:r w:rsidR="005956A8">
        <w:t xml:space="preserve"> that</w:t>
      </w:r>
      <w:r w:rsidR="006B06D9">
        <w:t xml:space="preserve"> </w:t>
      </w:r>
      <w:r w:rsidR="005956A8">
        <w:t>Broadband VI must complete</w:t>
      </w:r>
      <w:r w:rsidR="00626FC0">
        <w:t xml:space="preserve"> the application process by </w:t>
      </w:r>
      <w:r w:rsidR="00803FCA">
        <w:t xml:space="preserve">meeting additional legal, financial and technical requirements </w:t>
      </w:r>
      <w:r w:rsidR="00B81EFF">
        <w:t xml:space="preserve">adopted in </w:t>
      </w:r>
      <w:r w:rsidR="00803FCA">
        <w:t xml:space="preserve">the </w:t>
      </w:r>
      <w:r w:rsidRPr="441EA6F3" w:rsidR="00803FCA">
        <w:rPr>
          <w:i/>
          <w:iCs/>
        </w:rPr>
        <w:t>PR-US</w:t>
      </w:r>
      <w:r w:rsidRPr="441EA6F3" w:rsidR="00B81EFF">
        <w:rPr>
          <w:i/>
          <w:iCs/>
        </w:rPr>
        <w:t>VI Stage 2 Order</w:t>
      </w:r>
      <w:r w:rsidR="009852B4">
        <w:t xml:space="preserve"> prior to the Bureau authorizing support</w:t>
      </w:r>
      <w:r w:rsidR="00B81EFF">
        <w:t>.</w:t>
      </w:r>
      <w:r>
        <w:rPr>
          <w:rStyle w:val="FootnoteReference"/>
        </w:rPr>
        <w:footnoteReference w:id="24"/>
      </w:r>
      <w:r w:rsidR="005956A8">
        <w:t xml:space="preserve">  </w:t>
      </w:r>
      <w:r w:rsidR="00FF4982">
        <w:t xml:space="preserve">Had </w:t>
      </w:r>
      <w:r w:rsidR="005956A8">
        <w:t>Broadband</w:t>
      </w:r>
      <w:r w:rsidR="002E367A">
        <w:t xml:space="preserve"> VI</w:t>
      </w:r>
      <w:r w:rsidR="005956A8">
        <w:t xml:space="preserve"> fail</w:t>
      </w:r>
      <w:r w:rsidR="00FF4982">
        <w:t>ed</w:t>
      </w:r>
      <w:r w:rsidR="005956A8">
        <w:t xml:space="preserve"> to meet </w:t>
      </w:r>
      <w:r w:rsidR="006628AE">
        <w:t xml:space="preserve">any of </w:t>
      </w:r>
      <w:r w:rsidR="00FF4982">
        <w:t xml:space="preserve">those </w:t>
      </w:r>
      <w:r w:rsidR="005956A8">
        <w:t xml:space="preserve">additional requirements, the </w:t>
      </w:r>
      <w:r w:rsidR="006B06D9">
        <w:t xml:space="preserve">Commission authorized the </w:t>
      </w:r>
      <w:r w:rsidR="005956A8">
        <w:t xml:space="preserve">Bureau </w:t>
      </w:r>
      <w:r w:rsidR="006B06D9">
        <w:t xml:space="preserve">to </w:t>
      </w:r>
      <w:r w:rsidR="005956A8">
        <w:t>take additional action to award support to a</w:t>
      </w:r>
      <w:r w:rsidR="00C7662E">
        <w:t xml:space="preserve">n alternative </w:t>
      </w:r>
      <w:r w:rsidR="005956A8">
        <w:t>eligible carrier</w:t>
      </w:r>
      <w:r w:rsidR="00C35E70">
        <w:t xml:space="preserve">, </w:t>
      </w:r>
      <w:r w:rsidR="002E7255">
        <w:t xml:space="preserve">explicitly noting </w:t>
      </w:r>
      <w:r w:rsidR="00C35E70">
        <w:t>that “[a]n applicant’s selection as a winning applicant does not guarantee that the applicant will also be deemed qualified to receive Stage 2 support</w:t>
      </w:r>
      <w:r w:rsidR="005956A8">
        <w:t>.</w:t>
      </w:r>
      <w:r w:rsidR="00C35E70">
        <w:t>”</w:t>
      </w:r>
      <w:r>
        <w:rPr>
          <w:rStyle w:val="FootnoteReference"/>
        </w:rPr>
        <w:footnoteReference w:id="25"/>
      </w:r>
      <w:r w:rsidR="00576D62">
        <w:t xml:space="preserve">  The Commission further provided that</w:t>
      </w:r>
      <w:r w:rsidR="009A1ABF">
        <w:t xml:space="preserve"> the phase</w:t>
      </w:r>
      <w:r w:rsidR="00C52C76">
        <w:t>-</w:t>
      </w:r>
      <w:r w:rsidR="009A1ABF">
        <w:t xml:space="preserve">down of frozen support in the U.S. Virgin Islands </w:t>
      </w:r>
      <w:r w:rsidR="00FF4982">
        <w:t xml:space="preserve">would </w:t>
      </w:r>
      <w:r w:rsidR="009A1ABF">
        <w:t xml:space="preserve">not begin until after the authorization of support </w:t>
      </w:r>
      <w:r w:rsidR="00B363AD">
        <w:t>to a winning applicant.</w:t>
      </w:r>
      <w:r>
        <w:rPr>
          <w:rStyle w:val="FootnoteReference"/>
        </w:rPr>
        <w:footnoteReference w:id="26"/>
      </w:r>
      <w:r w:rsidR="00A00D97">
        <w:t xml:space="preserve">  </w:t>
      </w:r>
      <w:r w:rsidR="00500999">
        <w:t xml:space="preserve">Thus, </w:t>
      </w:r>
      <w:r w:rsidR="00C52C76">
        <w:t>Viya is incorrect to claim</w:t>
      </w:r>
      <w:r w:rsidR="00601648">
        <w:t xml:space="preserve"> </w:t>
      </w:r>
      <w:r w:rsidR="00601648">
        <w:t xml:space="preserve">that </w:t>
      </w:r>
      <w:r w:rsidR="008C3C7F">
        <w:t xml:space="preserve">the rights and obligations of the </w:t>
      </w:r>
      <w:r w:rsidR="00797CB8">
        <w:t>applicants ha</w:t>
      </w:r>
      <w:r w:rsidR="00FF4982">
        <w:t>d</w:t>
      </w:r>
      <w:r w:rsidR="00797CB8">
        <w:t xml:space="preserve"> been determined</w:t>
      </w:r>
      <w:r w:rsidR="0041357C">
        <w:t xml:space="preserve"> for Stage 2 support</w:t>
      </w:r>
      <w:r w:rsidR="006124CA">
        <w:t xml:space="preserve"> or that the phase down </w:t>
      </w:r>
      <w:r w:rsidR="0034780D">
        <w:t xml:space="preserve">of existing, frozen support has commenced </w:t>
      </w:r>
      <w:r w:rsidR="00A145F4">
        <w:t>based on the announcement of Broadband VI as the winning applicant.</w:t>
      </w:r>
      <w:r>
        <w:rPr>
          <w:rStyle w:val="FootnoteReference"/>
        </w:rPr>
        <w:footnoteReference w:id="27"/>
      </w:r>
      <w:r w:rsidR="00A145F4">
        <w:t xml:space="preserve">  </w:t>
      </w:r>
      <w:r w:rsidR="00450543">
        <w:t xml:space="preserve">We therefore find that the Bureau’s announcement of Broadband VI as the winning applicant </w:t>
      </w:r>
      <w:r w:rsidR="00FF4982">
        <w:t xml:space="preserve">was </w:t>
      </w:r>
      <w:r w:rsidR="00450543">
        <w:t>not a final action subject to reconsideration.</w:t>
      </w:r>
      <w:r>
        <w:rPr>
          <w:rStyle w:val="FootnoteReference"/>
        </w:rPr>
        <w:footnoteReference w:id="28"/>
      </w:r>
      <w:r w:rsidR="00FF4982">
        <w:t xml:space="preserve">  Because we are concurrently releasing a public notice authorizing support to Broadband VI, Viya is able to file a new petition raising the issues that were premature in the prior filing.  </w:t>
      </w:r>
    </w:p>
    <w:p w:rsidR="00401A23" w:rsidP="00C7662E" w14:paraId="5F388E4F" w14:textId="5423B09A">
      <w:pPr>
        <w:pStyle w:val="ParaNum"/>
      </w:pPr>
      <w:r w:rsidRPr="441EA6F3">
        <w:rPr>
          <w:i/>
          <w:iCs/>
        </w:rPr>
        <w:t xml:space="preserve">Time-Barred Reconsideration </w:t>
      </w:r>
      <w:r w:rsidRPr="441EA6F3" w:rsidR="000E3C4A">
        <w:rPr>
          <w:i/>
          <w:iCs/>
        </w:rPr>
        <w:t xml:space="preserve">of </w:t>
      </w:r>
      <w:r w:rsidR="003B7C9B">
        <w:rPr>
          <w:i/>
          <w:iCs/>
        </w:rPr>
        <w:t>Procedures Public Notice</w:t>
      </w:r>
      <w:r w:rsidR="000E3C4A">
        <w:t xml:space="preserve">.  </w:t>
      </w:r>
      <w:r w:rsidR="0057662A">
        <w:t xml:space="preserve">Second, </w:t>
      </w:r>
      <w:r w:rsidR="006B06D9">
        <w:t xml:space="preserve">to the extent that Viya’s petition </w:t>
      </w:r>
      <w:r w:rsidR="007C7804">
        <w:t>asks us to</w:t>
      </w:r>
      <w:r w:rsidR="006B06D9">
        <w:t xml:space="preserve"> </w:t>
      </w:r>
      <w:r w:rsidR="00635B72">
        <w:t xml:space="preserve">disclose confidential application information as a part of </w:t>
      </w:r>
      <w:r w:rsidR="006B06D9">
        <w:t>reconsider</w:t>
      </w:r>
      <w:r w:rsidR="00626A7C">
        <w:t>ing</w:t>
      </w:r>
      <w:r w:rsidR="006B06D9">
        <w:t xml:space="preserve"> </w:t>
      </w:r>
      <w:r w:rsidR="00626A7C">
        <w:t>our selection</w:t>
      </w:r>
      <w:r w:rsidR="006B06D9">
        <w:t xml:space="preserve">, we deny the petition </w:t>
      </w:r>
      <w:r w:rsidR="00896828">
        <w:t xml:space="preserve">as </w:t>
      </w:r>
      <w:r w:rsidR="0057662A">
        <w:t xml:space="preserve">an untimely petition for reconsideration of the Bureau’s </w:t>
      </w:r>
      <w:r w:rsidRPr="441EA6F3" w:rsidR="0057662A">
        <w:rPr>
          <w:i/>
          <w:iCs/>
        </w:rPr>
        <w:t>Procedures Public Notice</w:t>
      </w:r>
      <w:r w:rsidR="0057662A">
        <w:t>.</w:t>
      </w:r>
      <w:r>
        <w:rPr>
          <w:rStyle w:val="FootnoteReference"/>
        </w:rPr>
        <w:footnoteReference w:id="29"/>
      </w:r>
      <w:r w:rsidR="0057662A">
        <w:t xml:space="preserve">  </w:t>
      </w:r>
      <w:r w:rsidR="00896828">
        <w:t xml:space="preserve">Pursuant to the </w:t>
      </w:r>
      <w:r w:rsidRPr="001F65D1" w:rsidR="00896828">
        <w:rPr>
          <w:i/>
          <w:iCs/>
        </w:rPr>
        <w:t>PR-USVI Stage 2 Order</w:t>
      </w:r>
      <w:r w:rsidR="00896828">
        <w:t xml:space="preserve">, </w:t>
      </w:r>
      <w:r w:rsidR="00F27058">
        <w:t>t</w:t>
      </w:r>
      <w:r w:rsidR="00CC30A6">
        <w:t xml:space="preserve">he Bureau released the </w:t>
      </w:r>
      <w:r w:rsidRPr="441EA6F3" w:rsidR="00CC30A6">
        <w:rPr>
          <w:i/>
          <w:iCs/>
        </w:rPr>
        <w:t>Procedures</w:t>
      </w:r>
      <w:r w:rsidRPr="441EA6F3" w:rsidR="002E367A">
        <w:rPr>
          <w:i/>
          <w:iCs/>
        </w:rPr>
        <w:t xml:space="preserve"> Public Notice</w:t>
      </w:r>
      <w:r w:rsidR="00CC30A6">
        <w:t xml:space="preserve"> </w:t>
      </w:r>
      <w:r w:rsidR="00B67DCB">
        <w:t xml:space="preserve">over a </w:t>
      </w:r>
      <w:r w:rsidR="009852B4">
        <w:t>year ago on February 5, 2020, for the Stage 2 competitive process.</w:t>
      </w:r>
      <w:r>
        <w:rPr>
          <w:rStyle w:val="FootnoteReference"/>
        </w:rPr>
        <w:footnoteReference w:id="30"/>
      </w:r>
      <w:r w:rsidR="009852B4">
        <w:t xml:space="preserve"> </w:t>
      </w:r>
      <w:r w:rsidR="008C0D21">
        <w:t xml:space="preserve"> </w:t>
      </w:r>
      <w:r w:rsidR="0001454A">
        <w:t>In the notice, t</w:t>
      </w:r>
      <w:r w:rsidR="009852B4">
        <w:t xml:space="preserve">he Bureau </w:t>
      </w:r>
      <w:r w:rsidR="0001454A">
        <w:t>provided</w:t>
      </w:r>
      <w:r w:rsidR="009852B4">
        <w:t xml:space="preserve"> that</w:t>
      </w:r>
      <w:r w:rsidR="004C32D3">
        <w:t xml:space="preserve"> it would withhold from the public and other applicants </w:t>
      </w:r>
      <w:r w:rsidR="002B29D7">
        <w:t xml:space="preserve">competitively sensitive and certain other </w:t>
      </w:r>
      <w:r w:rsidR="004C32D3">
        <w:t>application information until at least after</w:t>
      </w:r>
      <w:r w:rsidR="0048130D">
        <w:t xml:space="preserve"> it authorizes</w:t>
      </w:r>
      <w:r w:rsidR="004C32D3">
        <w:t xml:space="preserve"> the winning applicants to receive support.</w:t>
      </w:r>
      <w:r>
        <w:rPr>
          <w:rStyle w:val="FootnoteReference"/>
        </w:rPr>
        <w:footnoteReference w:id="31"/>
      </w:r>
      <w:r w:rsidR="00F43BFB">
        <w:t xml:space="preserve">  The Bureau further </w:t>
      </w:r>
      <w:r w:rsidR="0048130D">
        <w:t xml:space="preserve">barred applicants from </w:t>
      </w:r>
      <w:r w:rsidR="00270012">
        <w:t>“communicating in any manner,” whether explicit or indirect, application information or strategies.</w:t>
      </w:r>
      <w:r>
        <w:rPr>
          <w:rStyle w:val="FootnoteReference"/>
        </w:rPr>
        <w:footnoteReference w:id="32"/>
      </w:r>
      <w:r w:rsidR="00A2617A">
        <w:t xml:space="preserve">  </w:t>
      </w:r>
      <w:r w:rsidR="00797A61">
        <w:t xml:space="preserve">To the extent Viya </w:t>
      </w:r>
      <w:r w:rsidR="006E395D">
        <w:t xml:space="preserve">seeks </w:t>
      </w:r>
      <w:r w:rsidR="00797A61">
        <w:t xml:space="preserve">to alter these procedures by making </w:t>
      </w:r>
      <w:r w:rsidR="000767AE">
        <w:t xml:space="preserve">application </w:t>
      </w:r>
      <w:r w:rsidR="00797A61">
        <w:t xml:space="preserve">information </w:t>
      </w:r>
      <w:r w:rsidR="000767AE">
        <w:t>public</w:t>
      </w:r>
      <w:r w:rsidR="000634DE">
        <w:t xml:space="preserve"> </w:t>
      </w:r>
      <w:r w:rsidR="0057662A">
        <w:t xml:space="preserve">that the </w:t>
      </w:r>
      <w:r w:rsidR="000767AE">
        <w:t xml:space="preserve">Bureau </w:t>
      </w:r>
      <w:r w:rsidR="0057662A">
        <w:t>already decided would be confidential</w:t>
      </w:r>
      <w:r w:rsidR="00345210">
        <w:t>, Viya was required to file a petition for reconsideration of the procedures adopted by the Bureau within 30 days of the p</w:t>
      </w:r>
      <w:r w:rsidR="0063364A">
        <w:t>ublic</w:t>
      </w:r>
      <w:r w:rsidR="00345210">
        <w:t xml:space="preserve">ation of the </w:t>
      </w:r>
      <w:r w:rsidRPr="441EA6F3" w:rsidR="00345210">
        <w:rPr>
          <w:i/>
          <w:iCs/>
        </w:rPr>
        <w:t>Procedures Public Notice</w:t>
      </w:r>
      <w:r w:rsidR="00345210">
        <w:t>, which was March 6, 2020</w:t>
      </w:r>
      <w:r w:rsidR="00270012">
        <w:t>.</w:t>
      </w:r>
      <w:r>
        <w:rPr>
          <w:rStyle w:val="FootnoteReference"/>
        </w:rPr>
        <w:footnoteReference w:id="33"/>
      </w:r>
      <w:r w:rsidR="00270012">
        <w:t xml:space="preserve">  </w:t>
      </w:r>
      <w:r w:rsidR="006258AC">
        <w:t>Viya</w:t>
      </w:r>
      <w:r w:rsidR="00926F53">
        <w:t>, however, did not</w:t>
      </w:r>
      <w:r w:rsidR="006258AC">
        <w:t xml:space="preserve"> </w:t>
      </w:r>
      <w:r w:rsidR="009269B6">
        <w:t xml:space="preserve">seek reconsideration of the </w:t>
      </w:r>
      <w:r w:rsidRPr="00707CA5" w:rsidR="006743AA">
        <w:rPr>
          <w:i/>
          <w:iCs/>
        </w:rPr>
        <w:t>Procedures Public Notice</w:t>
      </w:r>
      <w:r w:rsidR="00104977">
        <w:t xml:space="preserve"> prior to the instant </w:t>
      </w:r>
      <w:r w:rsidR="007A3326">
        <w:t xml:space="preserve">Reconsideration Petition filed on December 16, 2020, </w:t>
      </w:r>
      <w:r w:rsidR="00AA497D">
        <w:t>approx</w:t>
      </w:r>
      <w:r w:rsidR="009E33BA">
        <w:t>imately</w:t>
      </w:r>
      <w:r w:rsidR="00AA497D">
        <w:t xml:space="preserve"> </w:t>
      </w:r>
      <w:r w:rsidR="009D37EF">
        <w:t xml:space="preserve">eight months </w:t>
      </w:r>
      <w:r w:rsidR="00B67DCB">
        <w:t xml:space="preserve">beyond </w:t>
      </w:r>
      <w:r w:rsidR="009D37EF">
        <w:t xml:space="preserve">the time to challenge the </w:t>
      </w:r>
      <w:r w:rsidR="00D0436A">
        <w:t>confidentiality rules and prohibited communications</w:t>
      </w:r>
      <w:r w:rsidR="00B822BB">
        <w:t xml:space="preserve"> rules.</w:t>
      </w:r>
      <w:r w:rsidR="000816BD">
        <w:t xml:space="preserve">  We reiterate that after we authorize support to the winning applicant, we will make the “final overall application scores for all applicants available for public viewing.”</w:t>
      </w:r>
      <w:r>
        <w:rPr>
          <w:rStyle w:val="FootnoteReference"/>
        </w:rPr>
        <w:footnoteReference w:id="34"/>
      </w:r>
      <w:r w:rsidR="000816BD">
        <w:t xml:space="preserve">  </w:t>
      </w:r>
    </w:p>
    <w:p w:rsidR="00E41DC1" w:rsidP="00353C52" w14:paraId="3B941849" w14:textId="77777777">
      <w:pPr>
        <w:pStyle w:val="Heading1"/>
      </w:pPr>
      <w:r>
        <w:t>ordering clauses</w:t>
      </w:r>
    </w:p>
    <w:p w:rsidR="00037660" w:rsidP="00037660" w14:paraId="3B747120"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w:t>
      </w:r>
      <w:r w:rsidR="00695B92">
        <w:t>106</w:t>
      </w:r>
      <w:r w:rsidRPr="0019242C">
        <w:t xml:space="preserve"> of the Commission’s rules, 47 CFR §§ 0.91, 0.291,</w:t>
      </w:r>
      <w:r>
        <w:t xml:space="preserve"> </w:t>
      </w:r>
      <w:r w:rsidRPr="0019242C">
        <w:t>1.</w:t>
      </w:r>
      <w:r w:rsidR="00695B92">
        <w:t>106</w:t>
      </w:r>
      <w:r w:rsidRPr="0019242C">
        <w:t>, that this Order IS ADOPTED.</w:t>
      </w:r>
    </w:p>
    <w:p w:rsidR="00037660" w:rsidP="00037660" w14:paraId="7D24B2D6" w14:textId="77777777">
      <w:pPr>
        <w:pStyle w:val="ParaNum"/>
      </w:pPr>
      <w:r>
        <w:t xml:space="preserve">IT IS FURTHER ORDERED that the Petition for Reconsideration filed by Virgin Islands Telephone Corp. on </w:t>
      </w:r>
      <w:r w:rsidR="00A826CB">
        <w:t xml:space="preserve">December </w:t>
      </w:r>
      <w:r w:rsidR="008F1EAF">
        <w:t>16</w:t>
      </w:r>
      <w:r>
        <w:t xml:space="preserve">, 2020 is </w:t>
      </w:r>
      <w:r w:rsidR="008F1EAF">
        <w:t>DENIED.</w:t>
      </w:r>
    </w:p>
    <w:p w:rsidR="00092971" w:rsidP="00037660" w14:paraId="03EDB042" w14:textId="6032CB04">
      <w:pPr>
        <w:pStyle w:val="ParaNum"/>
      </w:pPr>
      <w:r w:rsidRPr="00935F41">
        <w:t xml:space="preserve">IT IS FURTHER ORDERED that the </w:t>
      </w:r>
      <w:r w:rsidR="008A03B4">
        <w:t>Petition for Stay</w:t>
      </w:r>
      <w:r>
        <w:t xml:space="preserve"> </w:t>
      </w:r>
      <w:r w:rsidRPr="00935F41">
        <w:t xml:space="preserve">filed by </w:t>
      </w:r>
      <w:r w:rsidR="00D63870">
        <w:t>Virgin Islands Telephone Corp. on December 16, 2020 is DISMISSED AS MOOT</w:t>
      </w:r>
      <w:r>
        <w:t>.</w:t>
      </w:r>
      <w:r w:rsidR="002B70A0">
        <w:t xml:space="preserve"> </w:t>
      </w:r>
    </w:p>
    <w:p w:rsidR="00092971" w14:paraId="17A32F5F" w14:textId="77777777">
      <w:pPr>
        <w:widowControl/>
      </w:pPr>
      <w:r>
        <w:br w:type="page"/>
      </w:r>
    </w:p>
    <w:p w:rsidR="00037660" w:rsidP="00037660" w14:paraId="508F98D6" w14:textId="0CE0D24A">
      <w:pPr>
        <w:pStyle w:val="ParaNum"/>
      </w:pPr>
      <w:r w:rsidRPr="0019242C">
        <w:t>IT IS FURTHER ORDERED that, pursuant to section 1.102(b)(1) of the Commission’s rules, 47 CFR § 1.102(b)(1), this Order SHALL BE EFFECTIVE upon release.</w:t>
      </w:r>
      <w:r w:rsidR="00C254F0">
        <w:br/>
      </w:r>
    </w:p>
    <w:p w:rsidR="00037660" w:rsidP="00037660" w14:paraId="2FE720CF" w14:textId="77777777">
      <w:pPr>
        <w:pStyle w:val="ParaNum"/>
        <w:numPr>
          <w:ilvl w:val="0"/>
          <w:numId w:val="0"/>
        </w:numPr>
        <w:spacing w:after="0"/>
        <w:ind w:left="2880" w:firstLine="1440"/>
      </w:pPr>
      <w:r>
        <w:t>FEDERAL COMMUNICATIONS COMMISSION</w:t>
      </w:r>
    </w:p>
    <w:p w:rsidR="00037660" w:rsidP="00037660" w14:paraId="50E28196" w14:textId="77777777">
      <w:pPr>
        <w:pStyle w:val="ParaNum"/>
        <w:numPr>
          <w:ilvl w:val="0"/>
          <w:numId w:val="0"/>
        </w:numPr>
        <w:spacing w:after="0"/>
        <w:ind w:left="720"/>
      </w:pPr>
    </w:p>
    <w:p w:rsidR="00037660" w:rsidP="00037660" w14:paraId="1C922FE9" w14:textId="77777777">
      <w:pPr>
        <w:pStyle w:val="ParaNum"/>
        <w:numPr>
          <w:ilvl w:val="0"/>
          <w:numId w:val="0"/>
        </w:numPr>
        <w:spacing w:after="0"/>
        <w:ind w:left="720"/>
      </w:pPr>
    </w:p>
    <w:p w:rsidR="00037660" w:rsidP="00037660" w14:paraId="2F44BE02" w14:textId="77777777">
      <w:pPr>
        <w:pStyle w:val="ParaNum"/>
        <w:numPr>
          <w:ilvl w:val="0"/>
          <w:numId w:val="0"/>
        </w:numPr>
        <w:spacing w:after="0"/>
        <w:ind w:left="720"/>
      </w:pPr>
    </w:p>
    <w:p w:rsidR="00037660" w:rsidP="00037660" w14:paraId="7B3A2DB0" w14:textId="77777777">
      <w:pPr>
        <w:pStyle w:val="ParaNum"/>
        <w:numPr>
          <w:ilvl w:val="0"/>
          <w:numId w:val="0"/>
        </w:numPr>
        <w:spacing w:after="0"/>
        <w:ind w:left="720"/>
      </w:pPr>
    </w:p>
    <w:p w:rsidR="00037660" w:rsidP="00037660" w14:paraId="01F7A669" w14:textId="77777777">
      <w:pPr>
        <w:pStyle w:val="ParaNum"/>
        <w:numPr>
          <w:ilvl w:val="0"/>
          <w:numId w:val="0"/>
        </w:numPr>
        <w:spacing w:after="0"/>
        <w:ind w:left="720"/>
      </w:pPr>
      <w:r>
        <w:tab/>
      </w:r>
      <w:r>
        <w:tab/>
      </w:r>
      <w:r>
        <w:tab/>
      </w:r>
      <w:r>
        <w:tab/>
      </w:r>
      <w:r>
        <w:tab/>
        <w:t>Kris Anne Monteith</w:t>
      </w:r>
    </w:p>
    <w:p w:rsidR="00037660" w:rsidP="00037660" w14:paraId="14B7CC29" w14:textId="77777777">
      <w:pPr>
        <w:pStyle w:val="ParaNum"/>
        <w:numPr>
          <w:ilvl w:val="0"/>
          <w:numId w:val="0"/>
        </w:numPr>
        <w:spacing w:after="0"/>
        <w:ind w:left="720"/>
      </w:pPr>
      <w:r>
        <w:tab/>
      </w:r>
      <w:r>
        <w:tab/>
      </w:r>
      <w:r>
        <w:tab/>
      </w:r>
      <w:r>
        <w:tab/>
      </w:r>
      <w:r>
        <w:tab/>
        <w:t>Chief</w:t>
      </w:r>
    </w:p>
    <w:p w:rsidR="00037660" w:rsidRPr="00037660" w:rsidP="00333EF7" w14:paraId="67142781" w14:textId="3B932FE3">
      <w:pPr>
        <w:pStyle w:val="ParaNum"/>
        <w:numPr>
          <w:ilvl w:val="0"/>
          <w:numId w:val="0"/>
        </w:numPr>
        <w:spacing w:after="0"/>
        <w:ind w:left="720"/>
      </w:pPr>
      <w:r>
        <w:tab/>
      </w:r>
      <w:r>
        <w:tab/>
      </w:r>
      <w:r>
        <w:tab/>
      </w:r>
      <w:r>
        <w:tab/>
      </w:r>
      <w:r>
        <w:tab/>
        <w:t>Wireline Competition Bureau</w:t>
      </w:r>
    </w:p>
    <w:sectPr w:rsidSect="0055614C">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DB1" w:rsidP="0055614C" w14:paraId="2C54B5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273DB1" w14:paraId="48C1B5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DB1" w14:paraId="3E54B50A"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44F2" w14:paraId="3CD54579" w14:textId="77777777">
      <w:r>
        <w:separator/>
      </w:r>
    </w:p>
  </w:footnote>
  <w:footnote w:type="continuationSeparator" w:id="1">
    <w:p w:rsidR="00A944F2" w:rsidP="00C721AC" w14:paraId="4123FF01" w14:textId="77777777">
      <w:pPr>
        <w:spacing w:before="120"/>
        <w:rPr>
          <w:sz w:val="20"/>
        </w:rPr>
      </w:pPr>
      <w:r>
        <w:rPr>
          <w:sz w:val="20"/>
        </w:rPr>
        <w:t xml:space="preserve">(Continued from previous page)  </w:t>
      </w:r>
      <w:r>
        <w:rPr>
          <w:sz w:val="20"/>
        </w:rPr>
        <w:separator/>
      </w:r>
    </w:p>
  </w:footnote>
  <w:footnote w:type="continuationNotice" w:id="2">
    <w:p w:rsidR="00A944F2" w:rsidP="00C721AC" w14:paraId="584DBCCD" w14:textId="77777777">
      <w:pPr>
        <w:jc w:val="right"/>
        <w:rPr>
          <w:sz w:val="20"/>
        </w:rPr>
      </w:pPr>
      <w:r>
        <w:rPr>
          <w:sz w:val="20"/>
        </w:rPr>
        <w:t>(continued….)</w:t>
      </w:r>
    </w:p>
  </w:footnote>
  <w:footnote w:id="3">
    <w:p w:rsidR="00A977A2" w14:paraId="3D29E3CF" w14:textId="4B453FDC">
      <w:pPr>
        <w:pStyle w:val="FootnoteText"/>
      </w:pPr>
      <w:r>
        <w:rPr>
          <w:rStyle w:val="FootnoteReference"/>
        </w:rPr>
        <w:footnoteRef/>
      </w:r>
      <w:r>
        <w:t xml:space="preserve"> Petition for Reconsideration by Virgin Islands Telephone Corp. (Viya), WC Dockets No. 18-143 et al. (filed Dec. 16, 2020) (Reconsideration Petition); </w:t>
      </w:r>
      <w:r w:rsidRPr="002F216E">
        <w:rPr>
          <w:i/>
          <w:iCs/>
        </w:rPr>
        <w:t>Wireline Competition Bureau Announces Winning Applicants for the Connect USVI Fund Stage 2 Competitive Process</w:t>
      </w:r>
      <w:r>
        <w:t xml:space="preserve">, </w:t>
      </w:r>
      <w:r w:rsidR="00AE0E16">
        <w:t xml:space="preserve">Public Notice, </w:t>
      </w:r>
      <w:r>
        <w:t xml:space="preserve">35 FCC </w:t>
      </w:r>
      <w:r>
        <w:t>Rcd</w:t>
      </w:r>
      <w:r>
        <w:t xml:space="preserve"> 12921 (WCB 2020) (</w:t>
      </w:r>
      <w:r w:rsidRPr="009E60E3">
        <w:rPr>
          <w:i/>
          <w:iCs/>
        </w:rPr>
        <w:t xml:space="preserve">USVI </w:t>
      </w:r>
      <w:r w:rsidRPr="00C55907">
        <w:rPr>
          <w:i/>
          <w:iCs/>
        </w:rPr>
        <w:t>Winner Public Notice</w:t>
      </w:r>
      <w:r>
        <w:t>).</w:t>
      </w:r>
      <w:r w:rsidR="00C32958">
        <w:t xml:space="preserve"> </w:t>
      </w:r>
      <w:r w:rsidRPr="00C32958" w:rsidR="00C32958">
        <w:t xml:space="preserve"> </w:t>
      </w:r>
      <w:r w:rsidR="00C32958">
        <w:t xml:space="preserve">Viya contemporaneously filed a petition to stay the authorization of support for Broadband VI pending the resolution of the Viya Reconsideration Petition.  Petition for Stay by Viya, WC Dockets No. 18-143 et al. (filed Dec. 16, 2020).  In determining whether to grant a stay, the Bureau considers, among other things, whether the petitioner will likely succeed on the merits.  </w:t>
      </w:r>
      <w:r w:rsidRPr="008A1886" w:rsidR="00C32958">
        <w:rPr>
          <w:i/>
          <w:iCs/>
        </w:rPr>
        <w:t>See generally Iowa Utilities Bd. v. FCC</w:t>
      </w:r>
      <w:r w:rsidR="00C32958">
        <w:t xml:space="preserve">, 109 F.3d 418 (8th Cir. 1996).  </w:t>
      </w:r>
      <w:r w:rsidR="00C32958">
        <w:t>In light of</w:t>
      </w:r>
      <w:r w:rsidR="00C32958">
        <w:t xml:space="preserve"> our denial of Viya’s Reconsideration Petition, we dismiss Viya’s Petition for Stay as moot. </w:t>
      </w:r>
    </w:p>
  </w:footnote>
  <w:footnote w:id="4">
    <w:p w:rsidR="00BF6163" w:rsidP="00BF6163" w14:paraId="50C41DDD" w14:textId="046E44D3">
      <w:pPr>
        <w:pStyle w:val="FootnoteText"/>
      </w:pPr>
      <w:r>
        <w:rPr>
          <w:rStyle w:val="FootnoteReference"/>
        </w:rPr>
        <w:footnoteRef/>
      </w:r>
      <w:r>
        <w:t xml:space="preserve"> </w:t>
      </w:r>
      <w:r w:rsidRPr="0085569A">
        <w:rPr>
          <w:i/>
          <w:iCs/>
        </w:rPr>
        <w:t>Connect USVI Fund Stage 2 Support Authorized for Broadband VI</w:t>
      </w:r>
      <w:r>
        <w:t>, Public Notice, WC Docket Nos. 18-143, 10-90 (</w:t>
      </w:r>
      <w:r w:rsidR="00DD4137">
        <w:t xml:space="preserve">WCB </w:t>
      </w:r>
      <w:r>
        <w:t xml:space="preserve">rel. </w:t>
      </w:r>
      <w:r w:rsidRPr="009930C5" w:rsidR="001F19E4">
        <w:t>Jun</w:t>
      </w:r>
      <w:r w:rsidR="009930C5">
        <w:t>e</w:t>
      </w:r>
      <w:r w:rsidRPr="009930C5">
        <w:t xml:space="preserve"> </w:t>
      </w:r>
      <w:r w:rsidR="009930C5">
        <w:t>8</w:t>
      </w:r>
      <w:r w:rsidRPr="009930C5">
        <w:t>, 2021</w:t>
      </w:r>
      <w:r>
        <w:t>).</w:t>
      </w:r>
    </w:p>
  </w:footnote>
  <w:footnote w:id="5">
    <w:p w:rsidR="00A977A2" w:rsidP="00F361EE" w14:paraId="49F4CD70" w14:textId="77777777">
      <w:pPr>
        <w:pStyle w:val="FootnoteText"/>
      </w:pPr>
      <w:r>
        <w:rPr>
          <w:rStyle w:val="FootnoteReference"/>
        </w:rPr>
        <w:footnoteRef/>
      </w:r>
      <w:r>
        <w:t xml:space="preserve"> </w:t>
      </w:r>
      <w:r w:rsidRPr="000A6055">
        <w:rPr>
          <w:i/>
          <w:iCs/>
        </w:rPr>
        <w:t xml:space="preserve">The </w:t>
      </w:r>
      <w:r w:rsidRPr="000A6055">
        <w:rPr>
          <w:i/>
          <w:iCs/>
        </w:rPr>
        <w:t>Uniendo</w:t>
      </w:r>
      <w:r w:rsidRPr="000A6055">
        <w:rPr>
          <w:i/>
          <w:iCs/>
        </w:rPr>
        <w:t xml:space="preserve"> a Puerto Rico Fund and the </w:t>
      </w:r>
      <w:r>
        <w:rPr>
          <w:i/>
          <w:iCs/>
        </w:rPr>
        <w:t>C</w:t>
      </w:r>
      <w:r w:rsidRPr="000A6055">
        <w:rPr>
          <w:i/>
          <w:iCs/>
        </w:rPr>
        <w:t>onnect USVI Fund</w:t>
      </w:r>
      <w:r>
        <w:t xml:space="preserve">, Report and Order and Order on Reconsideration, 34 FCC </w:t>
      </w:r>
      <w:r>
        <w:t>Rcd</w:t>
      </w:r>
      <w:r>
        <w:t xml:space="preserve"> 9109 (2019) (</w:t>
      </w:r>
      <w:r w:rsidRPr="000A6055">
        <w:rPr>
          <w:i/>
          <w:iCs/>
        </w:rPr>
        <w:t>PR-USVI Stage 2 Order</w:t>
      </w:r>
      <w:r>
        <w:t>).</w:t>
      </w:r>
    </w:p>
  </w:footnote>
  <w:footnote w:id="6">
    <w:p w:rsidR="00A977A2" w:rsidP="00F361EE" w14:paraId="4F7A1C33" w14:textId="6551C433">
      <w:pPr>
        <w:pStyle w:val="FootnoteText"/>
      </w:pPr>
      <w:r>
        <w:rPr>
          <w:rStyle w:val="FootnoteReference"/>
        </w:rPr>
        <w:footnoteRef/>
      </w:r>
      <w:r>
        <w:t xml:space="preserve"> </w:t>
      </w:r>
      <w:r w:rsidRPr="001956D9">
        <w:rPr>
          <w:i/>
        </w:rPr>
        <w:t>PR-USVI</w:t>
      </w:r>
      <w:r>
        <w:rPr>
          <w:i/>
        </w:rPr>
        <w:t xml:space="preserve"> Stage 2 </w:t>
      </w:r>
      <w:r w:rsidRPr="001956D9">
        <w:rPr>
          <w:i/>
        </w:rPr>
        <w:t>Order</w:t>
      </w:r>
      <w:r>
        <w:t xml:space="preserve">, 34 FCC </w:t>
      </w:r>
      <w:r>
        <w:t>Rcd</w:t>
      </w:r>
      <w:r>
        <w:t xml:space="preserve"> at 9114-15, para. 11.</w:t>
      </w:r>
    </w:p>
  </w:footnote>
  <w:footnote w:id="7">
    <w:p w:rsidR="00A977A2" w:rsidP="00F361EE" w14:paraId="1A98BA8E" w14:textId="77777777">
      <w:pPr>
        <w:pStyle w:val="FootnoteText"/>
      </w:pPr>
      <w:r>
        <w:rPr>
          <w:rStyle w:val="FootnoteReference"/>
        </w:rPr>
        <w:footnoteRef/>
      </w:r>
      <w:r>
        <w:t xml:space="preserve"> </w:t>
      </w:r>
      <w:r>
        <w:rPr>
          <w:i/>
          <w:iCs/>
        </w:rPr>
        <w:t>Id.</w:t>
      </w:r>
      <w:r>
        <w:t xml:space="preserve"> at 9141, para. 53.</w:t>
      </w:r>
    </w:p>
  </w:footnote>
  <w:footnote w:id="8">
    <w:p w:rsidR="00A977A2" w:rsidP="00F361EE" w14:paraId="70398DE2" w14:textId="10121487">
      <w:pPr>
        <w:pStyle w:val="FootnoteText"/>
      </w:pPr>
      <w:r>
        <w:rPr>
          <w:rStyle w:val="FootnoteReference"/>
        </w:rPr>
        <w:footnoteRef/>
      </w:r>
      <w:r>
        <w:t xml:space="preserve"> </w:t>
      </w:r>
      <w:r>
        <w:rPr>
          <w:i/>
        </w:rPr>
        <w:t>Id.</w:t>
      </w:r>
      <w:r>
        <w:t xml:space="preserve"> at 9116</w:t>
      </w:r>
      <w:r w:rsidR="00C16366">
        <w:t>-17</w:t>
      </w:r>
      <w:r>
        <w:t>, para</w:t>
      </w:r>
      <w:r w:rsidR="00FA3BFE">
        <w:t>s</w:t>
      </w:r>
      <w:r>
        <w:t>. 13</w:t>
      </w:r>
      <w:r w:rsidR="00FA3BFE">
        <w:t>-14</w:t>
      </w:r>
      <w:r>
        <w:t xml:space="preserve">; </w:t>
      </w:r>
      <w:r w:rsidRPr="006E1035">
        <w:rPr>
          <w:i/>
          <w:iCs/>
        </w:rPr>
        <w:t>Uniendo</w:t>
      </w:r>
      <w:r w:rsidRPr="006E1035">
        <w:rPr>
          <w:i/>
          <w:iCs/>
        </w:rPr>
        <w:t xml:space="preserve"> A Puerto Rico Fund and Connect USVI Fund Notice and Filing Requirements and Other Procedures for Stage 2 Fixed Competitive Proposal Process</w:t>
      </w:r>
      <w:r>
        <w:t xml:space="preserve">, Public Notice, WC Docket Nos. 18-143, 10-90, 35 FCC </w:t>
      </w:r>
      <w:r>
        <w:t>Rcd</w:t>
      </w:r>
      <w:r>
        <w:t xml:space="preserve"> 218, 220, 252-55, paras. 2, 124-34 (2020) (</w:t>
      </w:r>
      <w:r>
        <w:rPr>
          <w:i/>
          <w:iCs/>
        </w:rPr>
        <w:t>Procedures Public Notice</w:t>
      </w:r>
      <w:r>
        <w:t>).</w:t>
      </w:r>
    </w:p>
  </w:footnote>
  <w:footnote w:id="9">
    <w:p w:rsidR="00A977A2" w:rsidP="00FA2C54" w14:paraId="6B050F0F" w14:textId="77777777">
      <w:pPr>
        <w:pStyle w:val="FootnoteText"/>
      </w:pPr>
      <w:r>
        <w:rPr>
          <w:rStyle w:val="FootnoteReference"/>
        </w:rPr>
        <w:footnoteRef/>
      </w:r>
      <w:r>
        <w:t xml:space="preserve"> </w:t>
      </w:r>
      <w:r w:rsidRPr="441EA6F3">
        <w:rPr>
          <w:i/>
          <w:iCs/>
        </w:rPr>
        <w:t>PR-USVI Stage 2 Order</w:t>
      </w:r>
      <w:r>
        <w:t xml:space="preserve">, 34 FCC </w:t>
      </w:r>
      <w:r>
        <w:t>Rcd</w:t>
      </w:r>
      <w:r>
        <w:t xml:space="preserve"> at 9114, 9117, 9135, paras. 10, 14, 41; </w:t>
      </w:r>
      <w:r w:rsidRPr="441EA6F3">
        <w:rPr>
          <w:i/>
          <w:iCs/>
        </w:rPr>
        <w:t>see also</w:t>
      </w:r>
      <w:r>
        <w:t xml:space="preserve"> </w:t>
      </w:r>
      <w:r w:rsidRPr="441EA6F3">
        <w:rPr>
          <w:i/>
          <w:iCs/>
        </w:rPr>
        <w:t>Procedures Public Notice</w:t>
      </w:r>
      <w:r>
        <w:t xml:space="preserve">, 35 FCC </w:t>
      </w:r>
      <w:r>
        <w:t>Rcd</w:t>
      </w:r>
      <w:r>
        <w:t xml:space="preserve"> at 252-55, paras. 124-134.</w:t>
      </w:r>
    </w:p>
  </w:footnote>
  <w:footnote w:id="10">
    <w:p w:rsidR="00A977A2" w14:paraId="25FBCF17" w14:textId="10D87AC8">
      <w:pPr>
        <w:pStyle w:val="FootnoteText"/>
      </w:pPr>
      <w:r>
        <w:rPr>
          <w:rStyle w:val="FootnoteReference"/>
        </w:rPr>
        <w:footnoteRef/>
      </w:r>
      <w:r>
        <w:t xml:space="preserve"> </w:t>
      </w:r>
      <w:r w:rsidRPr="441EA6F3" w:rsidR="005D25B5">
        <w:rPr>
          <w:i/>
          <w:iCs/>
        </w:rPr>
        <w:t>PR-USVI Stage 2 Order</w:t>
      </w:r>
      <w:r w:rsidR="005D25B5">
        <w:t xml:space="preserve">, 34 FCC </w:t>
      </w:r>
      <w:r w:rsidR="005D25B5">
        <w:t>Rcd</w:t>
      </w:r>
      <w:r w:rsidRPr="00A92D61" w:rsidR="00A92D61">
        <w:t xml:space="preserve"> </w:t>
      </w:r>
      <w:r w:rsidR="00A92D61">
        <w:t>at 9134, para. 39.</w:t>
      </w:r>
    </w:p>
  </w:footnote>
  <w:footnote w:id="11">
    <w:p w:rsidR="00A977A2" w14:paraId="48447395" w14:textId="110BC532">
      <w:pPr>
        <w:pStyle w:val="FootnoteText"/>
      </w:pPr>
      <w:r>
        <w:rPr>
          <w:rStyle w:val="FootnoteReference"/>
        </w:rPr>
        <w:footnoteRef/>
      </w:r>
      <w:r>
        <w:t xml:space="preserve"> </w:t>
      </w:r>
      <w:r w:rsidRPr="00382EF0">
        <w:rPr>
          <w:i/>
          <w:iCs/>
        </w:rPr>
        <w:t xml:space="preserve">Wireline Competition Bureau Announces Applications Submitted to Participate in </w:t>
      </w:r>
      <w:r w:rsidRPr="00382EF0">
        <w:rPr>
          <w:i/>
          <w:iCs/>
        </w:rPr>
        <w:t>Uniendo</w:t>
      </w:r>
      <w:r w:rsidRPr="00382EF0">
        <w:rPr>
          <w:i/>
          <w:iCs/>
        </w:rPr>
        <w:t xml:space="preserve"> a Puerto Rico Fund and Connect USVI Fund Stage 2 Fixed Competitive Proposal Process</w:t>
      </w:r>
      <w:r>
        <w:t xml:space="preserve">, 35 FCC </w:t>
      </w:r>
      <w:r>
        <w:t>Rcd</w:t>
      </w:r>
      <w:r>
        <w:t xml:space="preserve"> 10341, 10342 (WCB 2020).</w:t>
      </w:r>
    </w:p>
  </w:footnote>
  <w:footnote w:id="12">
    <w:p w:rsidR="00A977A2" w14:paraId="0512E6E3" w14:textId="77777777">
      <w:pPr>
        <w:pStyle w:val="FootnoteText"/>
      </w:pPr>
      <w:r>
        <w:rPr>
          <w:rStyle w:val="FootnoteReference"/>
        </w:rPr>
        <w:footnoteRef/>
      </w:r>
      <w:r>
        <w:t xml:space="preserve"> </w:t>
      </w:r>
      <w:r w:rsidRPr="001956D9" w:rsidR="0054657C">
        <w:rPr>
          <w:i/>
        </w:rPr>
        <w:t>PR-USVI</w:t>
      </w:r>
      <w:r w:rsidR="0054657C">
        <w:rPr>
          <w:i/>
        </w:rPr>
        <w:t xml:space="preserve"> Stage 2 </w:t>
      </w:r>
      <w:r w:rsidRPr="001956D9" w:rsidR="0054657C">
        <w:rPr>
          <w:i/>
        </w:rPr>
        <w:t>Order</w:t>
      </w:r>
      <w:r w:rsidR="0054657C">
        <w:rPr>
          <w:i/>
        </w:rPr>
        <w:t>,</w:t>
      </w:r>
      <w:r w:rsidR="0054657C">
        <w:rPr>
          <w:iCs/>
        </w:rPr>
        <w:t xml:space="preserve"> 34 FCC </w:t>
      </w:r>
      <w:r w:rsidR="0054657C">
        <w:rPr>
          <w:iCs/>
        </w:rPr>
        <w:t>Rcd</w:t>
      </w:r>
      <w:r w:rsidR="0054657C">
        <w:t xml:space="preserve"> at 91</w:t>
      </w:r>
      <w:r w:rsidR="00AE4D72">
        <w:t>3</w:t>
      </w:r>
      <w:r w:rsidR="006632E0">
        <w:t>5</w:t>
      </w:r>
      <w:r>
        <w:t>, para. 42 (directing the Bureau to release a public notice announcing the winning applicant).</w:t>
      </w:r>
    </w:p>
  </w:footnote>
  <w:footnote w:id="13">
    <w:p w:rsidR="00A977A2" w14:paraId="41303814" w14:textId="4263E830">
      <w:pPr>
        <w:pStyle w:val="FootnoteText"/>
      </w:pPr>
      <w:r>
        <w:rPr>
          <w:rStyle w:val="FootnoteReference"/>
        </w:rPr>
        <w:footnoteRef/>
      </w:r>
      <w:r>
        <w:t xml:space="preserve"> </w:t>
      </w:r>
      <w:r w:rsidR="00382EF0">
        <w:rPr>
          <w:i/>
          <w:iCs/>
        </w:rPr>
        <w:t xml:space="preserve">USVI </w:t>
      </w:r>
      <w:r w:rsidRPr="00D56344">
        <w:rPr>
          <w:i/>
          <w:iCs/>
        </w:rPr>
        <w:t>Winner Public Notice</w:t>
      </w:r>
      <w:r>
        <w:t xml:space="preserve">, 35 FCC </w:t>
      </w:r>
      <w:r>
        <w:t>Rcd</w:t>
      </w:r>
      <w:r>
        <w:t xml:space="preserve"> at 12921, para. 1.</w:t>
      </w:r>
    </w:p>
  </w:footnote>
  <w:footnote w:id="14">
    <w:p w:rsidR="00A977A2" w14:paraId="71E43825" w14:textId="1A1AB948">
      <w:pPr>
        <w:pStyle w:val="FootnoteText"/>
      </w:pPr>
      <w:r>
        <w:rPr>
          <w:rStyle w:val="FootnoteReference"/>
        </w:rPr>
        <w:footnoteRef/>
      </w:r>
      <w:r>
        <w:t xml:space="preserve"> </w:t>
      </w:r>
      <w:r w:rsidRPr="001F65D1" w:rsidR="00F93F93">
        <w:rPr>
          <w:i/>
          <w:iCs/>
        </w:rPr>
        <w:t>PR-USVI Stage 2 Order</w:t>
      </w:r>
      <w:r w:rsidR="00F93F93">
        <w:t xml:space="preserve">, 34 FCC </w:t>
      </w:r>
      <w:r w:rsidR="00F93F93">
        <w:t>Rcd</w:t>
      </w:r>
      <w:r w:rsidR="00F93F93">
        <w:t xml:space="preserve"> at </w:t>
      </w:r>
      <w:r w:rsidR="0095145C">
        <w:t xml:space="preserve">9133-34, para. 39; </w:t>
      </w:r>
      <w:r w:rsidR="00F93F93">
        <w:rPr>
          <w:i/>
          <w:iCs/>
        </w:rPr>
        <w:t xml:space="preserve">USVI </w:t>
      </w:r>
      <w:r w:rsidRPr="00D56344" w:rsidR="00F93F93">
        <w:rPr>
          <w:i/>
          <w:iCs/>
        </w:rPr>
        <w:t>Winner Public Notice</w:t>
      </w:r>
      <w:r w:rsidR="00F93F93">
        <w:t xml:space="preserve">, 35 FCC </w:t>
      </w:r>
      <w:r w:rsidR="00F93F93">
        <w:t>Rcd</w:t>
      </w:r>
      <w:r w:rsidR="00F93F93">
        <w:t xml:space="preserve"> </w:t>
      </w:r>
      <w:r>
        <w:t>at 12921-24, paras. 3, 5-12.</w:t>
      </w:r>
    </w:p>
  </w:footnote>
  <w:footnote w:id="15">
    <w:p w:rsidR="00A977A2" w14:paraId="5B4ADE53" w14:textId="0BFB67E6">
      <w:pPr>
        <w:pStyle w:val="FootnoteText"/>
      </w:pPr>
      <w:r>
        <w:rPr>
          <w:rStyle w:val="FootnoteReference"/>
        </w:rPr>
        <w:footnoteRef/>
      </w:r>
      <w:r>
        <w:t xml:space="preserve"> Reconsideration Petition at 1-2.</w:t>
      </w:r>
    </w:p>
  </w:footnote>
  <w:footnote w:id="16">
    <w:p w:rsidR="00A977A2" w14:paraId="623FEBCB" w14:textId="77777777">
      <w:pPr>
        <w:pStyle w:val="FootnoteText"/>
      </w:pPr>
      <w:r>
        <w:rPr>
          <w:rStyle w:val="FootnoteReference"/>
        </w:rPr>
        <w:footnoteRef/>
      </w:r>
      <w:r>
        <w:t xml:space="preserve"> </w:t>
      </w:r>
      <w:r w:rsidRPr="006101B1">
        <w:rPr>
          <w:i/>
          <w:iCs/>
        </w:rPr>
        <w:t>Id</w:t>
      </w:r>
      <w:r>
        <w:t xml:space="preserve">. at 2.  </w:t>
      </w:r>
    </w:p>
  </w:footnote>
  <w:footnote w:id="17">
    <w:p w:rsidR="00A977A2" w14:paraId="4945BC30" w14:textId="3909BCCB">
      <w:pPr>
        <w:pStyle w:val="FootnoteText"/>
      </w:pPr>
      <w:r>
        <w:rPr>
          <w:rStyle w:val="FootnoteReference"/>
        </w:rPr>
        <w:footnoteRef/>
      </w:r>
      <w:r>
        <w:t xml:space="preserve"> </w:t>
      </w:r>
      <w:r w:rsidRPr="006101B1">
        <w:rPr>
          <w:i/>
          <w:iCs/>
        </w:rPr>
        <w:t>Id</w:t>
      </w:r>
      <w:r>
        <w:rPr>
          <w:i/>
          <w:iCs/>
        </w:rPr>
        <w:t>.</w:t>
      </w:r>
      <w:r>
        <w:t xml:space="preserve"> at 3</w:t>
      </w:r>
      <w:r w:rsidR="00FF1DC3">
        <w:t xml:space="preserve"> (</w:t>
      </w:r>
      <w:r w:rsidR="00DB0635">
        <w:t xml:space="preserve">arguing that </w:t>
      </w:r>
      <w:r w:rsidR="003B3F06">
        <w:t xml:space="preserve">the Public Notice </w:t>
      </w:r>
      <w:r w:rsidR="00A37D1F">
        <w:t xml:space="preserve">does not explain whether </w:t>
      </w:r>
      <w:r w:rsidR="00DB0635">
        <w:t>Broadband VI’s proposed price is</w:t>
      </w:r>
      <w:r w:rsidR="00086A9E">
        <w:t xml:space="preserve"> sufficient to meet the Commission’s goals; </w:t>
      </w:r>
      <w:r w:rsidR="0067041B">
        <w:t>whether</w:t>
      </w:r>
      <w:r w:rsidR="00A45115">
        <w:t xml:space="preserve"> the Commission’s criteria and goals </w:t>
      </w:r>
      <w:r w:rsidR="0067041B">
        <w:t xml:space="preserve">for the Connect USVI Fund </w:t>
      </w:r>
      <w:r w:rsidR="00A45115">
        <w:t>are met; and</w:t>
      </w:r>
      <w:r w:rsidR="00932741">
        <w:t xml:space="preserve"> </w:t>
      </w:r>
      <w:r w:rsidR="006F4C2E">
        <w:t xml:space="preserve">whether Broadband VI is qualified to meet its obligations based on </w:t>
      </w:r>
      <w:r w:rsidR="00471751">
        <w:t xml:space="preserve">Viya’s allegations </w:t>
      </w:r>
      <w:r w:rsidR="00F17650">
        <w:t>that Broadband VI</w:t>
      </w:r>
      <w:r w:rsidR="006C5971">
        <w:t xml:space="preserve"> </w:t>
      </w:r>
      <w:r w:rsidR="00E14F99">
        <w:t xml:space="preserve">has </w:t>
      </w:r>
      <w:r w:rsidR="006C5971">
        <w:t>disregard</w:t>
      </w:r>
      <w:r w:rsidR="00E14F99">
        <w:t>ed</w:t>
      </w:r>
      <w:r w:rsidR="006C5971">
        <w:t xml:space="preserve"> its obligations as an Eligible Telecommun</w:t>
      </w:r>
      <w:r w:rsidR="005E3543">
        <w:t>i</w:t>
      </w:r>
      <w:r w:rsidR="006C5971">
        <w:t>cations Carrier)</w:t>
      </w:r>
      <w:r>
        <w:t>.</w:t>
      </w:r>
    </w:p>
  </w:footnote>
  <w:footnote w:id="18">
    <w:p w:rsidR="00A27AEF" w14:paraId="785D65FB" w14:textId="5666ACEE">
      <w:pPr>
        <w:pStyle w:val="FootnoteText"/>
      </w:pPr>
      <w:r>
        <w:rPr>
          <w:rStyle w:val="FootnoteReference"/>
        </w:rPr>
        <w:footnoteRef/>
      </w:r>
      <w:r>
        <w:t xml:space="preserve"> </w:t>
      </w:r>
      <w:r w:rsidRPr="0087662F" w:rsidR="0087662F">
        <w:rPr>
          <w:i/>
          <w:iCs/>
        </w:rPr>
        <w:t>See</w:t>
      </w:r>
      <w:r w:rsidR="0087662F">
        <w:t xml:space="preserve"> 47 CFR </w:t>
      </w:r>
      <w:r w:rsidRPr="00935F41" w:rsidR="0087662F">
        <w:t>§</w:t>
      </w:r>
      <w:r w:rsidR="0087662F">
        <w:t xml:space="preserve"> 1.106(a)(1).</w:t>
      </w:r>
    </w:p>
  </w:footnote>
  <w:footnote w:id="19">
    <w:p w:rsidR="00087AAD" w14:paraId="3B8D9F8F" w14:textId="5F85C996">
      <w:pPr>
        <w:pStyle w:val="FootnoteText"/>
      </w:pPr>
      <w:r>
        <w:rPr>
          <w:rStyle w:val="FootnoteReference"/>
        </w:rPr>
        <w:footnoteRef/>
      </w:r>
      <w:r>
        <w:t xml:space="preserve"> </w:t>
      </w:r>
      <w:r w:rsidRPr="006B6C84" w:rsidR="006B6C84">
        <w:rPr>
          <w:i/>
          <w:iCs/>
        </w:rPr>
        <w:t>See</w:t>
      </w:r>
      <w:r w:rsidR="006B6C84">
        <w:t xml:space="preserve"> 47 CFR </w:t>
      </w:r>
      <w:r w:rsidRPr="00935F41" w:rsidR="006B6C84">
        <w:t>§</w:t>
      </w:r>
      <w:r w:rsidR="006B6C84">
        <w:t xml:space="preserve"> 1.106(f).</w:t>
      </w:r>
    </w:p>
  </w:footnote>
  <w:footnote w:id="20">
    <w:p w:rsidR="00A977A2" w14:paraId="1351576E" w14:textId="6E949A86">
      <w:pPr>
        <w:pStyle w:val="FootnoteText"/>
      </w:pPr>
      <w:r>
        <w:rPr>
          <w:rStyle w:val="FootnoteReference"/>
        </w:rPr>
        <w:footnoteRef/>
      </w:r>
      <w:r>
        <w:t xml:space="preserve"> Reconsideration Petition at 1, n.1.</w:t>
      </w:r>
    </w:p>
  </w:footnote>
  <w:footnote w:id="21">
    <w:p w:rsidR="00A977A2" w14:paraId="3293D035" w14:textId="77777777">
      <w:pPr>
        <w:pStyle w:val="FootnoteText"/>
      </w:pPr>
      <w:r>
        <w:rPr>
          <w:rStyle w:val="FootnoteReference"/>
        </w:rPr>
        <w:footnoteRef/>
      </w:r>
      <w:r>
        <w:t xml:space="preserve"> 47 CFR </w:t>
      </w:r>
      <w:r w:rsidRPr="00935F41">
        <w:t>§</w:t>
      </w:r>
      <w:r>
        <w:t xml:space="preserve"> 1.106(a)(1).</w:t>
      </w:r>
    </w:p>
  </w:footnote>
  <w:footnote w:id="22">
    <w:p w:rsidR="008E6C92" w:rsidRPr="003A4232" w14:paraId="0F86534E" w14:textId="142AC21D">
      <w:pPr>
        <w:pStyle w:val="FootnoteText"/>
      </w:pPr>
      <w:r>
        <w:rPr>
          <w:rStyle w:val="FootnoteReference"/>
        </w:rPr>
        <w:footnoteRef/>
      </w:r>
      <w:r>
        <w:t xml:space="preserve"> </w:t>
      </w:r>
      <w:r w:rsidR="003A4232">
        <w:rPr>
          <w:i/>
          <w:iCs/>
        </w:rPr>
        <w:t>Jet Fuel Broadcasting</w:t>
      </w:r>
      <w:r w:rsidR="00191908">
        <w:rPr>
          <w:i/>
          <w:iCs/>
        </w:rPr>
        <w:t xml:space="preserve"> et al.</w:t>
      </w:r>
      <w:r w:rsidR="003A4232">
        <w:rPr>
          <w:i/>
          <w:iCs/>
        </w:rPr>
        <w:t>,</w:t>
      </w:r>
      <w:r w:rsidR="003A4232">
        <w:t xml:space="preserve"> Memorandum Opinion and Order, </w:t>
      </w:r>
      <w:r w:rsidR="00681F43">
        <w:t xml:space="preserve">29 FCC </w:t>
      </w:r>
      <w:r w:rsidR="00681F43">
        <w:t>Rcd</w:t>
      </w:r>
      <w:r w:rsidR="00681F43">
        <w:t xml:space="preserve"> 2471, </w:t>
      </w:r>
      <w:r w:rsidR="00C377B3">
        <w:t>2471-72, para</w:t>
      </w:r>
      <w:r w:rsidR="00191908">
        <w:t>. 2 (2014)</w:t>
      </w:r>
      <w:r w:rsidR="003006C6">
        <w:t xml:space="preserve"> </w:t>
      </w:r>
      <w:r w:rsidR="00FA327F">
        <w:t>(</w:t>
      </w:r>
      <w:r w:rsidRPr="00B363AD" w:rsidR="00FA327F">
        <w:rPr>
          <w:i/>
          <w:iCs/>
        </w:rPr>
        <w:t>Jet Fuel Broadcasting</w:t>
      </w:r>
      <w:r w:rsidR="00FA327F">
        <w:t xml:space="preserve">) </w:t>
      </w:r>
      <w:r w:rsidR="003006C6">
        <w:t xml:space="preserve">(citing </w:t>
      </w:r>
      <w:r w:rsidRPr="001F65D1" w:rsidR="003006C6">
        <w:rPr>
          <w:i/>
          <w:iCs/>
        </w:rPr>
        <w:t>Bennett v. Spear</w:t>
      </w:r>
      <w:r w:rsidR="003006C6">
        <w:t xml:space="preserve">, </w:t>
      </w:r>
      <w:r w:rsidRPr="00760A30" w:rsidR="003006C6">
        <w:t>520 U.S. 154, 177</w:t>
      </w:r>
      <w:r w:rsidRPr="00760A30" w:rsidR="00386E03">
        <w:t>-</w:t>
      </w:r>
      <w:r w:rsidRPr="00760A30" w:rsidR="003006C6">
        <w:t>78</w:t>
      </w:r>
      <w:r w:rsidR="003006C6">
        <w:t xml:space="preserve">, 117 </w:t>
      </w:r>
      <w:r w:rsidR="003006C6">
        <w:t>S.Ct</w:t>
      </w:r>
      <w:r w:rsidR="003006C6">
        <w:t>. 1154, 1168 (1997)</w:t>
      </w:r>
      <w:r w:rsidR="00BC797A">
        <w:t>)</w:t>
      </w:r>
      <w:r w:rsidR="00191908">
        <w:t>.</w:t>
      </w:r>
    </w:p>
  </w:footnote>
  <w:footnote w:id="23">
    <w:p w:rsidR="00A977A2" w14:paraId="6BA75266" w14:textId="77777777">
      <w:pPr>
        <w:pStyle w:val="FootnoteText"/>
      </w:pPr>
      <w:r>
        <w:rPr>
          <w:rStyle w:val="FootnoteReference"/>
        </w:rPr>
        <w:footnoteRef/>
      </w:r>
      <w:r>
        <w:t xml:space="preserve"> Opposition to Petition for Reconsideration by Broadband VI, LLC, WC Docket Nos. 18-143 et al. at 4-5 (filed Dec. 30, 2020).</w:t>
      </w:r>
    </w:p>
  </w:footnote>
  <w:footnote w:id="24">
    <w:p w:rsidR="00A977A2" w14:paraId="0D110865" w14:textId="39B3C49D">
      <w:pPr>
        <w:pStyle w:val="FootnoteText"/>
      </w:pPr>
      <w:r>
        <w:rPr>
          <w:rStyle w:val="FootnoteReference"/>
        </w:rPr>
        <w:footnoteRef/>
      </w:r>
      <w:r w:rsidRPr="00FA0D4F">
        <w:rPr>
          <w:i/>
          <w:iCs/>
        </w:rPr>
        <w:t xml:space="preserve"> See USVI Winner Public Notice</w:t>
      </w:r>
      <w:r>
        <w:t xml:space="preserve">, 35 FCC </w:t>
      </w:r>
      <w:r>
        <w:t>Rcd</w:t>
      </w:r>
      <w:r>
        <w:t xml:space="preserve"> at 12921-24, paras. 3, 5-12; </w:t>
      </w:r>
      <w:r w:rsidRPr="00FA0D4F">
        <w:rPr>
          <w:i/>
          <w:iCs/>
        </w:rPr>
        <w:t>see generally PR-USVI Stage 2 Order</w:t>
      </w:r>
      <w:r>
        <w:t xml:space="preserve">, 34 FCC </w:t>
      </w:r>
      <w:r>
        <w:t>Rcd</w:t>
      </w:r>
      <w:r>
        <w:t xml:space="preserve"> at 9135, para. 42; </w:t>
      </w:r>
      <w:r w:rsidRPr="00FA0D4F">
        <w:rPr>
          <w:i/>
          <w:iCs/>
        </w:rPr>
        <w:t>Procedures Public Notice</w:t>
      </w:r>
      <w:r>
        <w:t xml:space="preserve">, 35 FCC </w:t>
      </w:r>
      <w:r>
        <w:t>Rcd</w:t>
      </w:r>
      <w:r>
        <w:t xml:space="preserve"> at 257, para. 143 (providing that winning applicant must complete necessary actions announced by public notice).</w:t>
      </w:r>
    </w:p>
  </w:footnote>
  <w:footnote w:id="25">
    <w:p w:rsidR="00A977A2" w14:paraId="617BCF8C" w14:textId="77777777">
      <w:pPr>
        <w:pStyle w:val="FootnoteText"/>
      </w:pPr>
      <w:r>
        <w:rPr>
          <w:rStyle w:val="FootnoteReference"/>
        </w:rPr>
        <w:footnoteRef/>
      </w:r>
      <w:r>
        <w:t xml:space="preserve"> </w:t>
      </w:r>
      <w:r w:rsidRPr="00382EF0">
        <w:rPr>
          <w:i/>
          <w:iCs/>
        </w:rPr>
        <w:t>Procedures Public Notice</w:t>
      </w:r>
      <w:r>
        <w:t xml:space="preserve">, 35 FCC </w:t>
      </w:r>
      <w:r>
        <w:t>Rcd</w:t>
      </w:r>
      <w:r>
        <w:t xml:space="preserve"> at 228, para. 10.</w:t>
      </w:r>
    </w:p>
  </w:footnote>
  <w:footnote w:id="26">
    <w:p w:rsidR="00B363AD" w14:paraId="6B70897C" w14:textId="02FFABF4">
      <w:pPr>
        <w:pStyle w:val="FootnoteText"/>
      </w:pPr>
      <w:r>
        <w:rPr>
          <w:rStyle w:val="FootnoteReference"/>
        </w:rPr>
        <w:footnoteRef/>
      </w:r>
      <w:r>
        <w:t xml:space="preserve"> </w:t>
      </w:r>
      <w:r w:rsidRPr="001956D9">
        <w:rPr>
          <w:i/>
        </w:rPr>
        <w:t>PR-USVI</w:t>
      </w:r>
      <w:r>
        <w:rPr>
          <w:i/>
        </w:rPr>
        <w:t xml:space="preserve"> Stage 2 </w:t>
      </w:r>
      <w:r w:rsidRPr="001956D9">
        <w:rPr>
          <w:i/>
        </w:rPr>
        <w:t>Order</w:t>
      </w:r>
      <w:r>
        <w:rPr>
          <w:i/>
        </w:rPr>
        <w:t>,</w:t>
      </w:r>
      <w:r>
        <w:rPr>
          <w:iCs/>
        </w:rPr>
        <w:t xml:space="preserve"> 34 FCC </w:t>
      </w:r>
      <w:r>
        <w:rPr>
          <w:iCs/>
        </w:rPr>
        <w:t>Rcd</w:t>
      </w:r>
      <w:r>
        <w:t xml:space="preserve"> at</w:t>
      </w:r>
      <w:r w:rsidR="009C0E5A">
        <w:t xml:space="preserve"> 9156, para. 87.</w:t>
      </w:r>
    </w:p>
  </w:footnote>
  <w:footnote w:id="27">
    <w:p w:rsidR="00A145F4" w14:paraId="2540F4FE" w14:textId="3EF7D778">
      <w:pPr>
        <w:pStyle w:val="FootnoteText"/>
      </w:pPr>
      <w:r>
        <w:rPr>
          <w:rStyle w:val="FootnoteReference"/>
        </w:rPr>
        <w:footnoteRef/>
      </w:r>
      <w:r>
        <w:t xml:space="preserve"> </w:t>
      </w:r>
      <w:r w:rsidR="0071385C">
        <w:t>Reconsideration Petition at 1, n.1.</w:t>
      </w:r>
    </w:p>
  </w:footnote>
  <w:footnote w:id="28">
    <w:p w:rsidR="005B1799" w14:paraId="541138E4" w14:textId="0083ADC8">
      <w:pPr>
        <w:pStyle w:val="FootnoteText"/>
      </w:pPr>
      <w:r>
        <w:rPr>
          <w:rStyle w:val="FootnoteReference"/>
        </w:rPr>
        <w:footnoteRef/>
      </w:r>
      <w:r>
        <w:t xml:space="preserve"> </w:t>
      </w:r>
      <w:r w:rsidRPr="00B363AD">
        <w:rPr>
          <w:i/>
          <w:iCs/>
        </w:rPr>
        <w:t>Cf. Jet Fuel Broadcasting</w:t>
      </w:r>
      <w:r>
        <w:t xml:space="preserve">, 29 FCC </w:t>
      </w:r>
      <w:r>
        <w:t>Rcd</w:t>
      </w:r>
      <w:r>
        <w:t xml:space="preserve"> at 2472, para. 3</w:t>
      </w:r>
      <w:r w:rsidR="006F79B4">
        <w:t xml:space="preserve"> (affirming Media Bureau’s </w:t>
      </w:r>
      <w:r w:rsidR="0054640E">
        <w:t xml:space="preserve">dismissal of reconsideration </w:t>
      </w:r>
      <w:r w:rsidR="00246C74">
        <w:t xml:space="preserve">petition </w:t>
      </w:r>
      <w:r w:rsidR="00EC254B">
        <w:t xml:space="preserve">because </w:t>
      </w:r>
      <w:r w:rsidR="00906767">
        <w:t>it</w:t>
      </w:r>
      <w:r w:rsidR="008F3B6A">
        <w:t xml:space="preserve">s grant of a preference </w:t>
      </w:r>
      <w:r w:rsidR="00D23ABD">
        <w:t>under Section 307(b) was not a final decision).</w:t>
      </w:r>
      <w:r w:rsidR="0054640E">
        <w:t xml:space="preserve"> </w:t>
      </w:r>
    </w:p>
  </w:footnote>
  <w:footnote w:id="29">
    <w:p w:rsidR="00A977A2" w14:paraId="65D62B4A" w14:textId="77777777">
      <w:pPr>
        <w:pStyle w:val="FootnoteText"/>
      </w:pPr>
      <w:r>
        <w:rPr>
          <w:rStyle w:val="FootnoteReference"/>
        </w:rPr>
        <w:footnoteRef/>
      </w:r>
      <w:r>
        <w:t xml:space="preserve"> 47 CFR </w:t>
      </w:r>
      <w:r w:rsidRPr="00935F41">
        <w:t>§</w:t>
      </w:r>
      <w:r>
        <w:t xml:space="preserve"> 1.106(f).</w:t>
      </w:r>
    </w:p>
  </w:footnote>
  <w:footnote w:id="30">
    <w:p w:rsidR="00A977A2" w14:paraId="64479244" w14:textId="77777777">
      <w:pPr>
        <w:pStyle w:val="FootnoteText"/>
      </w:pPr>
      <w:r>
        <w:rPr>
          <w:rStyle w:val="FootnoteReference"/>
        </w:rPr>
        <w:footnoteRef/>
      </w:r>
      <w:r>
        <w:t xml:space="preserve"> </w:t>
      </w:r>
      <w:r w:rsidRPr="0002781F" w:rsidR="0002781F">
        <w:rPr>
          <w:i/>
          <w:iCs/>
        </w:rPr>
        <w:t xml:space="preserve">See generally </w:t>
      </w:r>
      <w:r w:rsidRPr="0002781F">
        <w:rPr>
          <w:i/>
          <w:iCs/>
        </w:rPr>
        <w:t>Procedures Public Notice</w:t>
      </w:r>
      <w:r>
        <w:t xml:space="preserve">, 35 FCC </w:t>
      </w:r>
      <w:r>
        <w:t>Rcd</w:t>
      </w:r>
      <w:r>
        <w:t xml:space="preserve"> </w:t>
      </w:r>
      <w:r w:rsidR="00517E75">
        <w:t>218</w:t>
      </w:r>
      <w:r w:rsidR="0002781F">
        <w:t>.</w:t>
      </w:r>
    </w:p>
  </w:footnote>
  <w:footnote w:id="31">
    <w:p w:rsidR="00A977A2" w14:paraId="28C3397C" w14:textId="77777777">
      <w:pPr>
        <w:pStyle w:val="FootnoteText"/>
      </w:pPr>
      <w:r>
        <w:rPr>
          <w:rStyle w:val="FootnoteReference"/>
        </w:rPr>
        <w:footnoteRef/>
      </w:r>
      <w:r>
        <w:t xml:space="preserve"> </w:t>
      </w:r>
      <w:r w:rsidRPr="00013993">
        <w:rPr>
          <w:i/>
          <w:iCs/>
        </w:rPr>
        <w:t>Procedures Public Notice</w:t>
      </w:r>
      <w:r>
        <w:t xml:space="preserve">, 35 FCC </w:t>
      </w:r>
      <w:r>
        <w:t>Rcd</w:t>
      </w:r>
      <w:r>
        <w:t xml:space="preserve"> at 242, para. 83.</w:t>
      </w:r>
    </w:p>
  </w:footnote>
  <w:footnote w:id="32">
    <w:p w:rsidR="00A977A2" w:rsidP="00F43BFB" w14:paraId="64810A69" w14:textId="77777777">
      <w:pPr>
        <w:pStyle w:val="FootnoteText"/>
      </w:pPr>
      <w:r>
        <w:rPr>
          <w:rStyle w:val="FootnoteReference"/>
        </w:rPr>
        <w:footnoteRef/>
      </w:r>
      <w:r>
        <w:t xml:space="preserve"> </w:t>
      </w:r>
      <w:r w:rsidR="004B248D">
        <w:rPr>
          <w:i/>
          <w:iCs/>
        </w:rPr>
        <w:t>Id.</w:t>
      </w:r>
      <w:r>
        <w:t xml:space="preserve"> at 243, para. 88.</w:t>
      </w:r>
    </w:p>
  </w:footnote>
  <w:footnote w:id="33">
    <w:p w:rsidR="00A977A2" w14:paraId="5690AE47" w14:textId="77777777">
      <w:pPr>
        <w:pStyle w:val="FootnoteText"/>
      </w:pPr>
      <w:r>
        <w:rPr>
          <w:rStyle w:val="FootnoteReference"/>
        </w:rPr>
        <w:footnoteRef/>
      </w:r>
      <w:r>
        <w:t xml:space="preserve"> 47 CFR § 1.106(f).</w:t>
      </w:r>
    </w:p>
  </w:footnote>
  <w:footnote w:id="34">
    <w:p w:rsidR="000816BD" w:rsidP="000816BD" w14:paraId="4A1049DC" w14:textId="3F166AC3">
      <w:pPr>
        <w:pStyle w:val="FootnoteText"/>
      </w:pPr>
      <w:r>
        <w:rPr>
          <w:rStyle w:val="FootnoteReference"/>
        </w:rPr>
        <w:footnoteRef/>
      </w:r>
      <w:r>
        <w:t xml:space="preserve"> </w:t>
      </w:r>
      <w:r w:rsidRPr="00013993" w:rsidR="00A37195">
        <w:rPr>
          <w:i/>
          <w:iCs/>
        </w:rPr>
        <w:t>Procedures Public Notice</w:t>
      </w:r>
      <w:r w:rsidR="00A37195">
        <w:t xml:space="preserve">, 35 FCC </w:t>
      </w:r>
      <w:r w:rsidR="00A37195">
        <w:t>Rcd</w:t>
      </w:r>
      <w:r>
        <w:t xml:space="preserve"> at 257, para. 143.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DB1" w:rsidP="00810B6F" w14:paraId="0F3EEC4E" w14:textId="4DECD09C">
    <w:pPr>
      <w:pStyle w:val="Header"/>
      <w:rPr>
        <w:b w:val="0"/>
      </w:rPr>
    </w:pPr>
    <w:r>
      <w:tab/>
      <w:t>Federal Communications Commission</w:t>
    </w:r>
    <w:r>
      <w:tab/>
    </w:r>
    <w:r w:rsidR="00F41EC6">
      <w:t>DA</w:t>
    </w:r>
    <w:r w:rsidR="002B70A0">
      <w:t xml:space="preserve"> 21</w:t>
    </w:r>
    <w:r w:rsidR="00F41EC6">
      <w:t>-</w:t>
    </w:r>
    <w:r w:rsidR="009930C5">
      <w:t>667</w:t>
    </w:r>
  </w:p>
  <w:p w:rsidR="00273DB1" w14:paraId="7BFC2CB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73DB1" w14:paraId="144D19E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DB1" w:rsidP="00810B6F" w14:paraId="200CAE72" w14:textId="451CD81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F41EC6">
      <w:rPr>
        <w:spacing w:val="-2"/>
      </w:rPr>
      <w:t xml:space="preserve">DA </w:t>
    </w:r>
    <w:r w:rsidR="002B70A0">
      <w:rPr>
        <w:spacing w:val="-2"/>
      </w:rPr>
      <w:t>21</w:t>
    </w:r>
    <w:r w:rsidR="00F41EC6">
      <w:rPr>
        <w:spacing w:val="-2"/>
      </w:rPr>
      <w:t>-</w:t>
    </w:r>
    <w:r w:rsidR="009930C5">
      <w:rPr>
        <w:spacing w:val="-2"/>
      </w:rPr>
      <w:t>667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2EA20B1"/>
    <w:multiLevelType w:val="hybridMultilevel"/>
    <w:tmpl w:val="C0C61586"/>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multilevel"/>
    <w:tmpl w:val="B1F45678"/>
    <w:lvl w:ilvl="0">
      <w:start w:val="1"/>
      <w:numFmt w:val="decimal"/>
      <w:lvlText w:val="%1."/>
      <w:lvlJc w:val="left"/>
      <w:pPr>
        <w:tabs>
          <w:tab w:val="num" w:pos="1080"/>
        </w:tabs>
        <w:ind w:firstLine="720"/>
      </w:pPr>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51C82BCF"/>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61182925"/>
    <w:multiLevelType w:val="hybridMultilevel"/>
    <w:tmpl w:val="A9EE9842"/>
    <w:lvl w:ilvl="0">
      <w:start w:val="1"/>
      <w:numFmt w:val="decimal"/>
      <w:pStyle w:val="ParaNum"/>
      <w:lvlText w:val="%1."/>
      <w:lvlJc w:val="left"/>
      <w:pPr>
        <w:tabs>
          <w:tab w:val="num" w:pos="1080"/>
        </w:tabs>
        <w:ind w:firstLine="720"/>
      </w:pPr>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8">
    <w:nsid w:val="744550EF"/>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2"/>
    <w:compatSetting w:name="useWord2013TrackBottomHyphenation" w:uri="http://schemas.microsoft.com/office/word" w:val="0"/>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1D"/>
    <w:rsid w:val="00002242"/>
    <w:rsid w:val="0000481D"/>
    <w:rsid w:val="000061F9"/>
    <w:rsid w:val="0001062A"/>
    <w:rsid w:val="000107C1"/>
    <w:rsid w:val="00013993"/>
    <w:rsid w:val="0001454A"/>
    <w:rsid w:val="000148CF"/>
    <w:rsid w:val="000156CD"/>
    <w:rsid w:val="00015FA9"/>
    <w:rsid w:val="0002144D"/>
    <w:rsid w:val="00021D9F"/>
    <w:rsid w:val="00022765"/>
    <w:rsid w:val="00024732"/>
    <w:rsid w:val="00026AFA"/>
    <w:rsid w:val="0002781F"/>
    <w:rsid w:val="00030F94"/>
    <w:rsid w:val="000310C4"/>
    <w:rsid w:val="000326A4"/>
    <w:rsid w:val="00036039"/>
    <w:rsid w:val="00037660"/>
    <w:rsid w:val="00037F90"/>
    <w:rsid w:val="000400BB"/>
    <w:rsid w:val="00040417"/>
    <w:rsid w:val="0004107C"/>
    <w:rsid w:val="000424B1"/>
    <w:rsid w:val="0004375C"/>
    <w:rsid w:val="000447F3"/>
    <w:rsid w:val="00050D79"/>
    <w:rsid w:val="00051B5E"/>
    <w:rsid w:val="00052E5D"/>
    <w:rsid w:val="0005393E"/>
    <w:rsid w:val="00054763"/>
    <w:rsid w:val="00057B6E"/>
    <w:rsid w:val="00057F7F"/>
    <w:rsid w:val="00062065"/>
    <w:rsid w:val="000634DE"/>
    <w:rsid w:val="00064B62"/>
    <w:rsid w:val="00067385"/>
    <w:rsid w:val="00067744"/>
    <w:rsid w:val="00070D84"/>
    <w:rsid w:val="00071C0B"/>
    <w:rsid w:val="00074C9E"/>
    <w:rsid w:val="000767AE"/>
    <w:rsid w:val="00076D42"/>
    <w:rsid w:val="000816BD"/>
    <w:rsid w:val="00082385"/>
    <w:rsid w:val="000828D8"/>
    <w:rsid w:val="000851CC"/>
    <w:rsid w:val="00085CB3"/>
    <w:rsid w:val="00086A9E"/>
    <w:rsid w:val="000875BF"/>
    <w:rsid w:val="000877C1"/>
    <w:rsid w:val="00087AAD"/>
    <w:rsid w:val="000921BC"/>
    <w:rsid w:val="00092971"/>
    <w:rsid w:val="00093784"/>
    <w:rsid w:val="000940C9"/>
    <w:rsid w:val="00096A2D"/>
    <w:rsid w:val="00096D8C"/>
    <w:rsid w:val="000A082D"/>
    <w:rsid w:val="000A1D07"/>
    <w:rsid w:val="000A2172"/>
    <w:rsid w:val="000A2634"/>
    <w:rsid w:val="000A6055"/>
    <w:rsid w:val="000A75C4"/>
    <w:rsid w:val="000B06B8"/>
    <w:rsid w:val="000B0FB9"/>
    <w:rsid w:val="000B5104"/>
    <w:rsid w:val="000C0B65"/>
    <w:rsid w:val="000C1572"/>
    <w:rsid w:val="000C16D2"/>
    <w:rsid w:val="000C19A0"/>
    <w:rsid w:val="000C19FD"/>
    <w:rsid w:val="000C29C1"/>
    <w:rsid w:val="000C3AF8"/>
    <w:rsid w:val="000C688B"/>
    <w:rsid w:val="000D72EC"/>
    <w:rsid w:val="000E05FE"/>
    <w:rsid w:val="000E159C"/>
    <w:rsid w:val="000E3112"/>
    <w:rsid w:val="000E37ED"/>
    <w:rsid w:val="000E3C4A"/>
    <w:rsid w:val="000E3D42"/>
    <w:rsid w:val="000E5179"/>
    <w:rsid w:val="000F0E0F"/>
    <w:rsid w:val="000F171D"/>
    <w:rsid w:val="000F2172"/>
    <w:rsid w:val="000F5773"/>
    <w:rsid w:val="000F5C96"/>
    <w:rsid w:val="000F7623"/>
    <w:rsid w:val="001003A7"/>
    <w:rsid w:val="0010085A"/>
    <w:rsid w:val="001031B8"/>
    <w:rsid w:val="00103928"/>
    <w:rsid w:val="00104977"/>
    <w:rsid w:val="00106B93"/>
    <w:rsid w:val="00106F55"/>
    <w:rsid w:val="00107C90"/>
    <w:rsid w:val="00107D26"/>
    <w:rsid w:val="001133E3"/>
    <w:rsid w:val="00113EFC"/>
    <w:rsid w:val="0011448E"/>
    <w:rsid w:val="001166E0"/>
    <w:rsid w:val="001172B2"/>
    <w:rsid w:val="00122BD5"/>
    <w:rsid w:val="00123927"/>
    <w:rsid w:val="001240B6"/>
    <w:rsid w:val="00126160"/>
    <w:rsid w:val="00127115"/>
    <w:rsid w:val="00130D43"/>
    <w:rsid w:val="001329F1"/>
    <w:rsid w:val="00132BB3"/>
    <w:rsid w:val="00133F79"/>
    <w:rsid w:val="00134A74"/>
    <w:rsid w:val="0013571E"/>
    <w:rsid w:val="00135DE4"/>
    <w:rsid w:val="00137731"/>
    <w:rsid w:val="00140147"/>
    <w:rsid w:val="00142BB5"/>
    <w:rsid w:val="00144E4D"/>
    <w:rsid w:val="00147AE0"/>
    <w:rsid w:val="00153C88"/>
    <w:rsid w:val="00154EDD"/>
    <w:rsid w:val="001556C0"/>
    <w:rsid w:val="00156813"/>
    <w:rsid w:val="00156A6D"/>
    <w:rsid w:val="00156AAB"/>
    <w:rsid w:val="00157C86"/>
    <w:rsid w:val="00160560"/>
    <w:rsid w:val="00161522"/>
    <w:rsid w:val="0016218F"/>
    <w:rsid w:val="001628A0"/>
    <w:rsid w:val="00163691"/>
    <w:rsid w:val="00164181"/>
    <w:rsid w:val="00166A17"/>
    <w:rsid w:val="00166CB7"/>
    <w:rsid w:val="00167210"/>
    <w:rsid w:val="001728EC"/>
    <w:rsid w:val="00173225"/>
    <w:rsid w:val="00174A25"/>
    <w:rsid w:val="00174DD5"/>
    <w:rsid w:val="00174F95"/>
    <w:rsid w:val="00175560"/>
    <w:rsid w:val="00176ED5"/>
    <w:rsid w:val="00177C2B"/>
    <w:rsid w:val="001804AF"/>
    <w:rsid w:val="00181108"/>
    <w:rsid w:val="001813E9"/>
    <w:rsid w:val="00181622"/>
    <w:rsid w:val="00182631"/>
    <w:rsid w:val="00185458"/>
    <w:rsid w:val="0018705E"/>
    <w:rsid w:val="00191908"/>
    <w:rsid w:val="0019242C"/>
    <w:rsid w:val="00193EC9"/>
    <w:rsid w:val="00194A66"/>
    <w:rsid w:val="001956D9"/>
    <w:rsid w:val="00196CC8"/>
    <w:rsid w:val="001A0814"/>
    <w:rsid w:val="001A217A"/>
    <w:rsid w:val="001A277A"/>
    <w:rsid w:val="001A32E7"/>
    <w:rsid w:val="001A718C"/>
    <w:rsid w:val="001A72D2"/>
    <w:rsid w:val="001B2349"/>
    <w:rsid w:val="001B2661"/>
    <w:rsid w:val="001B5CBB"/>
    <w:rsid w:val="001B7580"/>
    <w:rsid w:val="001C247E"/>
    <w:rsid w:val="001D28F6"/>
    <w:rsid w:val="001D4CCD"/>
    <w:rsid w:val="001D5673"/>
    <w:rsid w:val="001D59A3"/>
    <w:rsid w:val="001D6BCF"/>
    <w:rsid w:val="001D7D4C"/>
    <w:rsid w:val="001E01CA"/>
    <w:rsid w:val="001E218C"/>
    <w:rsid w:val="001E2886"/>
    <w:rsid w:val="001E332A"/>
    <w:rsid w:val="001E6A1E"/>
    <w:rsid w:val="001F1439"/>
    <w:rsid w:val="001F19E4"/>
    <w:rsid w:val="001F3236"/>
    <w:rsid w:val="001F52C8"/>
    <w:rsid w:val="001F5398"/>
    <w:rsid w:val="001F59E0"/>
    <w:rsid w:val="001F65D1"/>
    <w:rsid w:val="0020090F"/>
    <w:rsid w:val="002026F3"/>
    <w:rsid w:val="0020384A"/>
    <w:rsid w:val="00205A6F"/>
    <w:rsid w:val="00210414"/>
    <w:rsid w:val="00212247"/>
    <w:rsid w:val="00212FAD"/>
    <w:rsid w:val="00221A52"/>
    <w:rsid w:val="00221C5C"/>
    <w:rsid w:val="00225411"/>
    <w:rsid w:val="0023062F"/>
    <w:rsid w:val="002311BA"/>
    <w:rsid w:val="002362CD"/>
    <w:rsid w:val="0024265C"/>
    <w:rsid w:val="002452C9"/>
    <w:rsid w:val="00246AED"/>
    <w:rsid w:val="00246C74"/>
    <w:rsid w:val="00247184"/>
    <w:rsid w:val="00247238"/>
    <w:rsid w:val="0025138B"/>
    <w:rsid w:val="0025249A"/>
    <w:rsid w:val="002531AD"/>
    <w:rsid w:val="00253CAC"/>
    <w:rsid w:val="00255ECD"/>
    <w:rsid w:val="002609DF"/>
    <w:rsid w:val="002629E8"/>
    <w:rsid w:val="0026689C"/>
    <w:rsid w:val="00266F14"/>
    <w:rsid w:val="00267CDD"/>
    <w:rsid w:val="00270012"/>
    <w:rsid w:val="00270E55"/>
    <w:rsid w:val="00273DB1"/>
    <w:rsid w:val="00275C81"/>
    <w:rsid w:val="00275CF5"/>
    <w:rsid w:val="002804D8"/>
    <w:rsid w:val="00280EF3"/>
    <w:rsid w:val="00282703"/>
    <w:rsid w:val="0028301F"/>
    <w:rsid w:val="00283110"/>
    <w:rsid w:val="002834AA"/>
    <w:rsid w:val="00284667"/>
    <w:rsid w:val="002848BD"/>
    <w:rsid w:val="00284A70"/>
    <w:rsid w:val="00285017"/>
    <w:rsid w:val="002857B1"/>
    <w:rsid w:val="00285874"/>
    <w:rsid w:val="00292DD8"/>
    <w:rsid w:val="002932DD"/>
    <w:rsid w:val="00293D5A"/>
    <w:rsid w:val="00296027"/>
    <w:rsid w:val="002A0335"/>
    <w:rsid w:val="002A11CA"/>
    <w:rsid w:val="002A138E"/>
    <w:rsid w:val="002A2D2E"/>
    <w:rsid w:val="002A474E"/>
    <w:rsid w:val="002A4EFF"/>
    <w:rsid w:val="002A5085"/>
    <w:rsid w:val="002A5770"/>
    <w:rsid w:val="002A7683"/>
    <w:rsid w:val="002B03C2"/>
    <w:rsid w:val="002B0E29"/>
    <w:rsid w:val="002B29D7"/>
    <w:rsid w:val="002B4463"/>
    <w:rsid w:val="002B53D6"/>
    <w:rsid w:val="002B6773"/>
    <w:rsid w:val="002B6BA1"/>
    <w:rsid w:val="002B70A0"/>
    <w:rsid w:val="002C00E8"/>
    <w:rsid w:val="002C0BC8"/>
    <w:rsid w:val="002C1249"/>
    <w:rsid w:val="002C1F66"/>
    <w:rsid w:val="002C6E7A"/>
    <w:rsid w:val="002C71CF"/>
    <w:rsid w:val="002D4E05"/>
    <w:rsid w:val="002D5033"/>
    <w:rsid w:val="002D6F90"/>
    <w:rsid w:val="002D71F6"/>
    <w:rsid w:val="002E30FA"/>
    <w:rsid w:val="002E3580"/>
    <w:rsid w:val="002E367A"/>
    <w:rsid w:val="002E5B11"/>
    <w:rsid w:val="002E7255"/>
    <w:rsid w:val="002E7C59"/>
    <w:rsid w:val="002F0640"/>
    <w:rsid w:val="002F216E"/>
    <w:rsid w:val="002F2783"/>
    <w:rsid w:val="002F5DEB"/>
    <w:rsid w:val="002F637A"/>
    <w:rsid w:val="003006C6"/>
    <w:rsid w:val="0030110E"/>
    <w:rsid w:val="00301858"/>
    <w:rsid w:val="003024CF"/>
    <w:rsid w:val="00303F3D"/>
    <w:rsid w:val="00307086"/>
    <w:rsid w:val="003105C2"/>
    <w:rsid w:val="0031099F"/>
    <w:rsid w:val="00310ADF"/>
    <w:rsid w:val="00314DA7"/>
    <w:rsid w:val="003166B5"/>
    <w:rsid w:val="003203FD"/>
    <w:rsid w:val="00323517"/>
    <w:rsid w:val="00323EEF"/>
    <w:rsid w:val="003252B4"/>
    <w:rsid w:val="00330E97"/>
    <w:rsid w:val="0033171F"/>
    <w:rsid w:val="00333EF7"/>
    <w:rsid w:val="00334A24"/>
    <w:rsid w:val="0033782F"/>
    <w:rsid w:val="0034015C"/>
    <w:rsid w:val="003415EC"/>
    <w:rsid w:val="00343749"/>
    <w:rsid w:val="00345210"/>
    <w:rsid w:val="0034654F"/>
    <w:rsid w:val="0034780D"/>
    <w:rsid w:val="003526D9"/>
    <w:rsid w:val="00353C0C"/>
    <w:rsid w:val="00353C52"/>
    <w:rsid w:val="00353F49"/>
    <w:rsid w:val="00354102"/>
    <w:rsid w:val="003544A2"/>
    <w:rsid w:val="003576E5"/>
    <w:rsid w:val="00357B2E"/>
    <w:rsid w:val="003630A4"/>
    <w:rsid w:val="00363F5D"/>
    <w:rsid w:val="003660ED"/>
    <w:rsid w:val="00366855"/>
    <w:rsid w:val="003671FD"/>
    <w:rsid w:val="003704E7"/>
    <w:rsid w:val="0037055A"/>
    <w:rsid w:val="00374A07"/>
    <w:rsid w:val="003815A5"/>
    <w:rsid w:val="00382EF0"/>
    <w:rsid w:val="003854DD"/>
    <w:rsid w:val="00385724"/>
    <w:rsid w:val="00385733"/>
    <w:rsid w:val="0038613F"/>
    <w:rsid w:val="00386E03"/>
    <w:rsid w:val="003877D4"/>
    <w:rsid w:val="00396981"/>
    <w:rsid w:val="00396EDF"/>
    <w:rsid w:val="0039774D"/>
    <w:rsid w:val="003A179D"/>
    <w:rsid w:val="003A1897"/>
    <w:rsid w:val="003A2926"/>
    <w:rsid w:val="003A338C"/>
    <w:rsid w:val="003A4232"/>
    <w:rsid w:val="003A553E"/>
    <w:rsid w:val="003A78CC"/>
    <w:rsid w:val="003A7C64"/>
    <w:rsid w:val="003B0077"/>
    <w:rsid w:val="003B0419"/>
    <w:rsid w:val="003B0550"/>
    <w:rsid w:val="003B3F06"/>
    <w:rsid w:val="003B4B6A"/>
    <w:rsid w:val="003B694F"/>
    <w:rsid w:val="003B7C9B"/>
    <w:rsid w:val="003C0814"/>
    <w:rsid w:val="003C2712"/>
    <w:rsid w:val="003C6893"/>
    <w:rsid w:val="003C79EF"/>
    <w:rsid w:val="003D153B"/>
    <w:rsid w:val="003D2EAD"/>
    <w:rsid w:val="003D38BC"/>
    <w:rsid w:val="003D4C45"/>
    <w:rsid w:val="003D5498"/>
    <w:rsid w:val="003D6ABC"/>
    <w:rsid w:val="003E07ED"/>
    <w:rsid w:val="003E13DB"/>
    <w:rsid w:val="003E1B5F"/>
    <w:rsid w:val="003E228A"/>
    <w:rsid w:val="003E2742"/>
    <w:rsid w:val="003E33BF"/>
    <w:rsid w:val="003E6EC9"/>
    <w:rsid w:val="003F171C"/>
    <w:rsid w:val="003F1764"/>
    <w:rsid w:val="003F1E78"/>
    <w:rsid w:val="003F36BA"/>
    <w:rsid w:val="003F5881"/>
    <w:rsid w:val="00401A23"/>
    <w:rsid w:val="0040403E"/>
    <w:rsid w:val="00404954"/>
    <w:rsid w:val="00404DFD"/>
    <w:rsid w:val="00405247"/>
    <w:rsid w:val="00410E3C"/>
    <w:rsid w:val="00411A30"/>
    <w:rsid w:val="00412E89"/>
    <w:rsid w:val="00412FC5"/>
    <w:rsid w:val="0041357C"/>
    <w:rsid w:val="00415A77"/>
    <w:rsid w:val="004200FB"/>
    <w:rsid w:val="004213E9"/>
    <w:rsid w:val="00422276"/>
    <w:rsid w:val="0042232D"/>
    <w:rsid w:val="004242F1"/>
    <w:rsid w:val="004300E9"/>
    <w:rsid w:val="00433593"/>
    <w:rsid w:val="0044083E"/>
    <w:rsid w:val="004447E4"/>
    <w:rsid w:val="00445A00"/>
    <w:rsid w:val="00446489"/>
    <w:rsid w:val="00450543"/>
    <w:rsid w:val="00451B0F"/>
    <w:rsid w:val="00453A77"/>
    <w:rsid w:val="00455E05"/>
    <w:rsid w:val="0046127B"/>
    <w:rsid w:val="0046428F"/>
    <w:rsid w:val="00466A13"/>
    <w:rsid w:val="0047080B"/>
    <w:rsid w:val="00471751"/>
    <w:rsid w:val="00473CE9"/>
    <w:rsid w:val="0047440F"/>
    <w:rsid w:val="004776A0"/>
    <w:rsid w:val="0048130D"/>
    <w:rsid w:val="0048284D"/>
    <w:rsid w:val="00485EFF"/>
    <w:rsid w:val="00493669"/>
    <w:rsid w:val="00493E3D"/>
    <w:rsid w:val="0049580F"/>
    <w:rsid w:val="00496F15"/>
    <w:rsid w:val="004A1C1F"/>
    <w:rsid w:val="004A27AA"/>
    <w:rsid w:val="004A4113"/>
    <w:rsid w:val="004A4299"/>
    <w:rsid w:val="004A6703"/>
    <w:rsid w:val="004A6F48"/>
    <w:rsid w:val="004A7BF3"/>
    <w:rsid w:val="004B062B"/>
    <w:rsid w:val="004B248D"/>
    <w:rsid w:val="004B41B9"/>
    <w:rsid w:val="004B7A37"/>
    <w:rsid w:val="004C0E9F"/>
    <w:rsid w:val="004C10AC"/>
    <w:rsid w:val="004C27BB"/>
    <w:rsid w:val="004C2EE3"/>
    <w:rsid w:val="004C32D3"/>
    <w:rsid w:val="004C3A4C"/>
    <w:rsid w:val="004C67FE"/>
    <w:rsid w:val="004D1002"/>
    <w:rsid w:val="004D12D6"/>
    <w:rsid w:val="004D2B65"/>
    <w:rsid w:val="004D6B38"/>
    <w:rsid w:val="004E392A"/>
    <w:rsid w:val="004E3D4B"/>
    <w:rsid w:val="004E4A22"/>
    <w:rsid w:val="004E5E58"/>
    <w:rsid w:val="004E6BDE"/>
    <w:rsid w:val="004F3292"/>
    <w:rsid w:val="004F3CC0"/>
    <w:rsid w:val="004F3D7F"/>
    <w:rsid w:val="004F48DE"/>
    <w:rsid w:val="004F65B1"/>
    <w:rsid w:val="00500999"/>
    <w:rsid w:val="005013A4"/>
    <w:rsid w:val="00501DB8"/>
    <w:rsid w:val="0050472D"/>
    <w:rsid w:val="00506986"/>
    <w:rsid w:val="0050715F"/>
    <w:rsid w:val="00507441"/>
    <w:rsid w:val="0050787D"/>
    <w:rsid w:val="00507A98"/>
    <w:rsid w:val="00510901"/>
    <w:rsid w:val="00511968"/>
    <w:rsid w:val="00511A6C"/>
    <w:rsid w:val="0051293C"/>
    <w:rsid w:val="0051389D"/>
    <w:rsid w:val="00514665"/>
    <w:rsid w:val="005161FE"/>
    <w:rsid w:val="00517E75"/>
    <w:rsid w:val="00523D7F"/>
    <w:rsid w:val="0052459E"/>
    <w:rsid w:val="0052489D"/>
    <w:rsid w:val="00524A53"/>
    <w:rsid w:val="00525D5A"/>
    <w:rsid w:val="00526B35"/>
    <w:rsid w:val="00526C65"/>
    <w:rsid w:val="00527CD8"/>
    <w:rsid w:val="0053004A"/>
    <w:rsid w:val="00532D78"/>
    <w:rsid w:val="00533D40"/>
    <w:rsid w:val="0053456A"/>
    <w:rsid w:val="005364E4"/>
    <w:rsid w:val="005408E1"/>
    <w:rsid w:val="0054166E"/>
    <w:rsid w:val="00541C8C"/>
    <w:rsid w:val="00545C66"/>
    <w:rsid w:val="0054640E"/>
    <w:rsid w:val="0054657C"/>
    <w:rsid w:val="00546CD2"/>
    <w:rsid w:val="00547947"/>
    <w:rsid w:val="00547E62"/>
    <w:rsid w:val="00552EDC"/>
    <w:rsid w:val="00553FDF"/>
    <w:rsid w:val="00555567"/>
    <w:rsid w:val="0055614C"/>
    <w:rsid w:val="00557751"/>
    <w:rsid w:val="00560690"/>
    <w:rsid w:val="00561FC3"/>
    <w:rsid w:val="0056201A"/>
    <w:rsid w:val="005620F7"/>
    <w:rsid w:val="0056603C"/>
    <w:rsid w:val="00566D06"/>
    <w:rsid w:val="00567AB9"/>
    <w:rsid w:val="00571C1B"/>
    <w:rsid w:val="005724BF"/>
    <w:rsid w:val="00574143"/>
    <w:rsid w:val="0057496C"/>
    <w:rsid w:val="0057662A"/>
    <w:rsid w:val="00576D62"/>
    <w:rsid w:val="00582EB6"/>
    <w:rsid w:val="00583C70"/>
    <w:rsid w:val="00592A47"/>
    <w:rsid w:val="00594468"/>
    <w:rsid w:val="005956A8"/>
    <w:rsid w:val="00596288"/>
    <w:rsid w:val="005969AA"/>
    <w:rsid w:val="005A0425"/>
    <w:rsid w:val="005A2FC3"/>
    <w:rsid w:val="005A5484"/>
    <w:rsid w:val="005A74C1"/>
    <w:rsid w:val="005B10D0"/>
    <w:rsid w:val="005B1799"/>
    <w:rsid w:val="005B3207"/>
    <w:rsid w:val="005B3A0B"/>
    <w:rsid w:val="005B6162"/>
    <w:rsid w:val="005B7807"/>
    <w:rsid w:val="005C6C9C"/>
    <w:rsid w:val="005D25B5"/>
    <w:rsid w:val="005D3D5E"/>
    <w:rsid w:val="005D6058"/>
    <w:rsid w:val="005E14C2"/>
    <w:rsid w:val="005E268E"/>
    <w:rsid w:val="005E3543"/>
    <w:rsid w:val="005E3EB2"/>
    <w:rsid w:val="005E3F53"/>
    <w:rsid w:val="005E4697"/>
    <w:rsid w:val="005F1435"/>
    <w:rsid w:val="005F2152"/>
    <w:rsid w:val="005F33E5"/>
    <w:rsid w:val="005F4F1B"/>
    <w:rsid w:val="005F6E4E"/>
    <w:rsid w:val="006008F4"/>
    <w:rsid w:val="0060092B"/>
    <w:rsid w:val="00601648"/>
    <w:rsid w:val="006028E9"/>
    <w:rsid w:val="00603F89"/>
    <w:rsid w:val="00604B26"/>
    <w:rsid w:val="00605242"/>
    <w:rsid w:val="00607BA5"/>
    <w:rsid w:val="006101B1"/>
    <w:rsid w:val="0061051D"/>
    <w:rsid w:val="00611013"/>
    <w:rsid w:val="0061180A"/>
    <w:rsid w:val="00611EEB"/>
    <w:rsid w:val="006124CA"/>
    <w:rsid w:val="00614D6C"/>
    <w:rsid w:val="006157F9"/>
    <w:rsid w:val="00615DF7"/>
    <w:rsid w:val="0062236C"/>
    <w:rsid w:val="00622696"/>
    <w:rsid w:val="006258AC"/>
    <w:rsid w:val="00626A7C"/>
    <w:rsid w:val="00626DCE"/>
    <w:rsid w:val="00626E86"/>
    <w:rsid w:val="00626EB6"/>
    <w:rsid w:val="00626FC0"/>
    <w:rsid w:val="006278D7"/>
    <w:rsid w:val="006302CF"/>
    <w:rsid w:val="00632A14"/>
    <w:rsid w:val="00632F72"/>
    <w:rsid w:val="0063364A"/>
    <w:rsid w:val="00635B72"/>
    <w:rsid w:val="00637024"/>
    <w:rsid w:val="00637B2F"/>
    <w:rsid w:val="00641920"/>
    <w:rsid w:val="0064481F"/>
    <w:rsid w:val="00651631"/>
    <w:rsid w:val="00652E18"/>
    <w:rsid w:val="006534AA"/>
    <w:rsid w:val="00655D03"/>
    <w:rsid w:val="00660E3E"/>
    <w:rsid w:val="006628AE"/>
    <w:rsid w:val="006632E0"/>
    <w:rsid w:val="00664CD6"/>
    <w:rsid w:val="00667671"/>
    <w:rsid w:val="0067041B"/>
    <w:rsid w:val="006709CF"/>
    <w:rsid w:val="006721E4"/>
    <w:rsid w:val="006743AA"/>
    <w:rsid w:val="006747CF"/>
    <w:rsid w:val="00677CBB"/>
    <w:rsid w:val="00681F43"/>
    <w:rsid w:val="00682462"/>
    <w:rsid w:val="00682E51"/>
    <w:rsid w:val="00683388"/>
    <w:rsid w:val="00683F84"/>
    <w:rsid w:val="006849DA"/>
    <w:rsid w:val="00686DA6"/>
    <w:rsid w:val="00686F58"/>
    <w:rsid w:val="00687149"/>
    <w:rsid w:val="00687D46"/>
    <w:rsid w:val="00690A15"/>
    <w:rsid w:val="00691791"/>
    <w:rsid w:val="00692B76"/>
    <w:rsid w:val="0069345A"/>
    <w:rsid w:val="006959EE"/>
    <w:rsid w:val="00695B92"/>
    <w:rsid w:val="00695D6F"/>
    <w:rsid w:val="00696BDF"/>
    <w:rsid w:val="006A0AAB"/>
    <w:rsid w:val="006A4029"/>
    <w:rsid w:val="006A6A81"/>
    <w:rsid w:val="006A781A"/>
    <w:rsid w:val="006A79D9"/>
    <w:rsid w:val="006B06D9"/>
    <w:rsid w:val="006B24EF"/>
    <w:rsid w:val="006B3EBC"/>
    <w:rsid w:val="006B4281"/>
    <w:rsid w:val="006B4CD0"/>
    <w:rsid w:val="006B6C84"/>
    <w:rsid w:val="006B77FD"/>
    <w:rsid w:val="006B7BCF"/>
    <w:rsid w:val="006C1C46"/>
    <w:rsid w:val="006C2B8E"/>
    <w:rsid w:val="006C3A23"/>
    <w:rsid w:val="006C462C"/>
    <w:rsid w:val="006C55C5"/>
    <w:rsid w:val="006C5813"/>
    <w:rsid w:val="006C5925"/>
    <w:rsid w:val="006C5971"/>
    <w:rsid w:val="006C5CE0"/>
    <w:rsid w:val="006C5E63"/>
    <w:rsid w:val="006D0D93"/>
    <w:rsid w:val="006D4A60"/>
    <w:rsid w:val="006D5911"/>
    <w:rsid w:val="006D6FB9"/>
    <w:rsid w:val="006D77EB"/>
    <w:rsid w:val="006E1035"/>
    <w:rsid w:val="006E2C7F"/>
    <w:rsid w:val="006E395D"/>
    <w:rsid w:val="006E4787"/>
    <w:rsid w:val="006F056F"/>
    <w:rsid w:val="006F07EA"/>
    <w:rsid w:val="006F0F05"/>
    <w:rsid w:val="006F1015"/>
    <w:rsid w:val="006F1841"/>
    <w:rsid w:val="006F23B1"/>
    <w:rsid w:val="006F27DB"/>
    <w:rsid w:val="006F2E8F"/>
    <w:rsid w:val="006F4C2E"/>
    <w:rsid w:val="006F6F2F"/>
    <w:rsid w:val="006F70B7"/>
    <w:rsid w:val="006F7393"/>
    <w:rsid w:val="006F79B4"/>
    <w:rsid w:val="00701173"/>
    <w:rsid w:val="007013FD"/>
    <w:rsid w:val="00702083"/>
    <w:rsid w:val="0070224F"/>
    <w:rsid w:val="00702D38"/>
    <w:rsid w:val="00703810"/>
    <w:rsid w:val="007039FC"/>
    <w:rsid w:val="00706BE8"/>
    <w:rsid w:val="00706DCB"/>
    <w:rsid w:val="00707CA5"/>
    <w:rsid w:val="007115F7"/>
    <w:rsid w:val="00712057"/>
    <w:rsid w:val="007130CD"/>
    <w:rsid w:val="0071385C"/>
    <w:rsid w:val="007167CE"/>
    <w:rsid w:val="007209B9"/>
    <w:rsid w:val="007244A9"/>
    <w:rsid w:val="00724500"/>
    <w:rsid w:val="007270C7"/>
    <w:rsid w:val="00730795"/>
    <w:rsid w:val="00730A54"/>
    <w:rsid w:val="00730F8A"/>
    <w:rsid w:val="00732D63"/>
    <w:rsid w:val="00734F84"/>
    <w:rsid w:val="00736A71"/>
    <w:rsid w:val="007375CC"/>
    <w:rsid w:val="00742BF1"/>
    <w:rsid w:val="007476F9"/>
    <w:rsid w:val="00747E12"/>
    <w:rsid w:val="00752054"/>
    <w:rsid w:val="00752D31"/>
    <w:rsid w:val="0075301A"/>
    <w:rsid w:val="007603BF"/>
    <w:rsid w:val="00760A30"/>
    <w:rsid w:val="00761C34"/>
    <w:rsid w:val="00762D34"/>
    <w:rsid w:val="00763AFC"/>
    <w:rsid w:val="00763E26"/>
    <w:rsid w:val="00764807"/>
    <w:rsid w:val="007733A4"/>
    <w:rsid w:val="00774683"/>
    <w:rsid w:val="007752AC"/>
    <w:rsid w:val="00781EF5"/>
    <w:rsid w:val="00782D64"/>
    <w:rsid w:val="00783669"/>
    <w:rsid w:val="00785689"/>
    <w:rsid w:val="0078766B"/>
    <w:rsid w:val="007955E8"/>
    <w:rsid w:val="00797244"/>
    <w:rsid w:val="0079754B"/>
    <w:rsid w:val="00797A61"/>
    <w:rsid w:val="00797CB8"/>
    <w:rsid w:val="00797E28"/>
    <w:rsid w:val="007A1C2D"/>
    <w:rsid w:val="007A1E6D"/>
    <w:rsid w:val="007A3196"/>
    <w:rsid w:val="007A3326"/>
    <w:rsid w:val="007A5945"/>
    <w:rsid w:val="007A699C"/>
    <w:rsid w:val="007A745D"/>
    <w:rsid w:val="007B0EB2"/>
    <w:rsid w:val="007B2442"/>
    <w:rsid w:val="007B4494"/>
    <w:rsid w:val="007B4F7E"/>
    <w:rsid w:val="007B5A0B"/>
    <w:rsid w:val="007B64D9"/>
    <w:rsid w:val="007B70CE"/>
    <w:rsid w:val="007B7A8F"/>
    <w:rsid w:val="007C04CA"/>
    <w:rsid w:val="007C138B"/>
    <w:rsid w:val="007C140D"/>
    <w:rsid w:val="007C525B"/>
    <w:rsid w:val="007C539B"/>
    <w:rsid w:val="007C55DB"/>
    <w:rsid w:val="007C714A"/>
    <w:rsid w:val="007C73D1"/>
    <w:rsid w:val="007C7513"/>
    <w:rsid w:val="007C75D6"/>
    <w:rsid w:val="007C7804"/>
    <w:rsid w:val="007C7F36"/>
    <w:rsid w:val="007D135E"/>
    <w:rsid w:val="007D2F24"/>
    <w:rsid w:val="007E0208"/>
    <w:rsid w:val="007E078A"/>
    <w:rsid w:val="007E14AA"/>
    <w:rsid w:val="007E1900"/>
    <w:rsid w:val="007E315A"/>
    <w:rsid w:val="007E4188"/>
    <w:rsid w:val="007E636A"/>
    <w:rsid w:val="007E63A3"/>
    <w:rsid w:val="007E690F"/>
    <w:rsid w:val="007F064A"/>
    <w:rsid w:val="007F13B6"/>
    <w:rsid w:val="007F2764"/>
    <w:rsid w:val="0080051F"/>
    <w:rsid w:val="00801848"/>
    <w:rsid w:val="0080229C"/>
    <w:rsid w:val="00803FCA"/>
    <w:rsid w:val="0080421B"/>
    <w:rsid w:val="0080627A"/>
    <w:rsid w:val="008104F9"/>
    <w:rsid w:val="00810B6F"/>
    <w:rsid w:val="00813087"/>
    <w:rsid w:val="00815876"/>
    <w:rsid w:val="00815B95"/>
    <w:rsid w:val="008172D9"/>
    <w:rsid w:val="008217B5"/>
    <w:rsid w:val="00822CE0"/>
    <w:rsid w:val="008232FC"/>
    <w:rsid w:val="0082548C"/>
    <w:rsid w:val="008256AC"/>
    <w:rsid w:val="008317F1"/>
    <w:rsid w:val="00831B1A"/>
    <w:rsid w:val="00840053"/>
    <w:rsid w:val="00841AB1"/>
    <w:rsid w:val="00844E00"/>
    <w:rsid w:val="0084781F"/>
    <w:rsid w:val="00847A8F"/>
    <w:rsid w:val="0085171A"/>
    <w:rsid w:val="00851D43"/>
    <w:rsid w:val="0085240B"/>
    <w:rsid w:val="008551B8"/>
    <w:rsid w:val="0085569A"/>
    <w:rsid w:val="00860196"/>
    <w:rsid w:val="008612EE"/>
    <w:rsid w:val="0086239C"/>
    <w:rsid w:val="00863931"/>
    <w:rsid w:val="00863937"/>
    <w:rsid w:val="00863995"/>
    <w:rsid w:val="00867476"/>
    <w:rsid w:val="00872402"/>
    <w:rsid w:val="0087293F"/>
    <w:rsid w:val="008752AE"/>
    <w:rsid w:val="0087644D"/>
    <w:rsid w:val="0087662F"/>
    <w:rsid w:val="00877CA5"/>
    <w:rsid w:val="00882063"/>
    <w:rsid w:val="008826A1"/>
    <w:rsid w:val="00882B53"/>
    <w:rsid w:val="008900E1"/>
    <w:rsid w:val="00890B06"/>
    <w:rsid w:val="00890B98"/>
    <w:rsid w:val="00891F37"/>
    <w:rsid w:val="00893955"/>
    <w:rsid w:val="00893E64"/>
    <w:rsid w:val="0089463E"/>
    <w:rsid w:val="00894810"/>
    <w:rsid w:val="00896828"/>
    <w:rsid w:val="008A03B4"/>
    <w:rsid w:val="008A1886"/>
    <w:rsid w:val="008A1A36"/>
    <w:rsid w:val="008A5D77"/>
    <w:rsid w:val="008A6743"/>
    <w:rsid w:val="008A6CE9"/>
    <w:rsid w:val="008B00AA"/>
    <w:rsid w:val="008B359F"/>
    <w:rsid w:val="008B439B"/>
    <w:rsid w:val="008B59B4"/>
    <w:rsid w:val="008B5A0D"/>
    <w:rsid w:val="008B68C1"/>
    <w:rsid w:val="008B746C"/>
    <w:rsid w:val="008B7CA2"/>
    <w:rsid w:val="008C0D21"/>
    <w:rsid w:val="008C0EC2"/>
    <w:rsid w:val="008C366F"/>
    <w:rsid w:val="008C3A82"/>
    <w:rsid w:val="008C3C7F"/>
    <w:rsid w:val="008C4A2B"/>
    <w:rsid w:val="008C68F1"/>
    <w:rsid w:val="008C6CD0"/>
    <w:rsid w:val="008C6FCA"/>
    <w:rsid w:val="008C7B81"/>
    <w:rsid w:val="008D0BDD"/>
    <w:rsid w:val="008D0FA3"/>
    <w:rsid w:val="008D26E0"/>
    <w:rsid w:val="008D27C2"/>
    <w:rsid w:val="008D2CB7"/>
    <w:rsid w:val="008D5645"/>
    <w:rsid w:val="008D5B05"/>
    <w:rsid w:val="008D7410"/>
    <w:rsid w:val="008E0566"/>
    <w:rsid w:val="008E0D1F"/>
    <w:rsid w:val="008E0EC0"/>
    <w:rsid w:val="008E2550"/>
    <w:rsid w:val="008E5038"/>
    <w:rsid w:val="008E6C18"/>
    <w:rsid w:val="008E6C92"/>
    <w:rsid w:val="008E7103"/>
    <w:rsid w:val="008E720D"/>
    <w:rsid w:val="008F1EAF"/>
    <w:rsid w:val="008F215C"/>
    <w:rsid w:val="008F232F"/>
    <w:rsid w:val="008F3B6A"/>
    <w:rsid w:val="008F6B4E"/>
    <w:rsid w:val="008F7242"/>
    <w:rsid w:val="009003A5"/>
    <w:rsid w:val="009016E9"/>
    <w:rsid w:val="00902529"/>
    <w:rsid w:val="0090387A"/>
    <w:rsid w:val="0090392B"/>
    <w:rsid w:val="00904AB5"/>
    <w:rsid w:val="00906767"/>
    <w:rsid w:val="00906975"/>
    <w:rsid w:val="00911B2A"/>
    <w:rsid w:val="00913465"/>
    <w:rsid w:val="009147C7"/>
    <w:rsid w:val="00914CC8"/>
    <w:rsid w:val="00921803"/>
    <w:rsid w:val="00922386"/>
    <w:rsid w:val="009255CB"/>
    <w:rsid w:val="00926503"/>
    <w:rsid w:val="009269B6"/>
    <w:rsid w:val="00926F53"/>
    <w:rsid w:val="00927634"/>
    <w:rsid w:val="00932580"/>
    <w:rsid w:val="00932741"/>
    <w:rsid w:val="00932F2C"/>
    <w:rsid w:val="00934456"/>
    <w:rsid w:val="00934992"/>
    <w:rsid w:val="00935F41"/>
    <w:rsid w:val="009361AE"/>
    <w:rsid w:val="00936B37"/>
    <w:rsid w:val="00940A55"/>
    <w:rsid w:val="00941F2E"/>
    <w:rsid w:val="00943B4F"/>
    <w:rsid w:val="00946951"/>
    <w:rsid w:val="00950ECB"/>
    <w:rsid w:val="009512DF"/>
    <w:rsid w:val="0095145C"/>
    <w:rsid w:val="009529BB"/>
    <w:rsid w:val="00953231"/>
    <w:rsid w:val="00955AE8"/>
    <w:rsid w:val="00957D36"/>
    <w:rsid w:val="00961661"/>
    <w:rsid w:val="0096356C"/>
    <w:rsid w:val="009644E0"/>
    <w:rsid w:val="00964C5A"/>
    <w:rsid w:val="0096608B"/>
    <w:rsid w:val="009665EB"/>
    <w:rsid w:val="009726D8"/>
    <w:rsid w:val="00973E29"/>
    <w:rsid w:val="00974667"/>
    <w:rsid w:val="00975556"/>
    <w:rsid w:val="00976642"/>
    <w:rsid w:val="009810C4"/>
    <w:rsid w:val="009852B4"/>
    <w:rsid w:val="00987E63"/>
    <w:rsid w:val="009930C5"/>
    <w:rsid w:val="00994C85"/>
    <w:rsid w:val="009962C0"/>
    <w:rsid w:val="00996B47"/>
    <w:rsid w:val="00996CF0"/>
    <w:rsid w:val="009A1ABF"/>
    <w:rsid w:val="009A1E29"/>
    <w:rsid w:val="009A44B6"/>
    <w:rsid w:val="009A742D"/>
    <w:rsid w:val="009B2F0C"/>
    <w:rsid w:val="009B6565"/>
    <w:rsid w:val="009C02BA"/>
    <w:rsid w:val="009C0E5A"/>
    <w:rsid w:val="009C4482"/>
    <w:rsid w:val="009C5C15"/>
    <w:rsid w:val="009C7398"/>
    <w:rsid w:val="009D0F62"/>
    <w:rsid w:val="009D1CCC"/>
    <w:rsid w:val="009D37EF"/>
    <w:rsid w:val="009D552D"/>
    <w:rsid w:val="009D66D4"/>
    <w:rsid w:val="009D7308"/>
    <w:rsid w:val="009E2F2C"/>
    <w:rsid w:val="009E33BA"/>
    <w:rsid w:val="009E3DA2"/>
    <w:rsid w:val="009E54D1"/>
    <w:rsid w:val="009E60E3"/>
    <w:rsid w:val="009F295D"/>
    <w:rsid w:val="009F38D3"/>
    <w:rsid w:val="009F4548"/>
    <w:rsid w:val="009F7590"/>
    <w:rsid w:val="009F76DB"/>
    <w:rsid w:val="009F77F1"/>
    <w:rsid w:val="00A00230"/>
    <w:rsid w:val="00A005C8"/>
    <w:rsid w:val="00A00680"/>
    <w:rsid w:val="00A00D97"/>
    <w:rsid w:val="00A01569"/>
    <w:rsid w:val="00A02CF6"/>
    <w:rsid w:val="00A02EC0"/>
    <w:rsid w:val="00A03B8F"/>
    <w:rsid w:val="00A05D31"/>
    <w:rsid w:val="00A0748F"/>
    <w:rsid w:val="00A1006B"/>
    <w:rsid w:val="00A141C1"/>
    <w:rsid w:val="00A145F4"/>
    <w:rsid w:val="00A14A46"/>
    <w:rsid w:val="00A153DD"/>
    <w:rsid w:val="00A16A87"/>
    <w:rsid w:val="00A174E0"/>
    <w:rsid w:val="00A17AB1"/>
    <w:rsid w:val="00A21229"/>
    <w:rsid w:val="00A219F0"/>
    <w:rsid w:val="00A2551C"/>
    <w:rsid w:val="00A25F02"/>
    <w:rsid w:val="00A26012"/>
    <w:rsid w:val="00A2617A"/>
    <w:rsid w:val="00A27442"/>
    <w:rsid w:val="00A27AEF"/>
    <w:rsid w:val="00A27D78"/>
    <w:rsid w:val="00A3197E"/>
    <w:rsid w:val="00A32C3B"/>
    <w:rsid w:val="00A32D35"/>
    <w:rsid w:val="00A33621"/>
    <w:rsid w:val="00A37091"/>
    <w:rsid w:val="00A37195"/>
    <w:rsid w:val="00A37D1F"/>
    <w:rsid w:val="00A402B4"/>
    <w:rsid w:val="00A42E4A"/>
    <w:rsid w:val="00A45115"/>
    <w:rsid w:val="00A45DAD"/>
    <w:rsid w:val="00A45F4F"/>
    <w:rsid w:val="00A466D7"/>
    <w:rsid w:val="00A600A9"/>
    <w:rsid w:val="00A606D2"/>
    <w:rsid w:val="00A607BF"/>
    <w:rsid w:val="00A610B7"/>
    <w:rsid w:val="00A6268E"/>
    <w:rsid w:val="00A633D3"/>
    <w:rsid w:val="00A72402"/>
    <w:rsid w:val="00A727CD"/>
    <w:rsid w:val="00A826CB"/>
    <w:rsid w:val="00A841AA"/>
    <w:rsid w:val="00A84A87"/>
    <w:rsid w:val="00A85652"/>
    <w:rsid w:val="00A85E6D"/>
    <w:rsid w:val="00A86A93"/>
    <w:rsid w:val="00A87A2D"/>
    <w:rsid w:val="00A90913"/>
    <w:rsid w:val="00A92D61"/>
    <w:rsid w:val="00A93ABF"/>
    <w:rsid w:val="00A944F2"/>
    <w:rsid w:val="00A9676F"/>
    <w:rsid w:val="00A977A2"/>
    <w:rsid w:val="00AA1ECC"/>
    <w:rsid w:val="00AA25E5"/>
    <w:rsid w:val="00AA2E46"/>
    <w:rsid w:val="00AA452E"/>
    <w:rsid w:val="00AA497D"/>
    <w:rsid w:val="00AA55B7"/>
    <w:rsid w:val="00AA5B9E"/>
    <w:rsid w:val="00AA7EE8"/>
    <w:rsid w:val="00AB0E2C"/>
    <w:rsid w:val="00AB1009"/>
    <w:rsid w:val="00AB190C"/>
    <w:rsid w:val="00AB2407"/>
    <w:rsid w:val="00AB53DF"/>
    <w:rsid w:val="00AB54C5"/>
    <w:rsid w:val="00AB5F8B"/>
    <w:rsid w:val="00AB6552"/>
    <w:rsid w:val="00AC1DCE"/>
    <w:rsid w:val="00AC255E"/>
    <w:rsid w:val="00AC4D26"/>
    <w:rsid w:val="00AC6A20"/>
    <w:rsid w:val="00AC7736"/>
    <w:rsid w:val="00AD0146"/>
    <w:rsid w:val="00AD0EE6"/>
    <w:rsid w:val="00AD1098"/>
    <w:rsid w:val="00AD2D66"/>
    <w:rsid w:val="00AD462D"/>
    <w:rsid w:val="00AD488E"/>
    <w:rsid w:val="00AD5194"/>
    <w:rsid w:val="00AD5C7A"/>
    <w:rsid w:val="00AD7B16"/>
    <w:rsid w:val="00AE0E16"/>
    <w:rsid w:val="00AE0E52"/>
    <w:rsid w:val="00AE1EA2"/>
    <w:rsid w:val="00AE257A"/>
    <w:rsid w:val="00AE4A08"/>
    <w:rsid w:val="00AE4D72"/>
    <w:rsid w:val="00AE5E02"/>
    <w:rsid w:val="00AF242C"/>
    <w:rsid w:val="00AF264B"/>
    <w:rsid w:val="00AF3B15"/>
    <w:rsid w:val="00AF44A9"/>
    <w:rsid w:val="00AF4DDD"/>
    <w:rsid w:val="00AF558F"/>
    <w:rsid w:val="00AF5691"/>
    <w:rsid w:val="00AF5F1F"/>
    <w:rsid w:val="00AF614D"/>
    <w:rsid w:val="00AF6387"/>
    <w:rsid w:val="00AF753F"/>
    <w:rsid w:val="00B02B45"/>
    <w:rsid w:val="00B050D6"/>
    <w:rsid w:val="00B051A3"/>
    <w:rsid w:val="00B0576B"/>
    <w:rsid w:val="00B06398"/>
    <w:rsid w:val="00B07C7F"/>
    <w:rsid w:val="00B07E5C"/>
    <w:rsid w:val="00B109A1"/>
    <w:rsid w:val="00B11499"/>
    <w:rsid w:val="00B11FAC"/>
    <w:rsid w:val="00B14943"/>
    <w:rsid w:val="00B14D81"/>
    <w:rsid w:val="00B24557"/>
    <w:rsid w:val="00B25BC9"/>
    <w:rsid w:val="00B26D33"/>
    <w:rsid w:val="00B27DC1"/>
    <w:rsid w:val="00B30E1D"/>
    <w:rsid w:val="00B32E95"/>
    <w:rsid w:val="00B3352A"/>
    <w:rsid w:val="00B363AD"/>
    <w:rsid w:val="00B41084"/>
    <w:rsid w:val="00B42788"/>
    <w:rsid w:val="00B44282"/>
    <w:rsid w:val="00B45EA0"/>
    <w:rsid w:val="00B46B93"/>
    <w:rsid w:val="00B56003"/>
    <w:rsid w:val="00B57406"/>
    <w:rsid w:val="00B6288C"/>
    <w:rsid w:val="00B64E41"/>
    <w:rsid w:val="00B65011"/>
    <w:rsid w:val="00B67DCB"/>
    <w:rsid w:val="00B70970"/>
    <w:rsid w:val="00B727DA"/>
    <w:rsid w:val="00B72E69"/>
    <w:rsid w:val="00B747D7"/>
    <w:rsid w:val="00B7482C"/>
    <w:rsid w:val="00B7516C"/>
    <w:rsid w:val="00B77298"/>
    <w:rsid w:val="00B77F1A"/>
    <w:rsid w:val="00B811F7"/>
    <w:rsid w:val="00B81EFF"/>
    <w:rsid w:val="00B822BB"/>
    <w:rsid w:val="00B83779"/>
    <w:rsid w:val="00B87189"/>
    <w:rsid w:val="00B932AE"/>
    <w:rsid w:val="00B95DC8"/>
    <w:rsid w:val="00B964FE"/>
    <w:rsid w:val="00BA069E"/>
    <w:rsid w:val="00BA0930"/>
    <w:rsid w:val="00BA3729"/>
    <w:rsid w:val="00BA5DC6"/>
    <w:rsid w:val="00BA6196"/>
    <w:rsid w:val="00BA710B"/>
    <w:rsid w:val="00BB5F19"/>
    <w:rsid w:val="00BB626B"/>
    <w:rsid w:val="00BB6E31"/>
    <w:rsid w:val="00BB7EC1"/>
    <w:rsid w:val="00BB7FA8"/>
    <w:rsid w:val="00BC0810"/>
    <w:rsid w:val="00BC2B20"/>
    <w:rsid w:val="00BC5FD8"/>
    <w:rsid w:val="00BC6D8C"/>
    <w:rsid w:val="00BC797A"/>
    <w:rsid w:val="00BC7C2D"/>
    <w:rsid w:val="00BD46F4"/>
    <w:rsid w:val="00BD4E78"/>
    <w:rsid w:val="00BD5761"/>
    <w:rsid w:val="00BD5AC0"/>
    <w:rsid w:val="00BD6CA5"/>
    <w:rsid w:val="00BE0952"/>
    <w:rsid w:val="00BE0F23"/>
    <w:rsid w:val="00BE137F"/>
    <w:rsid w:val="00BE25D1"/>
    <w:rsid w:val="00BE2716"/>
    <w:rsid w:val="00BE41AB"/>
    <w:rsid w:val="00BE5C55"/>
    <w:rsid w:val="00BE653F"/>
    <w:rsid w:val="00BE6C3B"/>
    <w:rsid w:val="00BE6D0E"/>
    <w:rsid w:val="00BE6FAD"/>
    <w:rsid w:val="00BF168E"/>
    <w:rsid w:val="00BF3828"/>
    <w:rsid w:val="00BF47ED"/>
    <w:rsid w:val="00BF6163"/>
    <w:rsid w:val="00BF67C7"/>
    <w:rsid w:val="00BF73B4"/>
    <w:rsid w:val="00BF75C5"/>
    <w:rsid w:val="00C0127A"/>
    <w:rsid w:val="00C0220B"/>
    <w:rsid w:val="00C04C31"/>
    <w:rsid w:val="00C06BC6"/>
    <w:rsid w:val="00C06DAF"/>
    <w:rsid w:val="00C10C73"/>
    <w:rsid w:val="00C1269A"/>
    <w:rsid w:val="00C13CD9"/>
    <w:rsid w:val="00C13FB0"/>
    <w:rsid w:val="00C14536"/>
    <w:rsid w:val="00C15E2E"/>
    <w:rsid w:val="00C16366"/>
    <w:rsid w:val="00C16486"/>
    <w:rsid w:val="00C16E7D"/>
    <w:rsid w:val="00C1710D"/>
    <w:rsid w:val="00C17979"/>
    <w:rsid w:val="00C21225"/>
    <w:rsid w:val="00C232C0"/>
    <w:rsid w:val="00C2520B"/>
    <w:rsid w:val="00C254F0"/>
    <w:rsid w:val="00C300DF"/>
    <w:rsid w:val="00C3286D"/>
    <w:rsid w:val="00C32958"/>
    <w:rsid w:val="00C34006"/>
    <w:rsid w:val="00C3476E"/>
    <w:rsid w:val="00C35E70"/>
    <w:rsid w:val="00C36B4C"/>
    <w:rsid w:val="00C377B3"/>
    <w:rsid w:val="00C40B75"/>
    <w:rsid w:val="00C41BF3"/>
    <w:rsid w:val="00C420B0"/>
    <w:rsid w:val="00C425A6"/>
    <w:rsid w:val="00C426B1"/>
    <w:rsid w:val="00C43959"/>
    <w:rsid w:val="00C476D5"/>
    <w:rsid w:val="00C4780F"/>
    <w:rsid w:val="00C5209C"/>
    <w:rsid w:val="00C52C76"/>
    <w:rsid w:val="00C52DE2"/>
    <w:rsid w:val="00C52E99"/>
    <w:rsid w:val="00C52F4C"/>
    <w:rsid w:val="00C533DE"/>
    <w:rsid w:val="00C53A02"/>
    <w:rsid w:val="00C53C93"/>
    <w:rsid w:val="00C544F3"/>
    <w:rsid w:val="00C55072"/>
    <w:rsid w:val="00C55907"/>
    <w:rsid w:val="00C57B6E"/>
    <w:rsid w:val="00C66160"/>
    <w:rsid w:val="00C71D10"/>
    <w:rsid w:val="00C721AC"/>
    <w:rsid w:val="00C72ABE"/>
    <w:rsid w:val="00C7547A"/>
    <w:rsid w:val="00C75CF0"/>
    <w:rsid w:val="00C7662E"/>
    <w:rsid w:val="00C76B5E"/>
    <w:rsid w:val="00C76CD4"/>
    <w:rsid w:val="00C836E7"/>
    <w:rsid w:val="00C83D77"/>
    <w:rsid w:val="00C8577C"/>
    <w:rsid w:val="00C85E4C"/>
    <w:rsid w:val="00C86DFE"/>
    <w:rsid w:val="00C90D6A"/>
    <w:rsid w:val="00C92848"/>
    <w:rsid w:val="00C949D0"/>
    <w:rsid w:val="00C95465"/>
    <w:rsid w:val="00CA026B"/>
    <w:rsid w:val="00CA03FA"/>
    <w:rsid w:val="00CA1595"/>
    <w:rsid w:val="00CA22BA"/>
    <w:rsid w:val="00CA247E"/>
    <w:rsid w:val="00CA4BD9"/>
    <w:rsid w:val="00CA5AE6"/>
    <w:rsid w:val="00CA61AF"/>
    <w:rsid w:val="00CA6D21"/>
    <w:rsid w:val="00CB277A"/>
    <w:rsid w:val="00CB339A"/>
    <w:rsid w:val="00CB6D78"/>
    <w:rsid w:val="00CB71CD"/>
    <w:rsid w:val="00CC1C83"/>
    <w:rsid w:val="00CC30A6"/>
    <w:rsid w:val="00CC4CC5"/>
    <w:rsid w:val="00CC6C49"/>
    <w:rsid w:val="00CC72B6"/>
    <w:rsid w:val="00CC7467"/>
    <w:rsid w:val="00CC7C2C"/>
    <w:rsid w:val="00CD0D85"/>
    <w:rsid w:val="00CD0E4B"/>
    <w:rsid w:val="00CD2C36"/>
    <w:rsid w:val="00CD2FFC"/>
    <w:rsid w:val="00CD4DFC"/>
    <w:rsid w:val="00CD7772"/>
    <w:rsid w:val="00CE0077"/>
    <w:rsid w:val="00CE232D"/>
    <w:rsid w:val="00CE26D7"/>
    <w:rsid w:val="00CE6C6E"/>
    <w:rsid w:val="00CE796B"/>
    <w:rsid w:val="00CF0FD1"/>
    <w:rsid w:val="00CF5EFA"/>
    <w:rsid w:val="00D0218D"/>
    <w:rsid w:val="00D02B16"/>
    <w:rsid w:val="00D03137"/>
    <w:rsid w:val="00D0436A"/>
    <w:rsid w:val="00D13DC1"/>
    <w:rsid w:val="00D14FE1"/>
    <w:rsid w:val="00D155BB"/>
    <w:rsid w:val="00D15940"/>
    <w:rsid w:val="00D16599"/>
    <w:rsid w:val="00D17555"/>
    <w:rsid w:val="00D179DC"/>
    <w:rsid w:val="00D17B1C"/>
    <w:rsid w:val="00D217FF"/>
    <w:rsid w:val="00D23ABD"/>
    <w:rsid w:val="00D25FB5"/>
    <w:rsid w:val="00D26A36"/>
    <w:rsid w:val="00D3325D"/>
    <w:rsid w:val="00D36FD3"/>
    <w:rsid w:val="00D40D83"/>
    <w:rsid w:val="00D418E2"/>
    <w:rsid w:val="00D44223"/>
    <w:rsid w:val="00D44486"/>
    <w:rsid w:val="00D467BB"/>
    <w:rsid w:val="00D46C06"/>
    <w:rsid w:val="00D47E0E"/>
    <w:rsid w:val="00D51D7F"/>
    <w:rsid w:val="00D52A11"/>
    <w:rsid w:val="00D5472C"/>
    <w:rsid w:val="00D54AEE"/>
    <w:rsid w:val="00D559F7"/>
    <w:rsid w:val="00D56344"/>
    <w:rsid w:val="00D56401"/>
    <w:rsid w:val="00D56873"/>
    <w:rsid w:val="00D570F0"/>
    <w:rsid w:val="00D60354"/>
    <w:rsid w:val="00D604C0"/>
    <w:rsid w:val="00D61C27"/>
    <w:rsid w:val="00D62163"/>
    <w:rsid w:val="00D63870"/>
    <w:rsid w:val="00D70AAA"/>
    <w:rsid w:val="00D71C7B"/>
    <w:rsid w:val="00D72F86"/>
    <w:rsid w:val="00D75A37"/>
    <w:rsid w:val="00D76CD6"/>
    <w:rsid w:val="00D77944"/>
    <w:rsid w:val="00D80B17"/>
    <w:rsid w:val="00D8352B"/>
    <w:rsid w:val="00D845EB"/>
    <w:rsid w:val="00D87C21"/>
    <w:rsid w:val="00D90655"/>
    <w:rsid w:val="00D90BA8"/>
    <w:rsid w:val="00D9125F"/>
    <w:rsid w:val="00D93BA0"/>
    <w:rsid w:val="00D94439"/>
    <w:rsid w:val="00D97BF6"/>
    <w:rsid w:val="00DA119E"/>
    <w:rsid w:val="00DA2529"/>
    <w:rsid w:val="00DA28D0"/>
    <w:rsid w:val="00DA3744"/>
    <w:rsid w:val="00DA65FB"/>
    <w:rsid w:val="00DA6D61"/>
    <w:rsid w:val="00DA7893"/>
    <w:rsid w:val="00DB0635"/>
    <w:rsid w:val="00DB130A"/>
    <w:rsid w:val="00DB18E9"/>
    <w:rsid w:val="00DB2EBB"/>
    <w:rsid w:val="00DB31C6"/>
    <w:rsid w:val="00DB3B6F"/>
    <w:rsid w:val="00DB702C"/>
    <w:rsid w:val="00DC10A1"/>
    <w:rsid w:val="00DC655F"/>
    <w:rsid w:val="00DC6BC6"/>
    <w:rsid w:val="00DD0B59"/>
    <w:rsid w:val="00DD25B3"/>
    <w:rsid w:val="00DD4137"/>
    <w:rsid w:val="00DD5731"/>
    <w:rsid w:val="00DD7335"/>
    <w:rsid w:val="00DD7EBD"/>
    <w:rsid w:val="00DE0FDF"/>
    <w:rsid w:val="00DE2976"/>
    <w:rsid w:val="00DE2E09"/>
    <w:rsid w:val="00DE476F"/>
    <w:rsid w:val="00DE57AC"/>
    <w:rsid w:val="00DE5A18"/>
    <w:rsid w:val="00DF32FA"/>
    <w:rsid w:val="00DF496D"/>
    <w:rsid w:val="00DF4E62"/>
    <w:rsid w:val="00DF4F55"/>
    <w:rsid w:val="00DF5DE0"/>
    <w:rsid w:val="00DF62B6"/>
    <w:rsid w:val="00E0256F"/>
    <w:rsid w:val="00E02D17"/>
    <w:rsid w:val="00E0312D"/>
    <w:rsid w:val="00E07225"/>
    <w:rsid w:val="00E07B56"/>
    <w:rsid w:val="00E119A6"/>
    <w:rsid w:val="00E11D33"/>
    <w:rsid w:val="00E123AA"/>
    <w:rsid w:val="00E142A5"/>
    <w:rsid w:val="00E14F99"/>
    <w:rsid w:val="00E16637"/>
    <w:rsid w:val="00E20305"/>
    <w:rsid w:val="00E2296E"/>
    <w:rsid w:val="00E258C2"/>
    <w:rsid w:val="00E317FE"/>
    <w:rsid w:val="00E319B8"/>
    <w:rsid w:val="00E32279"/>
    <w:rsid w:val="00E338BC"/>
    <w:rsid w:val="00E344DE"/>
    <w:rsid w:val="00E37E31"/>
    <w:rsid w:val="00E40ABD"/>
    <w:rsid w:val="00E41DC1"/>
    <w:rsid w:val="00E4254A"/>
    <w:rsid w:val="00E43FD9"/>
    <w:rsid w:val="00E45619"/>
    <w:rsid w:val="00E45B32"/>
    <w:rsid w:val="00E45FB7"/>
    <w:rsid w:val="00E465F4"/>
    <w:rsid w:val="00E47B9C"/>
    <w:rsid w:val="00E506CA"/>
    <w:rsid w:val="00E52193"/>
    <w:rsid w:val="00E5295E"/>
    <w:rsid w:val="00E53107"/>
    <w:rsid w:val="00E53D96"/>
    <w:rsid w:val="00E5409F"/>
    <w:rsid w:val="00E54968"/>
    <w:rsid w:val="00E56464"/>
    <w:rsid w:val="00E573E6"/>
    <w:rsid w:val="00E61FE2"/>
    <w:rsid w:val="00E620E1"/>
    <w:rsid w:val="00E64773"/>
    <w:rsid w:val="00E66EBC"/>
    <w:rsid w:val="00E67A82"/>
    <w:rsid w:val="00E70CDB"/>
    <w:rsid w:val="00E714F6"/>
    <w:rsid w:val="00E722C0"/>
    <w:rsid w:val="00E74A3C"/>
    <w:rsid w:val="00E8029F"/>
    <w:rsid w:val="00E81DDE"/>
    <w:rsid w:val="00E85E10"/>
    <w:rsid w:val="00E86459"/>
    <w:rsid w:val="00E90ECD"/>
    <w:rsid w:val="00E91945"/>
    <w:rsid w:val="00E9351C"/>
    <w:rsid w:val="00E937A1"/>
    <w:rsid w:val="00E9494F"/>
    <w:rsid w:val="00E96268"/>
    <w:rsid w:val="00E978E3"/>
    <w:rsid w:val="00EA08B8"/>
    <w:rsid w:val="00EA2518"/>
    <w:rsid w:val="00EA34F3"/>
    <w:rsid w:val="00EA4662"/>
    <w:rsid w:val="00EB1FDC"/>
    <w:rsid w:val="00EB278B"/>
    <w:rsid w:val="00EB3370"/>
    <w:rsid w:val="00EB34D8"/>
    <w:rsid w:val="00EB5A0C"/>
    <w:rsid w:val="00EB6812"/>
    <w:rsid w:val="00EB713A"/>
    <w:rsid w:val="00EC254B"/>
    <w:rsid w:val="00EC5185"/>
    <w:rsid w:val="00EC73E4"/>
    <w:rsid w:val="00EC78C4"/>
    <w:rsid w:val="00EC7913"/>
    <w:rsid w:val="00EC7C33"/>
    <w:rsid w:val="00ED2E8E"/>
    <w:rsid w:val="00ED58AA"/>
    <w:rsid w:val="00ED7A0E"/>
    <w:rsid w:val="00EE046E"/>
    <w:rsid w:val="00EE1A5D"/>
    <w:rsid w:val="00EE5A10"/>
    <w:rsid w:val="00EE6488"/>
    <w:rsid w:val="00EF1DD8"/>
    <w:rsid w:val="00EF3FB7"/>
    <w:rsid w:val="00EF47D3"/>
    <w:rsid w:val="00EF49F5"/>
    <w:rsid w:val="00EF6B72"/>
    <w:rsid w:val="00F00053"/>
    <w:rsid w:val="00F00092"/>
    <w:rsid w:val="00F021FA"/>
    <w:rsid w:val="00F03708"/>
    <w:rsid w:val="00F044B7"/>
    <w:rsid w:val="00F05FB9"/>
    <w:rsid w:val="00F060D4"/>
    <w:rsid w:val="00F101F5"/>
    <w:rsid w:val="00F10F50"/>
    <w:rsid w:val="00F123A6"/>
    <w:rsid w:val="00F1509F"/>
    <w:rsid w:val="00F15133"/>
    <w:rsid w:val="00F17612"/>
    <w:rsid w:val="00F17650"/>
    <w:rsid w:val="00F23633"/>
    <w:rsid w:val="00F2382E"/>
    <w:rsid w:val="00F24214"/>
    <w:rsid w:val="00F251A1"/>
    <w:rsid w:val="00F27058"/>
    <w:rsid w:val="00F31938"/>
    <w:rsid w:val="00F326BE"/>
    <w:rsid w:val="00F32894"/>
    <w:rsid w:val="00F33835"/>
    <w:rsid w:val="00F3519A"/>
    <w:rsid w:val="00F357C3"/>
    <w:rsid w:val="00F361EE"/>
    <w:rsid w:val="00F36CDC"/>
    <w:rsid w:val="00F400C2"/>
    <w:rsid w:val="00F41EC6"/>
    <w:rsid w:val="00F42FBB"/>
    <w:rsid w:val="00F43BFB"/>
    <w:rsid w:val="00F50DD8"/>
    <w:rsid w:val="00F51636"/>
    <w:rsid w:val="00F52466"/>
    <w:rsid w:val="00F53BFB"/>
    <w:rsid w:val="00F572F8"/>
    <w:rsid w:val="00F60005"/>
    <w:rsid w:val="00F600FC"/>
    <w:rsid w:val="00F60532"/>
    <w:rsid w:val="00F62E97"/>
    <w:rsid w:val="00F63F24"/>
    <w:rsid w:val="00F64209"/>
    <w:rsid w:val="00F64864"/>
    <w:rsid w:val="00F649FB"/>
    <w:rsid w:val="00F64A5D"/>
    <w:rsid w:val="00F65D5D"/>
    <w:rsid w:val="00F65F96"/>
    <w:rsid w:val="00F67F47"/>
    <w:rsid w:val="00F725E0"/>
    <w:rsid w:val="00F72F3C"/>
    <w:rsid w:val="00F72FD7"/>
    <w:rsid w:val="00F7362D"/>
    <w:rsid w:val="00F7416F"/>
    <w:rsid w:val="00F75289"/>
    <w:rsid w:val="00F81886"/>
    <w:rsid w:val="00F823E7"/>
    <w:rsid w:val="00F8306E"/>
    <w:rsid w:val="00F84B97"/>
    <w:rsid w:val="00F853BD"/>
    <w:rsid w:val="00F8769F"/>
    <w:rsid w:val="00F87DB4"/>
    <w:rsid w:val="00F87F29"/>
    <w:rsid w:val="00F93BF5"/>
    <w:rsid w:val="00F93F93"/>
    <w:rsid w:val="00F97987"/>
    <w:rsid w:val="00FA0D4F"/>
    <w:rsid w:val="00FA19A8"/>
    <w:rsid w:val="00FA2C54"/>
    <w:rsid w:val="00FA327F"/>
    <w:rsid w:val="00FA3BFE"/>
    <w:rsid w:val="00FB106A"/>
    <w:rsid w:val="00FB23DB"/>
    <w:rsid w:val="00FB2473"/>
    <w:rsid w:val="00FB2FF2"/>
    <w:rsid w:val="00FB64B7"/>
    <w:rsid w:val="00FC003C"/>
    <w:rsid w:val="00FC498D"/>
    <w:rsid w:val="00FC7CEF"/>
    <w:rsid w:val="00FD18AB"/>
    <w:rsid w:val="00FE0E17"/>
    <w:rsid w:val="00FE47E4"/>
    <w:rsid w:val="00FE4893"/>
    <w:rsid w:val="00FE4E90"/>
    <w:rsid w:val="00FE61F8"/>
    <w:rsid w:val="00FE64FA"/>
    <w:rsid w:val="00FF1DC3"/>
    <w:rsid w:val="00FF340A"/>
    <w:rsid w:val="00FF4982"/>
    <w:rsid w:val="00FF6136"/>
    <w:rsid w:val="00FF7A5F"/>
    <w:rsid w:val="01319A1E"/>
    <w:rsid w:val="017D8179"/>
    <w:rsid w:val="01B5861C"/>
    <w:rsid w:val="02100245"/>
    <w:rsid w:val="02DE7380"/>
    <w:rsid w:val="05FFAA81"/>
    <w:rsid w:val="07C7791D"/>
    <w:rsid w:val="09D47AB9"/>
    <w:rsid w:val="0DEA3441"/>
    <w:rsid w:val="0E78F0C8"/>
    <w:rsid w:val="10EE5A5C"/>
    <w:rsid w:val="1119E744"/>
    <w:rsid w:val="1C6CB5A6"/>
    <w:rsid w:val="204B354F"/>
    <w:rsid w:val="238045F2"/>
    <w:rsid w:val="24D02EF8"/>
    <w:rsid w:val="26384E4D"/>
    <w:rsid w:val="26633BB7"/>
    <w:rsid w:val="26C8EFB5"/>
    <w:rsid w:val="2714D710"/>
    <w:rsid w:val="2853B715"/>
    <w:rsid w:val="2B8EE4A7"/>
    <w:rsid w:val="2BE1EF3F"/>
    <w:rsid w:val="2C81DD51"/>
    <w:rsid w:val="2E7FFAE3"/>
    <w:rsid w:val="2F546E5B"/>
    <w:rsid w:val="32D7F678"/>
    <w:rsid w:val="3333206C"/>
    <w:rsid w:val="358E2E5A"/>
    <w:rsid w:val="35DA15B5"/>
    <w:rsid w:val="365B7E95"/>
    <w:rsid w:val="37708941"/>
    <w:rsid w:val="3775E616"/>
    <w:rsid w:val="3E3DF94E"/>
    <w:rsid w:val="405E5518"/>
    <w:rsid w:val="441EA6F3"/>
    <w:rsid w:val="4491D829"/>
    <w:rsid w:val="46D2F371"/>
    <w:rsid w:val="48156046"/>
    <w:rsid w:val="4965494C"/>
    <w:rsid w:val="4CE8D169"/>
    <w:rsid w:val="4EDF43E9"/>
    <w:rsid w:val="52B824DB"/>
    <w:rsid w:val="54595211"/>
    <w:rsid w:val="55680A33"/>
    <w:rsid w:val="585E430E"/>
    <w:rsid w:val="5A28A583"/>
    <w:rsid w:val="5BF83101"/>
    <w:rsid w:val="5DFD1FB4"/>
    <w:rsid w:val="5E40FAF4"/>
    <w:rsid w:val="5F47FE01"/>
    <w:rsid w:val="5FC966E1"/>
    <w:rsid w:val="659E1728"/>
    <w:rsid w:val="6648B547"/>
    <w:rsid w:val="67348AB4"/>
    <w:rsid w:val="674F8DDB"/>
    <w:rsid w:val="687C545E"/>
    <w:rsid w:val="6B2E606A"/>
    <w:rsid w:val="6F48F610"/>
    <w:rsid w:val="6F4DE313"/>
    <w:rsid w:val="6FE77831"/>
    <w:rsid w:val="76F3E540"/>
    <w:rsid w:val="77089266"/>
    <w:rsid w:val="7BF51E2E"/>
    <w:rsid w:val="7CF117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efaultImageDpi w14:val="96"/>
  <w14:docId w14:val="312FE210"/>
  <w15:docId w15:val="{4F9BBCFF-E249-425B-8F50-63E0E4739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kern w:val="28"/>
      <w:sz w:val="22"/>
    </w:rPr>
  </w:style>
  <w:style w:type="paragraph" w:styleId="Heading1">
    <w:name w:val="heading 1"/>
    <w:basedOn w:val="Normal"/>
    <w:next w:val="ParaNum"/>
    <w:link w:val="Heading1Char"/>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7A1E6D"/>
    <w:pPr>
      <w:keepNext/>
      <w:numPr>
        <w:ilvl w:val="1"/>
        <w:numId w:val="3"/>
      </w:numPr>
      <w:spacing w:after="120"/>
      <w:outlineLvl w:val="1"/>
    </w:pPr>
    <w:rPr>
      <w:b/>
    </w:rPr>
  </w:style>
  <w:style w:type="paragraph" w:styleId="Heading3">
    <w:name w:val="heading 3"/>
    <w:basedOn w:val="Normal"/>
    <w:next w:val="ParaNum"/>
    <w:link w:val="Heading3Char"/>
    <w:uiPriority w:val="9"/>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uiPriority w:val="9"/>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1E01CA"/>
    <w:pPr>
      <w:numPr>
        <w:ilvl w:val="7"/>
        <w:numId w:val="3"/>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1E01CA"/>
    <w:pPr>
      <w:numPr>
        <w:ilvl w:val="8"/>
        <w:numId w:val="3"/>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kern w:val="28"/>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kern w:val="28"/>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kern w:val="28"/>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kern w:val="28"/>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kern w:val="28"/>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kern w:val="28"/>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kern w:val="28"/>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kern w:val="28"/>
      <w:sz w:val="22"/>
      <w:szCs w:val="22"/>
    </w:rPr>
  </w:style>
  <w:style w:type="paragraph" w:customStyle="1" w:styleId="ParaNum">
    <w:name w:val="ParaNum"/>
    <w:basedOn w:val="Normal"/>
    <w:link w:val="ParaNumCharChar1"/>
    <w:qFormat/>
    <w:rsid w:val="00E07225"/>
    <w:pPr>
      <w:numPr>
        <w:numId w:val="2"/>
      </w:numPr>
      <w:tabs>
        <w:tab w:val="num" w:pos="1440"/>
      </w:tabs>
      <w:spacing w:after="120"/>
    </w:pPr>
  </w:style>
  <w:style w:type="paragraph" w:styleId="EndnoteText">
    <w:name w:val="endnote text"/>
    <w:basedOn w:val="Normal"/>
    <w:link w:val="EndnoteTextChar"/>
    <w:uiPriority w:val="99"/>
    <w:semiHidden/>
    <w:rPr>
      <w:sz w:val="20"/>
    </w:rPr>
  </w:style>
  <w:style w:type="character" w:customStyle="1" w:styleId="EndnoteTextChar">
    <w:name w:val="Endnote Text Char"/>
    <w:basedOn w:val="DefaultParagraphFont"/>
    <w:link w:val="EndnoteText"/>
    <w:uiPriority w:val="99"/>
    <w:semiHidden/>
    <w:rPr>
      <w:kern w:val="28"/>
    </w:rPr>
  </w:style>
  <w:style w:type="character" w:styleId="EndnoteReference">
    <w:name w:val="endnote reference"/>
    <w:basedOn w:val="DefaultParagraphFont"/>
    <w:uiPriority w:val="99"/>
    <w:semiHidden/>
    <w:rPr>
      <w:vertAlign w:val="superscript"/>
    </w:rPr>
  </w:style>
  <w:style w:type="paragraph" w:styleId="FootnoteText">
    <w:name w:val="footnote text"/>
    <w:aliases w:val="ALTS FOOTNOTE Cha,Footnote Text Char Char,Footnote Text Char Char Char Char,Footnote Text Char1,Footnote Text Char2 Char Char2 Char2 Char Char,Footnote Text Char4 Char Char1 Char Char,Footnote Text Char5 Char,Footnote Text Char5 Char Char"/>
    <w:basedOn w:val="Normal"/>
    <w:link w:val="FootnoteTextChar"/>
    <w:uiPriority w:val="99"/>
    <w:qFormat/>
    <w:rsid w:val="000E3D42"/>
    <w:pPr>
      <w:widowControl/>
      <w:spacing w:after="120"/>
    </w:pPr>
    <w:rPr>
      <w:kern w:val="0"/>
      <w:sz w:val="20"/>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1"/>
    <w:basedOn w:val="DefaultParagraphFont"/>
    <w:link w:val="FootnoteText"/>
    <w:uiPriority w:val="99"/>
    <w:locked/>
    <w:rsid w:val="00C52F4C"/>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iPriority w:val="99"/>
    <w:qFormat/>
    <w:rsid w:val="00A32C3B"/>
    <w:rPr>
      <w:rFonts w:ascii="Times New Roman" w:hAnsi="Times New Roman"/>
      <w:color w:val="auto"/>
      <w:sz w:val="20"/>
      <w:vertAlign w:val="superscript"/>
    </w:rPr>
  </w:style>
  <w:style w:type="paragraph" w:styleId="TOC1">
    <w:name w:val="toc 1"/>
    <w:basedOn w:val="Normal"/>
    <w:next w:val="Normal"/>
    <w:uiPriority w:val="39"/>
    <w:semiHidden/>
    <w:pPr>
      <w:tabs>
        <w:tab w:val="left" w:pos="360"/>
        <w:tab w:val="right" w:leader="dot" w:pos="9360"/>
      </w:tabs>
      <w:suppressAutoHyphens/>
      <w:ind w:left="360" w:right="720" w:hanging="360"/>
    </w:pPr>
    <w:rPr>
      <w:caps/>
      <w:noProof/>
    </w:rPr>
  </w:style>
  <w:style w:type="paragraph" w:styleId="TOC2">
    <w:name w:val="toc 2"/>
    <w:basedOn w:val="Normal"/>
    <w:next w:val="Normal"/>
    <w:uiPriority w:val="39"/>
    <w:semiHidden/>
    <w:pPr>
      <w:tabs>
        <w:tab w:val="left" w:pos="720"/>
        <w:tab w:val="right" w:leader="dot" w:pos="9360"/>
      </w:tabs>
      <w:suppressAutoHyphens/>
      <w:ind w:left="720" w:right="720" w:hanging="360"/>
    </w:pPr>
    <w:rPr>
      <w:noProof/>
    </w:rPr>
  </w:style>
  <w:style w:type="paragraph" w:styleId="TOC3">
    <w:name w:val="toc 3"/>
    <w:basedOn w:val="Normal"/>
    <w:next w:val="Normal"/>
    <w:uiPriority w:val="39"/>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39"/>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39"/>
    <w:semiHidden/>
    <w:pPr>
      <w:tabs>
        <w:tab w:val="left" w:pos="2160"/>
        <w:tab w:val="right" w:leader="dot" w:pos="9360"/>
      </w:tabs>
      <w:suppressAutoHyphens/>
      <w:ind w:left="2160" w:hanging="360"/>
    </w:pPr>
    <w:rPr>
      <w:noProof/>
    </w:rPr>
  </w:style>
  <w:style w:type="paragraph" w:styleId="TOC7">
    <w:name w:val="toc 7"/>
    <w:basedOn w:val="Normal"/>
    <w:next w:val="Normal"/>
    <w:autoRedefine/>
    <w:uiPriority w:val="39"/>
    <w:semiHidden/>
    <w:pPr>
      <w:tabs>
        <w:tab w:val="left" w:pos="2520"/>
        <w:tab w:val="right" w:leader="dot" w:pos="9360"/>
      </w:tabs>
      <w:suppressAutoHyphens/>
      <w:ind w:left="2520" w:hanging="360"/>
    </w:pPr>
    <w:rPr>
      <w:noProof/>
    </w:rPr>
  </w:style>
  <w:style w:type="paragraph" w:styleId="TOC8">
    <w:name w:val="toc 8"/>
    <w:basedOn w:val="Normal"/>
    <w:next w:val="Normal"/>
    <w:autoRedefine/>
    <w:uiPriority w:val="39"/>
    <w:semiHidden/>
    <w:pPr>
      <w:tabs>
        <w:tab w:val="left" w:pos="2880"/>
        <w:tab w:val="right" w:leader="dot" w:pos="9360"/>
      </w:tabs>
      <w:suppressAutoHyphens/>
      <w:ind w:left="2880" w:hanging="360"/>
    </w:pPr>
    <w:rPr>
      <w:noProof/>
    </w:rPr>
  </w:style>
  <w:style w:type="paragraph" w:styleId="TOC9">
    <w:name w:val="toc 9"/>
    <w:basedOn w:val="Normal"/>
    <w:next w:val="Normal"/>
    <w:autoRedefine/>
    <w:uiPriority w:val="39"/>
    <w:semiHidden/>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character" w:customStyle="1" w:styleId="HeaderChar">
    <w:name w:val="Header Char"/>
    <w:basedOn w:val="DefaultParagraphFont"/>
    <w:link w:val="Header"/>
    <w:uiPriority w:val="99"/>
    <w:semiHidden/>
    <w:rPr>
      <w:kern w:val="28"/>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9D7308"/>
    <w:rPr>
      <w:kern w:val="28"/>
      <w:sz w:val="22"/>
    </w:rPr>
  </w:style>
  <w:style w:type="character" w:styleId="PageNumber">
    <w:name w:val="page number"/>
    <w:basedOn w:val="DefaultParagraphFont"/>
    <w:uiPriority w:val="99"/>
    <w:rPr>
      <w:rFonts w:cs="Times New Roman"/>
    </w:rPr>
  </w:style>
  <w:style w:type="paragraph" w:styleId="BlockText">
    <w:name w:val="Block Text"/>
    <w:basedOn w:val="Normal"/>
    <w:uiPriority w:val="99"/>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basedOn w:val="DefaultParagraphFont"/>
    <w:uiPriority w:val="99"/>
    <w:rsid w:val="002A2D2E"/>
    <w:rPr>
      <w:color w:val="0000FF"/>
      <w:u w:val="single"/>
    </w:rPr>
  </w:style>
  <w:style w:type="paragraph" w:styleId="BalloonText">
    <w:name w:val="Balloon Text"/>
    <w:basedOn w:val="Normal"/>
    <w:link w:val="BalloonTextChar"/>
    <w:uiPriority w:val="99"/>
    <w:rsid w:val="001B2661"/>
    <w:rPr>
      <w:rFonts w:ascii="Segoe UI" w:hAnsi="Segoe UI" w:cs="Segoe UI"/>
      <w:sz w:val="18"/>
      <w:szCs w:val="18"/>
    </w:rPr>
  </w:style>
  <w:style w:type="character" w:customStyle="1" w:styleId="BalloonTextChar">
    <w:name w:val="Balloon Text Char"/>
    <w:basedOn w:val="DefaultParagraphFont"/>
    <w:link w:val="BalloonText"/>
    <w:uiPriority w:val="99"/>
    <w:locked/>
    <w:rsid w:val="001B2661"/>
    <w:rPr>
      <w:rFonts w:ascii="Segoe UI" w:hAnsi="Segoe UI"/>
      <w:kern w:val="28"/>
      <w:sz w:val="18"/>
    </w:rPr>
  </w:style>
  <w:style w:type="character" w:customStyle="1" w:styleId="ParaNumCharChar1">
    <w:name w:val="ParaNum Char Char1"/>
    <w:link w:val="ParaNum"/>
    <w:locked/>
    <w:rsid w:val="00A841AA"/>
    <w:rPr>
      <w:kern w:val="28"/>
      <w:sz w:val="22"/>
    </w:rPr>
  </w:style>
  <w:style w:type="character" w:styleId="CommentReference">
    <w:name w:val="annotation reference"/>
    <w:basedOn w:val="DefaultParagraphFont"/>
    <w:uiPriority w:val="99"/>
    <w:rsid w:val="00A02CF6"/>
    <w:rPr>
      <w:sz w:val="16"/>
    </w:rPr>
  </w:style>
  <w:style w:type="paragraph" w:styleId="CommentText">
    <w:name w:val="annotation text"/>
    <w:basedOn w:val="Normal"/>
    <w:link w:val="CommentTextChar"/>
    <w:uiPriority w:val="99"/>
    <w:rsid w:val="00A02CF6"/>
    <w:rPr>
      <w:sz w:val="20"/>
    </w:rPr>
  </w:style>
  <w:style w:type="character" w:customStyle="1" w:styleId="CommentTextChar">
    <w:name w:val="Comment Text Char"/>
    <w:basedOn w:val="DefaultParagraphFont"/>
    <w:link w:val="CommentText"/>
    <w:uiPriority w:val="99"/>
    <w:locked/>
    <w:rsid w:val="00A02CF6"/>
    <w:rPr>
      <w:kern w:val="28"/>
    </w:rPr>
  </w:style>
  <w:style w:type="paragraph" w:styleId="CommentSubject">
    <w:name w:val="annotation subject"/>
    <w:basedOn w:val="CommentText"/>
    <w:next w:val="CommentText"/>
    <w:link w:val="CommentSubjectChar"/>
    <w:uiPriority w:val="99"/>
    <w:rsid w:val="00A02CF6"/>
    <w:rPr>
      <w:b/>
      <w:bCs/>
    </w:rPr>
  </w:style>
  <w:style w:type="character" w:customStyle="1" w:styleId="CommentSubjectChar">
    <w:name w:val="Comment Subject Char"/>
    <w:basedOn w:val="CommentTextChar"/>
    <w:link w:val="CommentSubject"/>
    <w:uiPriority w:val="99"/>
    <w:locked/>
    <w:rsid w:val="00A02CF6"/>
    <w:rPr>
      <w:b/>
      <w:kern w:val="28"/>
    </w:rPr>
  </w:style>
  <w:style w:type="character" w:customStyle="1" w:styleId="ParaNumChar">
    <w:name w:val="ParaNum Char"/>
    <w:locked/>
    <w:rsid w:val="00660E3E"/>
    <w:rPr>
      <w:kern w:val="28"/>
      <w:sz w:val="22"/>
    </w:rPr>
  </w:style>
  <w:style w:type="paragraph" w:styleId="Revision">
    <w:name w:val="Revision"/>
    <w:hidden/>
    <w:uiPriority w:val="99"/>
    <w:semiHidden/>
    <w:rsid w:val="0080421B"/>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