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6C7DA90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C9BFF1" w14:textId="77777777">
      <w:pPr>
        <w:pStyle w:val="StyleBoldCentered"/>
      </w:pPr>
      <w:r>
        <w:t>F</w:t>
      </w:r>
      <w:r>
        <w:rPr>
          <w:caps w:val="0"/>
        </w:rPr>
        <w:t>ederal Communications Commission</w:t>
      </w:r>
    </w:p>
    <w:p w:rsidR="004C2EE3" w:rsidP="00096D8C" w14:paraId="75D55119" w14:textId="77777777">
      <w:pPr>
        <w:pStyle w:val="StyleBoldCentered"/>
      </w:pPr>
      <w:r>
        <w:rPr>
          <w:caps w:val="0"/>
        </w:rPr>
        <w:t>Washington, D.C. 20554</w:t>
      </w:r>
    </w:p>
    <w:p w:rsidR="004C2EE3" w:rsidP="0070224F" w14:paraId="1395100A" w14:textId="77777777"/>
    <w:p w:rsidR="004C2EE3" w:rsidP="0070224F" w14:paraId="58950F19" w14:textId="77777777"/>
    <w:tbl>
      <w:tblPr>
        <w:tblW w:w="0" w:type="auto"/>
        <w:tblLayout w:type="fixed"/>
        <w:tblLook w:val="0000"/>
      </w:tblPr>
      <w:tblGrid>
        <w:gridCol w:w="4698"/>
        <w:gridCol w:w="630"/>
        <w:gridCol w:w="4248"/>
      </w:tblGrid>
      <w:tr w14:paraId="63C768BC" w14:textId="77777777">
        <w:tblPrEx>
          <w:tblW w:w="0" w:type="auto"/>
          <w:tblLayout w:type="fixed"/>
          <w:tblLook w:val="0000"/>
        </w:tblPrEx>
        <w:tc>
          <w:tcPr>
            <w:tcW w:w="4698" w:type="dxa"/>
          </w:tcPr>
          <w:p w:rsidR="004C2EE3" w14:paraId="69710626" w14:textId="77777777">
            <w:pPr>
              <w:tabs>
                <w:tab w:val="center" w:pos="4680"/>
              </w:tabs>
              <w:suppressAutoHyphens/>
              <w:rPr>
                <w:spacing w:val="-2"/>
              </w:rPr>
            </w:pPr>
            <w:r>
              <w:rPr>
                <w:spacing w:val="-2"/>
              </w:rPr>
              <w:t>In the Matter of</w:t>
            </w:r>
          </w:p>
          <w:p w:rsidR="004C2EE3" w14:paraId="3005D85E" w14:textId="77777777">
            <w:pPr>
              <w:tabs>
                <w:tab w:val="center" w:pos="4680"/>
              </w:tabs>
              <w:suppressAutoHyphens/>
              <w:rPr>
                <w:spacing w:val="-2"/>
              </w:rPr>
            </w:pPr>
          </w:p>
          <w:p w:rsidR="004C2EE3" w:rsidRPr="007115F7" w:rsidP="007115F7" w14:paraId="6B4A4B96" w14:textId="3734E13A">
            <w:pPr>
              <w:tabs>
                <w:tab w:val="center" w:pos="4680"/>
              </w:tabs>
              <w:suppressAutoHyphens/>
              <w:rPr>
                <w:spacing w:val="-2"/>
              </w:rPr>
            </w:pPr>
            <w:r>
              <w:rPr>
                <w:spacing w:val="-2"/>
              </w:rPr>
              <w:t>ETC Annual Reports and Certifications</w:t>
            </w:r>
          </w:p>
        </w:tc>
        <w:tc>
          <w:tcPr>
            <w:tcW w:w="630" w:type="dxa"/>
          </w:tcPr>
          <w:p w:rsidR="004C2EE3" w14:paraId="1C42B799" w14:textId="77777777">
            <w:pPr>
              <w:tabs>
                <w:tab w:val="center" w:pos="4680"/>
              </w:tabs>
              <w:suppressAutoHyphens/>
              <w:rPr>
                <w:b/>
                <w:spacing w:val="-2"/>
              </w:rPr>
            </w:pPr>
            <w:r>
              <w:rPr>
                <w:b/>
                <w:spacing w:val="-2"/>
              </w:rPr>
              <w:t>)</w:t>
            </w:r>
          </w:p>
          <w:p w:rsidR="004C2EE3" w14:paraId="468A3708" w14:textId="77777777">
            <w:pPr>
              <w:tabs>
                <w:tab w:val="center" w:pos="4680"/>
              </w:tabs>
              <w:suppressAutoHyphens/>
              <w:rPr>
                <w:b/>
                <w:spacing w:val="-2"/>
              </w:rPr>
            </w:pPr>
            <w:r>
              <w:rPr>
                <w:b/>
                <w:spacing w:val="-2"/>
              </w:rPr>
              <w:t>)</w:t>
            </w:r>
          </w:p>
          <w:p w:rsidR="004C2EE3" w14:paraId="3F6E0E90" w14:textId="77777777">
            <w:pPr>
              <w:tabs>
                <w:tab w:val="center" w:pos="4680"/>
              </w:tabs>
              <w:suppressAutoHyphens/>
              <w:rPr>
                <w:b/>
                <w:spacing w:val="-2"/>
              </w:rPr>
            </w:pPr>
            <w:r>
              <w:rPr>
                <w:b/>
                <w:spacing w:val="-2"/>
              </w:rPr>
              <w:t>)</w:t>
            </w:r>
          </w:p>
          <w:p w:rsidR="004C2EE3" w14:paraId="7C319049" w14:textId="77777777">
            <w:pPr>
              <w:tabs>
                <w:tab w:val="center" w:pos="4680"/>
              </w:tabs>
              <w:suppressAutoHyphens/>
              <w:rPr>
                <w:b/>
                <w:spacing w:val="-2"/>
              </w:rPr>
            </w:pPr>
            <w:r>
              <w:rPr>
                <w:b/>
                <w:spacing w:val="-2"/>
              </w:rPr>
              <w:t>)</w:t>
            </w:r>
          </w:p>
          <w:p w:rsidR="004C2EE3" w14:paraId="3E7847F4" w14:textId="4BC67397">
            <w:pPr>
              <w:tabs>
                <w:tab w:val="center" w:pos="4680"/>
              </w:tabs>
              <w:suppressAutoHyphens/>
              <w:rPr>
                <w:spacing w:val="-2"/>
              </w:rPr>
            </w:pPr>
          </w:p>
        </w:tc>
        <w:tc>
          <w:tcPr>
            <w:tcW w:w="4248" w:type="dxa"/>
          </w:tcPr>
          <w:p w:rsidR="004C2EE3" w14:paraId="276D3914" w14:textId="77777777">
            <w:pPr>
              <w:tabs>
                <w:tab w:val="center" w:pos="4680"/>
              </w:tabs>
              <w:suppressAutoHyphens/>
              <w:rPr>
                <w:spacing w:val="-2"/>
              </w:rPr>
            </w:pPr>
          </w:p>
          <w:p w:rsidR="004C2EE3" w14:paraId="24337B26" w14:textId="77777777">
            <w:pPr>
              <w:pStyle w:val="TOAHeading"/>
              <w:tabs>
                <w:tab w:val="center" w:pos="4680"/>
                <w:tab w:val="clear" w:pos="9360"/>
              </w:tabs>
              <w:rPr>
                <w:spacing w:val="-2"/>
              </w:rPr>
            </w:pPr>
          </w:p>
          <w:p w:rsidR="004C2EE3" w14:paraId="66083433" w14:textId="1B634E7B">
            <w:pPr>
              <w:tabs>
                <w:tab w:val="center" w:pos="4680"/>
              </w:tabs>
              <w:suppressAutoHyphens/>
              <w:rPr>
                <w:spacing w:val="-2"/>
              </w:rPr>
            </w:pPr>
            <w:r>
              <w:rPr>
                <w:spacing w:val="-2"/>
              </w:rPr>
              <w:t>WC Docket No. 14-58</w:t>
            </w:r>
          </w:p>
        </w:tc>
      </w:tr>
    </w:tbl>
    <w:p w:rsidR="004C2EE3" w:rsidP="0070224F" w14:paraId="7409D6D3" w14:textId="77777777"/>
    <w:p w:rsidR="00841AB1" w:rsidP="00F021FA" w14:paraId="38835763" w14:textId="14818DF4">
      <w:pPr>
        <w:pStyle w:val="StyleBoldCentered"/>
      </w:pPr>
      <w:r>
        <w:t>Order</w:t>
      </w:r>
    </w:p>
    <w:p w:rsidR="004C2EE3" w14:paraId="21BC38D3" w14:textId="77777777">
      <w:pPr>
        <w:tabs>
          <w:tab w:val="left" w:pos="-720"/>
        </w:tabs>
        <w:suppressAutoHyphens/>
        <w:spacing w:line="227" w:lineRule="auto"/>
        <w:rPr>
          <w:spacing w:val="-2"/>
        </w:rPr>
      </w:pPr>
    </w:p>
    <w:p w:rsidR="004C2EE3" w:rsidP="00133F79" w14:paraId="4CDCB18C" w14:textId="0FF27D37">
      <w:pPr>
        <w:tabs>
          <w:tab w:val="left" w:pos="720"/>
          <w:tab w:val="right" w:pos="9360"/>
        </w:tabs>
        <w:suppressAutoHyphens/>
        <w:spacing w:line="227" w:lineRule="auto"/>
        <w:rPr>
          <w:spacing w:val="-2"/>
        </w:rPr>
      </w:pPr>
      <w:r>
        <w:rPr>
          <w:b/>
          <w:spacing w:val="-2"/>
        </w:rPr>
        <w:t xml:space="preserve">Adopted:  </w:t>
      </w:r>
      <w:r w:rsidR="00192FC2">
        <w:rPr>
          <w:b/>
          <w:spacing w:val="-2"/>
        </w:rPr>
        <w:t>June 1</w:t>
      </w:r>
      <w:r w:rsidR="001655F9">
        <w:rPr>
          <w:b/>
          <w:spacing w:val="-2"/>
        </w:rPr>
        <w:t>, 202</w:t>
      </w:r>
      <w:r w:rsidR="00337EA1">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655F9">
        <w:rPr>
          <w:b/>
          <w:spacing w:val="-2"/>
        </w:rPr>
        <w:t xml:space="preserve"> </w:t>
      </w:r>
      <w:r w:rsidR="00192FC2">
        <w:rPr>
          <w:b/>
          <w:spacing w:val="-2"/>
        </w:rPr>
        <w:t>June 1</w:t>
      </w:r>
      <w:r w:rsidR="001655F9">
        <w:rPr>
          <w:b/>
          <w:spacing w:val="-2"/>
        </w:rPr>
        <w:t>, 202</w:t>
      </w:r>
      <w:r w:rsidR="00337EA1">
        <w:rPr>
          <w:b/>
          <w:spacing w:val="-2"/>
        </w:rPr>
        <w:t>1</w:t>
      </w:r>
    </w:p>
    <w:p w:rsidR="00822CE0" w14:paraId="499418DB" w14:textId="77777777"/>
    <w:p w:rsidR="004C2EE3" w14:paraId="518A70F5" w14:textId="34F5B57A">
      <w:pPr>
        <w:rPr>
          <w:spacing w:val="-2"/>
        </w:rPr>
      </w:pPr>
      <w:r>
        <w:t xml:space="preserve">By </w:t>
      </w:r>
      <w:r w:rsidR="004E4A22">
        <w:t>the</w:t>
      </w:r>
      <w:r w:rsidR="00E519DA">
        <w:t xml:space="preserve"> Chief, </w:t>
      </w:r>
      <w:r w:rsidR="001655F9">
        <w:rPr>
          <w:spacing w:val="-2"/>
        </w:rPr>
        <w:t>Wireline Competition Bureau</w:t>
      </w:r>
      <w:r>
        <w:rPr>
          <w:spacing w:val="-2"/>
        </w:rPr>
        <w:t>:</w:t>
      </w:r>
    </w:p>
    <w:p w:rsidR="00822CE0" w14:paraId="471C5A52" w14:textId="77777777">
      <w:pPr>
        <w:rPr>
          <w:spacing w:val="-2"/>
        </w:rPr>
      </w:pPr>
    </w:p>
    <w:p w:rsidR="00412FC5" w:rsidP="00C36B4C" w14:paraId="25C1C42C" w14:textId="64BBE5B0">
      <w:pPr>
        <w:pStyle w:val="Heading1"/>
        <w:rPr>
          <w:b w:val="0"/>
          <w:bCs/>
        </w:rPr>
      </w:pPr>
      <w:r>
        <w:rPr>
          <w:b w:val="0"/>
          <w:bCs/>
        </w:rPr>
        <w:t>Introduction</w:t>
      </w:r>
    </w:p>
    <w:p w:rsidR="001655F9" w:rsidP="003E3700" w14:paraId="554A7B26" w14:textId="00C3B804">
      <w:pPr>
        <w:pStyle w:val="ParaNum"/>
        <w:tabs>
          <w:tab w:val="clear" w:pos="1080"/>
          <w:tab w:val="num" w:pos="1440"/>
        </w:tabs>
      </w:pPr>
      <w:r>
        <w:t>Connect America Fund (CAF) support recipients are subject to interim and final buildout obligations to help the Commission track the deployment of broadband services</w:t>
      </w:r>
      <w:r w:rsidR="39878C2C">
        <w:t xml:space="preserve"> to high-cost areas.  </w:t>
      </w:r>
      <w:r>
        <w:t xml:space="preserve">In this Order, </w:t>
      </w:r>
      <w:r w:rsidR="560BC932">
        <w:t xml:space="preserve">we </w:t>
      </w:r>
      <w:r w:rsidR="43B8BCD7">
        <w:t xml:space="preserve">resolve </w:t>
      </w:r>
      <w:r w:rsidR="00C526A6">
        <w:t xml:space="preserve">a </w:t>
      </w:r>
      <w:r w:rsidR="00051EAF">
        <w:t>petition filed by</w:t>
      </w:r>
      <w:r w:rsidR="009B6A55">
        <w:t xml:space="preserve"> Hawaiian Telecom, Inc. (HT) for waiver of sections 54.310 and 54.316 of the Commission’s rules</w:t>
      </w:r>
      <w:r>
        <w:rPr>
          <w:rStyle w:val="FootnoteReference"/>
        </w:rPr>
        <w:footnoteReference w:id="3"/>
      </w:r>
      <w:r w:rsidR="009B6A55">
        <w:t xml:space="preserve"> and </w:t>
      </w:r>
      <w:r w:rsidR="00C526A6">
        <w:t xml:space="preserve">a petition filed by </w:t>
      </w:r>
      <w:r w:rsidR="009B6A55">
        <w:t>TDS Telecom LLC (TDS) for waiver of section 54.320 of the Commission’s rules.</w:t>
      </w:r>
      <w:r>
        <w:rPr>
          <w:rStyle w:val="FootnoteReference"/>
        </w:rPr>
        <w:footnoteReference w:id="4"/>
      </w:r>
      <w:r w:rsidR="00937A40">
        <w:t xml:space="preserve">  HT seeks </w:t>
      </w:r>
      <w:r w:rsidR="00500D0D">
        <w:t xml:space="preserve">a </w:t>
      </w:r>
      <w:r w:rsidR="001F666A">
        <w:t xml:space="preserve">waiver </w:t>
      </w:r>
      <w:r w:rsidR="00937A40">
        <w:t xml:space="preserve">to </w:t>
      </w:r>
      <w:r w:rsidR="00E22E58">
        <w:t>avoid non-</w:t>
      </w:r>
      <w:r w:rsidR="00792BC1">
        <w:t xml:space="preserve">compliance with its Connect America Fund (CAF) Phase II </w:t>
      </w:r>
      <w:r w:rsidR="002F4CC4">
        <w:t>interim and</w:t>
      </w:r>
      <w:r w:rsidR="009D11CF">
        <w:t xml:space="preserve"> </w:t>
      </w:r>
      <w:r w:rsidR="002F4CC4">
        <w:t xml:space="preserve">final </w:t>
      </w:r>
      <w:r w:rsidR="00792BC1">
        <w:t>buildout obligations</w:t>
      </w:r>
      <w:r w:rsidR="005E56ED">
        <w:t xml:space="preserve"> </w:t>
      </w:r>
      <w:r w:rsidR="00E22E58">
        <w:t>because of the</w:t>
      </w:r>
      <w:r w:rsidR="005E56ED">
        <w:t xml:space="preserve"> destruction</w:t>
      </w:r>
      <w:r w:rsidR="00B275CB">
        <w:t xml:space="preserve"> of locations</w:t>
      </w:r>
      <w:r w:rsidR="005E56ED">
        <w:t xml:space="preserve"> by an unexpected natural disaster</w:t>
      </w:r>
      <w:r w:rsidR="002F4CC4">
        <w:t>.</w:t>
      </w:r>
      <w:r>
        <w:rPr>
          <w:rStyle w:val="FootnoteReference"/>
        </w:rPr>
        <w:footnoteReference w:id="5"/>
      </w:r>
      <w:r w:rsidR="00EE61F8">
        <w:t xml:space="preserve">  </w:t>
      </w:r>
      <w:r w:rsidR="00375769">
        <w:t xml:space="preserve">TDS seeks </w:t>
      </w:r>
      <w:r w:rsidR="001F666A">
        <w:t xml:space="preserve">a </w:t>
      </w:r>
      <w:r w:rsidR="00375769">
        <w:t xml:space="preserve">waiver to </w:t>
      </w:r>
      <w:r w:rsidR="005A0086">
        <w:t xml:space="preserve">avoid </w:t>
      </w:r>
      <w:r w:rsidR="3B70DE71">
        <w:t xml:space="preserve">increased </w:t>
      </w:r>
      <w:r w:rsidR="005A0086">
        <w:t>reporting</w:t>
      </w:r>
      <w:r w:rsidR="235D0A8A">
        <w:t xml:space="preserve"> requirements</w:t>
      </w:r>
      <w:r w:rsidR="005A0086">
        <w:t xml:space="preserve"> and </w:t>
      </w:r>
      <w:r w:rsidR="48C6DE5B">
        <w:t>withheld support</w:t>
      </w:r>
      <w:r w:rsidR="005A0086">
        <w:t xml:space="preserve"> </w:t>
      </w:r>
      <w:r w:rsidR="004B60C5">
        <w:t>triggered by</w:t>
      </w:r>
      <w:r w:rsidR="005A0086">
        <w:t xml:space="preserve"> its inability to meet its </w:t>
      </w:r>
      <w:r w:rsidR="004D5E4C">
        <w:t xml:space="preserve">interim buildout obligations due to </w:t>
      </w:r>
      <w:r w:rsidR="004B60C5">
        <w:t>circumstances surrounding</w:t>
      </w:r>
      <w:r w:rsidR="004D5E4C">
        <w:t xml:space="preserve"> the ongoing COVID-19 pandemic.</w:t>
      </w:r>
      <w:r>
        <w:rPr>
          <w:rStyle w:val="FootnoteReference"/>
        </w:rPr>
        <w:footnoteReference w:id="6"/>
      </w:r>
      <w:r w:rsidR="004D5E4C">
        <w:t xml:space="preserve">  </w:t>
      </w:r>
    </w:p>
    <w:p w:rsidR="001655F9" w:rsidP="003E3700" w14:paraId="17677B7D" w14:textId="17902ED1">
      <w:pPr>
        <w:pStyle w:val="ParaNum"/>
        <w:tabs>
          <w:tab w:val="clear" w:pos="1080"/>
          <w:tab w:val="num" w:pos="1440"/>
        </w:tabs>
        <w:rPr>
          <w:szCs w:val="22"/>
        </w:rPr>
      </w:pPr>
      <w:r>
        <w:t>We find that HT</w:t>
      </w:r>
      <w:r w:rsidR="00823078">
        <w:t xml:space="preserve"> and TDS</w:t>
      </w:r>
      <w:r>
        <w:t xml:space="preserve"> have established good cause to waive </w:t>
      </w:r>
      <w:r w:rsidR="004B395B">
        <w:t>the implicated rules</w:t>
      </w:r>
      <w:r w:rsidR="17673A80">
        <w:t xml:space="preserve">.  </w:t>
      </w:r>
      <w:r w:rsidR="6A29E2BB">
        <w:t xml:space="preserve">Accordingly, </w:t>
      </w:r>
      <w:r w:rsidR="28B03F28">
        <w:t xml:space="preserve">as discussed below, </w:t>
      </w:r>
      <w:r w:rsidR="6A29E2BB">
        <w:t>we grant</w:t>
      </w:r>
      <w:r w:rsidR="005E19FB">
        <w:t xml:space="preserve"> TDS</w:t>
      </w:r>
      <w:r w:rsidR="00512CAA">
        <w:t>’s petition for waiver</w:t>
      </w:r>
      <w:r w:rsidR="0023408E">
        <w:t xml:space="preserve"> as well as HT’s, as amended</w:t>
      </w:r>
      <w:r w:rsidR="00512CAA">
        <w:t xml:space="preserve">.  </w:t>
      </w:r>
      <w:r w:rsidR="09B7B378">
        <w:t xml:space="preserve">  </w:t>
      </w:r>
    </w:p>
    <w:p w:rsidR="001655F9" w:rsidP="001655F9" w14:paraId="24BC1C6D" w14:textId="09F911BB">
      <w:pPr>
        <w:pStyle w:val="Heading1"/>
      </w:pPr>
      <w:r>
        <w:t>BACKGROUND</w:t>
      </w:r>
    </w:p>
    <w:p w:rsidR="001655F9" w:rsidP="001655F9" w14:paraId="3329E73C" w14:textId="48BEFA3D">
      <w:pPr>
        <w:pStyle w:val="Heading2"/>
      </w:pPr>
      <w:r>
        <w:t>CAF Phase II and A-CAM</w:t>
      </w:r>
    </w:p>
    <w:p w:rsidR="001655F9" w:rsidP="003E3700" w14:paraId="6192C0DD" w14:textId="19E7C0F5">
      <w:pPr>
        <w:pStyle w:val="ParaNum"/>
        <w:tabs>
          <w:tab w:val="clear" w:pos="1080"/>
          <w:tab w:val="num" w:pos="1440"/>
        </w:tabs>
      </w:pPr>
      <w:r w:rsidRPr="00D254AF">
        <w:t xml:space="preserve">In the </w:t>
      </w:r>
      <w:r w:rsidRPr="36F8B36E">
        <w:rPr>
          <w:i/>
          <w:iCs/>
        </w:rPr>
        <w:t>USF/ICC Transformation Order</w:t>
      </w:r>
      <w:r w:rsidRPr="00D254AF">
        <w:t xml:space="preserve">, the Commission comprehensively reformed and modernized the high-cost component of the Universal Service Fund by, among other things, establishing </w:t>
      </w:r>
      <w:r>
        <w:t xml:space="preserve">the </w:t>
      </w:r>
      <w:r w:rsidR="00D277F7">
        <w:t>CAF</w:t>
      </w:r>
      <w:r w:rsidR="000C08A5">
        <w:t xml:space="preserve"> </w:t>
      </w:r>
      <w:r w:rsidR="00AD1DD1">
        <w:t>to support explicitly broadband-capable networks</w:t>
      </w:r>
      <w:r w:rsidR="00C26EED">
        <w:t>.</w:t>
      </w:r>
      <w:r>
        <w:rPr>
          <w:rStyle w:val="FootnoteReference"/>
        </w:rPr>
        <w:footnoteReference w:id="7"/>
      </w:r>
      <w:r w:rsidR="000F4EC6">
        <w:t xml:space="preserve">  </w:t>
      </w:r>
      <w:r w:rsidR="000E3F17">
        <w:t xml:space="preserve">In CAF Phase </w:t>
      </w:r>
      <w:r w:rsidR="00A00D85">
        <w:t xml:space="preserve">II, the </w:t>
      </w:r>
      <w:r w:rsidR="00204439">
        <w:t>Commission</w:t>
      </w:r>
      <w:r w:rsidR="005573A8">
        <w:t xml:space="preserve"> </w:t>
      </w:r>
      <w:r w:rsidR="00ED7776">
        <w:t xml:space="preserve">used “a combination of competitive bidding and a new forward-looking model of the cost of constructing modern multi-purpose </w:t>
      </w:r>
      <w:r w:rsidR="00204439">
        <w:t>networks” to allocate support</w:t>
      </w:r>
      <w:r w:rsidR="00DE30E3">
        <w:t xml:space="preserve"> to price cap carriers</w:t>
      </w:r>
      <w:r w:rsidR="00204439">
        <w:t>.</w:t>
      </w:r>
      <w:r>
        <w:rPr>
          <w:rStyle w:val="FootnoteReference"/>
        </w:rPr>
        <w:footnoteReference w:id="8"/>
      </w:r>
      <w:r w:rsidR="00BE5ADB">
        <w:t xml:space="preserve">  </w:t>
      </w:r>
      <w:r w:rsidR="00946D2D">
        <w:t xml:space="preserve">As a condition of receiving this </w:t>
      </w:r>
      <w:r w:rsidR="00946D2D">
        <w:t>support, eligible telecommunications carriers (ETCs) are subject to mandatory reporting and certification requirements.</w:t>
      </w:r>
      <w:r>
        <w:rPr>
          <w:rStyle w:val="FootnoteReference"/>
        </w:rPr>
        <w:footnoteReference w:id="9"/>
      </w:r>
      <w:r w:rsidR="00946D2D">
        <w:t xml:space="preserve">  CAF Phase II</w:t>
      </w:r>
      <w:r w:rsidR="00B051CE">
        <w:t xml:space="preserve"> support is available to ETCs that </w:t>
      </w:r>
      <w:r w:rsidR="00E65175">
        <w:t>“elect to make a state-level commitment for six years.”</w:t>
      </w:r>
      <w:r>
        <w:rPr>
          <w:rStyle w:val="FootnoteReference"/>
        </w:rPr>
        <w:footnoteReference w:id="10"/>
      </w:r>
      <w:r w:rsidR="00ED2EBE">
        <w:t xml:space="preserve">  During the </w:t>
      </w:r>
      <w:r w:rsidR="001B3236">
        <w:t>support</w:t>
      </w:r>
      <w:r w:rsidR="00ED2EBE">
        <w:t xml:space="preserve"> term, CAF Phase II recipients must demonstrate </w:t>
      </w:r>
      <w:r w:rsidR="006D1E44">
        <w:t>compliance with certain build</w:t>
      </w:r>
      <w:r w:rsidR="000B57F3">
        <w:t>out</w:t>
      </w:r>
      <w:r w:rsidR="00304835">
        <w:t xml:space="preserve"> obligations and interim reporting mile</w:t>
      </w:r>
      <w:r w:rsidR="006D1E44">
        <w:t>stones</w:t>
      </w:r>
      <w:r w:rsidR="00D9751B">
        <w:t>.</w:t>
      </w:r>
      <w:r>
        <w:rPr>
          <w:rStyle w:val="FootnoteReference"/>
        </w:rPr>
        <w:footnoteReference w:id="11"/>
      </w:r>
      <w:r w:rsidR="00D9751B">
        <w:t xml:space="preserve"> </w:t>
      </w:r>
    </w:p>
    <w:p w:rsidR="00550A8C" w:rsidP="003E3700" w14:paraId="6418A1DE" w14:textId="0877B325">
      <w:pPr>
        <w:pStyle w:val="ParaNum"/>
        <w:tabs>
          <w:tab w:val="clear" w:pos="1080"/>
          <w:tab w:val="num" w:pos="1440"/>
        </w:tabs>
      </w:pPr>
      <w:r>
        <w:t xml:space="preserve">In the 2016 </w:t>
      </w:r>
      <w:r w:rsidRPr="36F8B36E">
        <w:rPr>
          <w:i/>
          <w:iCs/>
        </w:rPr>
        <w:t>Rate-of-Return Reform Order</w:t>
      </w:r>
      <w:r>
        <w:t>, the Commission adopted significant reforms to the rules governing the provision of universal service support to rate-of-return carriers.</w:t>
      </w:r>
      <w:r>
        <w:rPr>
          <w:rStyle w:val="FootnoteReference"/>
        </w:rPr>
        <w:footnoteReference w:id="12"/>
      </w:r>
      <w:r>
        <w:t xml:space="preserve">  The Commission adopted a voluntary path </w:t>
      </w:r>
      <w:r w:rsidR="00F77F1C">
        <w:t xml:space="preserve">by </w:t>
      </w:r>
      <w:r>
        <w:t xml:space="preserve">which rate-of-return carriers may elect model-based support, known as </w:t>
      </w:r>
      <w:r w:rsidR="3C2F286C">
        <w:t>the Alternative Connect A</w:t>
      </w:r>
      <w:r w:rsidR="4295BED0">
        <w:t>merica Cost Model (</w:t>
      </w:r>
      <w:r>
        <w:t>A-CAM</w:t>
      </w:r>
      <w:r w:rsidR="20AD14ED">
        <w:t>)</w:t>
      </w:r>
      <w:r>
        <w:t>, for a term of 10 years in exchange for meeting defined build-out obligations of voice and broadband services.</w:t>
      </w:r>
      <w:r>
        <w:rPr>
          <w:rStyle w:val="FootnoteReference"/>
        </w:rPr>
        <w:footnoteReference w:id="13"/>
      </w:r>
      <w:r>
        <w:t xml:space="preserve">  </w:t>
      </w:r>
      <w:r w:rsidR="004311C7">
        <w:t xml:space="preserve">ETCs </w:t>
      </w:r>
      <w:r w:rsidR="00DE30E3">
        <w:t>receiving</w:t>
      </w:r>
      <w:r w:rsidR="004311C7">
        <w:t xml:space="preserve"> A-CAM support must offer broadband service to 40% of the locations identified by the model by </w:t>
      </w:r>
      <w:r w:rsidR="00A6396D">
        <w:t>December 31, 2020.</w:t>
      </w:r>
      <w:r>
        <w:rPr>
          <w:rStyle w:val="FootnoteReference"/>
        </w:rPr>
        <w:footnoteReference w:id="14"/>
      </w:r>
      <w:r w:rsidR="00A6396D">
        <w:t xml:space="preserve">  That </w:t>
      </w:r>
      <w:r w:rsidR="002247A0">
        <w:t>obligation increases to 100% by December 31, 20</w:t>
      </w:r>
      <w:r w:rsidR="3258C958">
        <w:t>2</w:t>
      </w:r>
      <w:r w:rsidR="002247A0">
        <w:t>6</w:t>
      </w:r>
      <w:r w:rsidR="00135595">
        <w:t>,</w:t>
      </w:r>
      <w:r>
        <w:rPr>
          <w:rStyle w:val="FootnoteReference"/>
        </w:rPr>
        <w:footnoteReference w:id="15"/>
      </w:r>
      <w:r w:rsidR="00135595">
        <w:t xml:space="preserve"> with a small margin of error.</w:t>
      </w:r>
      <w:r>
        <w:rPr>
          <w:rStyle w:val="FootnoteReference"/>
        </w:rPr>
        <w:footnoteReference w:id="16"/>
      </w:r>
    </w:p>
    <w:p w:rsidR="001655F9" w:rsidP="001655F9" w14:paraId="36166F97" w14:textId="6155E555">
      <w:pPr>
        <w:pStyle w:val="Heading2"/>
      </w:pPr>
      <w:r>
        <w:t>The Petitions</w:t>
      </w:r>
    </w:p>
    <w:p w:rsidR="001655F9" w:rsidP="003E3700" w14:paraId="76E9555B" w14:textId="56F7941E">
      <w:pPr>
        <w:pStyle w:val="ParaNum"/>
        <w:tabs>
          <w:tab w:val="clear" w:pos="1080"/>
          <w:tab w:val="num" w:pos="1440"/>
        </w:tabs>
      </w:pPr>
      <w:r>
        <w:t xml:space="preserve">HT is a </w:t>
      </w:r>
      <w:r w:rsidR="003D6D42">
        <w:t xml:space="preserve">price cap </w:t>
      </w:r>
      <w:r w:rsidR="001C1F8B">
        <w:t xml:space="preserve">ETC </w:t>
      </w:r>
      <w:r>
        <w:t>providing telecommunications services in Hawaii.</w:t>
      </w:r>
      <w:r>
        <w:rPr>
          <w:rStyle w:val="FootnoteReference"/>
        </w:rPr>
        <w:footnoteReference w:id="17"/>
      </w:r>
      <w:r>
        <w:t xml:space="preserve">  HT is authorized to receive approximately $4.42 million in </w:t>
      </w:r>
      <w:r w:rsidR="00D277F7">
        <w:t>CAF</w:t>
      </w:r>
      <w:r>
        <w:t xml:space="preserve"> </w:t>
      </w:r>
      <w:r w:rsidR="53BFE9D2">
        <w:t xml:space="preserve">Phase </w:t>
      </w:r>
      <w:r>
        <w:t xml:space="preserve">II model-based support annually to </w:t>
      </w:r>
      <w:r w:rsidR="009B231B">
        <w:t xml:space="preserve">offer voice and </w:t>
      </w:r>
      <w:r>
        <w:t>broadband service to 11,081 locations in Hawaii.</w:t>
      </w:r>
      <w:r>
        <w:rPr>
          <w:rStyle w:val="FootnoteReference"/>
        </w:rPr>
        <w:footnoteReference w:id="18"/>
      </w:r>
      <w:r>
        <w:t xml:space="preserve">  This support is conditioned upon HT meeting a series of deployment milestones: HT must deploy to 40% of its total locations by December 31, 2017; to 60% of its total locations by December 31, 2018; to 80% of its total locations by December 31, 2019</w:t>
      </w:r>
      <w:r w:rsidR="1C05CD27">
        <w:t>;</w:t>
      </w:r>
      <w:r>
        <w:t xml:space="preserve"> and to 100% of its total locations by December 31, 2020.</w:t>
      </w:r>
      <w:r>
        <w:rPr>
          <w:rStyle w:val="FootnoteReference"/>
        </w:rPr>
        <w:footnoteReference w:id="19"/>
      </w:r>
      <w:r>
        <w:t xml:space="preserve">  HT must report </w:t>
      </w:r>
      <w:r w:rsidR="00EB2ABF">
        <w:t>in the</w:t>
      </w:r>
      <w:r w:rsidR="518DE657">
        <w:t xml:space="preserve"> High Cost Universal Broadband</w:t>
      </w:r>
      <w:r w:rsidR="00EB2ABF">
        <w:t xml:space="preserve"> </w:t>
      </w:r>
      <w:r w:rsidR="1CABA401">
        <w:t>(</w:t>
      </w:r>
      <w:r w:rsidR="00EB2ABF">
        <w:t>HUBB</w:t>
      </w:r>
      <w:r w:rsidR="0A54979A">
        <w:t>) portal</w:t>
      </w:r>
      <w:r w:rsidR="00EB2ABF">
        <w:t xml:space="preserve">, </w:t>
      </w:r>
      <w:r w:rsidR="13C40F0A">
        <w:t xml:space="preserve">maintained by the Universal Service Administrative Company (USAC), </w:t>
      </w:r>
      <w:r w:rsidR="00EB2ABF">
        <w:t>annually on March 1,</w:t>
      </w:r>
      <w:r>
        <w:t xml:space="preserve"> the locations to which it deployed in the prior calendar year</w:t>
      </w:r>
      <w:r w:rsidR="00AC7B0E">
        <w:t xml:space="preserve"> and</w:t>
      </w:r>
      <w:r>
        <w:t xml:space="preserve"> certify that “by the end of the calendar year, it was offering broadband meeting the requisite public interest obligations . . .  to the required percentage of its supported locations in each state.”</w:t>
      </w:r>
      <w:r>
        <w:rPr>
          <w:rStyle w:val="FootnoteReference"/>
        </w:rPr>
        <w:footnoteReference w:id="20"/>
      </w:r>
    </w:p>
    <w:p w:rsidR="001655F9" w:rsidP="001655F9" w14:paraId="707C83F5" w14:textId="7D2D72AE">
      <w:pPr>
        <w:pStyle w:val="ParaNum"/>
        <w:tabs>
          <w:tab w:val="clear" w:pos="1080"/>
          <w:tab w:val="num" w:pos="1440"/>
        </w:tabs>
      </w:pPr>
      <w:r>
        <w:t>In March 2019, HT submitted its HUBB filing that indicated HT had deployed broadband service to 62.3% of its required locations by December 31, 2018.</w:t>
      </w:r>
      <w:r>
        <w:rPr>
          <w:rStyle w:val="FootnoteReference"/>
        </w:rPr>
        <w:footnoteReference w:id="21"/>
      </w:r>
      <w:r>
        <w:t xml:space="preserve">  However, the Kilauea Volcano eruption, which began in May 2018, rendered 391 of these locations unserviceable.</w:t>
      </w:r>
      <w:r>
        <w:rPr>
          <w:rStyle w:val="FootnoteReference"/>
        </w:rPr>
        <w:footnoteReference w:id="22"/>
      </w:r>
      <w:r>
        <w:t xml:space="preserve">  While HT has subsequently restored service to 21 of these 391 locations, restoration to the remaining 370 is not </w:t>
      </w:r>
      <w:r>
        <w:t>expected “for many years, if ever.”</w:t>
      </w:r>
      <w:r>
        <w:rPr>
          <w:rStyle w:val="FootnoteReference"/>
        </w:rPr>
        <w:footnoteReference w:id="23"/>
      </w:r>
      <w:r>
        <w:t xml:space="preserve">  The </w:t>
      </w:r>
      <w:r w:rsidR="008C1527">
        <w:t xml:space="preserve">eruption </w:t>
      </w:r>
      <w:r>
        <w:t>rendered inaccessible a substantial area within HT’s study area.</w:t>
      </w:r>
      <w:r>
        <w:rPr>
          <w:rStyle w:val="FootnoteReference"/>
        </w:rPr>
        <w:footnoteReference w:id="24"/>
      </w:r>
      <w:r>
        <w:t xml:space="preserve">  HT estimates that many of these inaccessible areas will remain so for “many years beyond HT’s deployment obligation timeline of December 31, 2020.”</w:t>
      </w:r>
      <w:r>
        <w:rPr>
          <w:rStyle w:val="FootnoteReference"/>
        </w:rPr>
        <w:footnoteReference w:id="25"/>
      </w:r>
      <w:r>
        <w:t xml:space="preserve">  </w:t>
      </w:r>
    </w:p>
    <w:p w:rsidR="001655F9" w:rsidP="001655F9" w14:paraId="73DF509A" w14:textId="096318EC">
      <w:pPr>
        <w:pStyle w:val="ParaNum"/>
        <w:tabs>
          <w:tab w:val="clear" w:pos="1080"/>
          <w:tab w:val="num" w:pos="1440"/>
        </w:tabs>
      </w:pPr>
      <w:r>
        <w:t>In May 2019, USAC notified HT that it would conduct a verification of HT’s compliance with its 60% milestone.</w:t>
      </w:r>
      <w:r>
        <w:rPr>
          <w:rStyle w:val="FootnoteReference"/>
        </w:rPr>
        <w:footnoteReference w:id="26"/>
      </w:r>
      <w:r>
        <w:t xml:space="preserve">  USAC confirmed that HT did indeed meet the 60% threshold because it had, without counting the 391 locations that were destroyed by the eruption, deployed to more than enough additional locations to meet its build</w:t>
      </w:r>
      <w:r w:rsidR="72BB1215">
        <w:t>out</w:t>
      </w:r>
      <w:r>
        <w:t xml:space="preserve"> obligation.</w:t>
      </w:r>
      <w:r>
        <w:rPr>
          <w:rStyle w:val="FootnoteReference"/>
        </w:rPr>
        <w:footnoteReference w:id="27"/>
      </w:r>
      <w:r>
        <w:t xml:space="preserve">  USAC determined that these 391 locations would not count towards HT’s ultimate build</w:t>
      </w:r>
      <w:r w:rsidR="0B74D31D">
        <w:t>out</w:t>
      </w:r>
      <w:r>
        <w:t xml:space="preserve"> obligation because they had been destroyed, and directed that these locations be removed from the HUBB.</w:t>
      </w:r>
      <w:r>
        <w:rPr>
          <w:rStyle w:val="FootnoteReference"/>
        </w:rPr>
        <w:footnoteReference w:id="28"/>
      </w:r>
    </w:p>
    <w:p w:rsidR="001655F9" w:rsidP="001655F9" w14:paraId="592414DC" w14:textId="20742BC3">
      <w:pPr>
        <w:pStyle w:val="ParaNum"/>
        <w:tabs>
          <w:tab w:val="clear" w:pos="1080"/>
          <w:tab w:val="num" w:pos="1440"/>
        </w:tabs>
      </w:pPr>
      <w:r>
        <w:t xml:space="preserve">HT filed a petition for waiver of the Commission’s rules to allow HT to count towards its </w:t>
      </w:r>
      <w:r w:rsidR="00C74BDC">
        <w:t xml:space="preserve">interim </w:t>
      </w:r>
      <w:r w:rsidR="007B242A">
        <w:t xml:space="preserve">and final </w:t>
      </w:r>
      <w:r w:rsidR="00CE59D6">
        <w:t>milestones the</w:t>
      </w:r>
      <w:r>
        <w:t xml:space="preserve"> 370 locations to which HT had previously deployed broadband services but, due to the eruption, have been subsequently destroyed.</w:t>
      </w:r>
      <w:r>
        <w:rPr>
          <w:rStyle w:val="FootnoteReference"/>
        </w:rPr>
        <w:footnoteReference w:id="29"/>
      </w:r>
      <w:r>
        <w:t xml:space="preserve">  HT argue</w:t>
      </w:r>
      <w:r w:rsidR="00166112">
        <w:t>s</w:t>
      </w:r>
      <w:r>
        <w:t xml:space="preserve"> that strict compliance with the Commission’s rules is “inconsistent with the public interest because failing to include the locations destroyed in the </w:t>
      </w:r>
      <w:r w:rsidR="00FB5D5F">
        <w:t>Kilauea</w:t>
      </w:r>
      <w:r>
        <w:t xml:space="preserve"> eruption will cause the appearance of non-compliance by HT despite the fact that HT timely deployed to its required number of units . . . and only became unserviceable due to the resulting lava destruction.”</w:t>
      </w:r>
      <w:r>
        <w:rPr>
          <w:rStyle w:val="FootnoteReference"/>
        </w:rPr>
        <w:footnoteReference w:id="30"/>
      </w:r>
      <w:r>
        <w:t xml:space="preserve">  HT </w:t>
      </w:r>
      <w:r w:rsidR="00166112">
        <w:t>states</w:t>
      </w:r>
      <w:r>
        <w:t xml:space="preserve"> there was “no way for HT to anticipate or plan for such . . . [an] act of god.”</w:t>
      </w:r>
      <w:r>
        <w:rPr>
          <w:rStyle w:val="FootnoteReference"/>
        </w:rPr>
        <w:footnoteReference w:id="31"/>
      </w:r>
      <w:r>
        <w:t xml:space="preserve">  HT believes the “destruction and loss of service to 370 CAF II eligible locations by natural disaster warrant deviation from strict compliance with the Commission’s rules.”</w:t>
      </w:r>
      <w:r>
        <w:rPr>
          <w:rStyle w:val="FootnoteReference"/>
        </w:rPr>
        <w:footnoteReference w:id="32"/>
      </w:r>
      <w:r>
        <w:t xml:space="preserve">  </w:t>
      </w:r>
      <w:r w:rsidR="00473252">
        <w:t>HT also sought a waiver that would allow it to reduce its total build obligations by 153 locations that were destroyed or isolated before it come complete and certify deployment.</w:t>
      </w:r>
      <w:r>
        <w:rPr>
          <w:rStyle w:val="FootnoteReference"/>
        </w:rPr>
        <w:footnoteReference w:id="33"/>
      </w:r>
      <w:r w:rsidR="00473252">
        <w:t xml:space="preserve">  However, HT later withdrew this portion of their waiver request </w:t>
      </w:r>
      <w:r w:rsidRPr="005503BF" w:rsidR="00874ECA">
        <w:t>when it subsequently determined it could meet its deployment obligations by building out to 153 different locations in two remote areas</w:t>
      </w:r>
      <w:r w:rsidR="00874ECA">
        <w:t>.</w:t>
      </w:r>
      <w:r>
        <w:rPr>
          <w:rStyle w:val="FootnoteReference"/>
        </w:rPr>
        <w:footnoteReference w:id="34"/>
      </w:r>
      <w:r w:rsidR="00874ECA">
        <w:t xml:space="preserve">  We therefore do not address this portion of HT’s original waiver request. </w:t>
      </w:r>
    </w:p>
    <w:p w:rsidR="001655F9" w:rsidP="001655F9" w14:paraId="584131EF" w14:textId="72FA1F6F">
      <w:pPr>
        <w:pStyle w:val="ParaNum"/>
        <w:tabs>
          <w:tab w:val="clear" w:pos="1080"/>
          <w:tab w:val="num" w:pos="1440"/>
        </w:tabs>
      </w:pPr>
      <w:r>
        <w:t>TDS</w:t>
      </w:r>
      <w:r w:rsidR="003776B0">
        <w:t xml:space="preserve"> is a rate-of-return carrier that</w:t>
      </w:r>
      <w:r>
        <w:t xml:space="preserve"> receives A-CAM support to offer broadband services in its California study area.</w:t>
      </w:r>
      <w:r>
        <w:rPr>
          <w:rStyle w:val="FootnoteReference"/>
        </w:rPr>
        <w:footnoteReference w:id="35"/>
      </w:r>
      <w:r>
        <w:t xml:space="preserve">  In exchange for the A-CAM model support, TDS is </w:t>
      </w:r>
      <w:r w:rsidR="00471C23">
        <w:t>required</w:t>
      </w:r>
      <w:r>
        <w:t xml:space="preserve"> to </w:t>
      </w:r>
      <w:r w:rsidR="00AA4A48">
        <w:t xml:space="preserve">offer voice and </w:t>
      </w:r>
      <w:r>
        <w:t xml:space="preserve">broadband service to 2,339 locations in </w:t>
      </w:r>
      <w:r w:rsidR="0C3CD3E7">
        <w:t xml:space="preserve">that </w:t>
      </w:r>
      <w:r>
        <w:t>study area.</w:t>
      </w:r>
      <w:r>
        <w:rPr>
          <w:rStyle w:val="FootnoteReference"/>
        </w:rPr>
        <w:footnoteReference w:id="36"/>
      </w:r>
      <w:r>
        <w:t xml:space="preserve">  To demonstrate compliance with its </w:t>
      </w:r>
      <w:r>
        <w:t xml:space="preserve">obligations, TDS is </w:t>
      </w:r>
      <w:r w:rsidR="00831228">
        <w:t>obligated</w:t>
      </w:r>
      <w:r>
        <w:t xml:space="preserve"> to have deployed to 935 of those locations by December 31, 2020.</w:t>
      </w:r>
      <w:r>
        <w:rPr>
          <w:rStyle w:val="FootnoteReference"/>
        </w:rPr>
        <w:footnoteReference w:id="37"/>
      </w:r>
      <w:r>
        <w:t xml:space="preserve">  According to TDS, it was well on its way to meet this milestone prior to the COVID-19 pandemic.</w:t>
      </w:r>
      <w:r>
        <w:rPr>
          <w:rStyle w:val="FootnoteReference"/>
        </w:rPr>
        <w:footnoteReference w:id="38"/>
      </w:r>
      <w:r>
        <w:t xml:space="preserve">  However, TDS asserts that </w:t>
      </w:r>
      <w:r w:rsidR="00D700AF">
        <w:t xml:space="preserve">due to circumstances outside its control </w:t>
      </w:r>
      <w:r>
        <w:t>it will be unable to meet this milestone and will fall short of its build</w:t>
      </w:r>
      <w:r w:rsidR="0D9C1CE6">
        <w:t>out</w:t>
      </w:r>
      <w:r>
        <w:t xml:space="preserve"> obligations in the </w:t>
      </w:r>
      <w:r>
        <w:t>Winterhaven</w:t>
      </w:r>
      <w:r>
        <w:t xml:space="preserve"> and Hornitos areas.</w:t>
      </w:r>
      <w:r>
        <w:rPr>
          <w:rStyle w:val="FootnoteReference"/>
        </w:rPr>
        <w:footnoteReference w:id="39"/>
      </w:r>
      <w:r>
        <w:t xml:space="preserve"> </w:t>
      </w:r>
    </w:p>
    <w:p w:rsidR="001655F9" w:rsidP="001655F9" w14:paraId="58257AE2" w14:textId="19FEAF05">
      <w:pPr>
        <w:pStyle w:val="ParaNum"/>
        <w:tabs>
          <w:tab w:val="clear" w:pos="1080"/>
          <w:tab w:val="num" w:pos="1440"/>
        </w:tabs>
      </w:pPr>
      <w:r>
        <w:t xml:space="preserve">In </w:t>
      </w:r>
      <w:r>
        <w:t>Winterhaven</w:t>
      </w:r>
      <w:r>
        <w:t xml:space="preserve">, TDS negotiated right-of-way access with the Quechan Indian Tribe and began construction </w:t>
      </w:r>
      <w:r w:rsidR="000B7161">
        <w:t>o</w:t>
      </w:r>
      <w:r>
        <w:t>n the Reservation on March 2, 2020.</w:t>
      </w:r>
      <w:r>
        <w:rPr>
          <w:rStyle w:val="FootnoteReference"/>
        </w:rPr>
        <w:footnoteReference w:id="40"/>
      </w:r>
      <w:r>
        <w:t xml:space="preserve">  On April 7, 2020, the Quechan Indian Tribe sent TDS a stop-work order, citing the pandemic.</w:t>
      </w:r>
      <w:r>
        <w:rPr>
          <w:rStyle w:val="FootnoteReference"/>
        </w:rPr>
        <w:footnoteReference w:id="41"/>
      </w:r>
      <w:r>
        <w:t xml:space="preserve">  TDS estimates that it completed 33% of the necessary construction prior to receiving the stop-work order</w:t>
      </w:r>
      <w:r w:rsidR="00F17667">
        <w:t>,</w:t>
      </w:r>
      <w:r>
        <w:rPr>
          <w:rStyle w:val="FootnoteReference"/>
        </w:rPr>
        <w:footnoteReference w:id="42"/>
      </w:r>
      <w:r>
        <w:t xml:space="preserve"> but was unable to continue with the remaining construction until mid-September.</w:t>
      </w:r>
      <w:r>
        <w:rPr>
          <w:rStyle w:val="FootnoteReference"/>
        </w:rPr>
        <w:footnoteReference w:id="43"/>
      </w:r>
      <w:r>
        <w:t xml:space="preserve">  TDS believes it can finish construction in this area by July 2021.</w:t>
      </w:r>
      <w:r>
        <w:rPr>
          <w:rStyle w:val="FootnoteReference"/>
        </w:rPr>
        <w:footnoteReference w:id="44"/>
      </w:r>
      <w:r>
        <w:t xml:space="preserve">  In Hornitos, TDS’</w:t>
      </w:r>
      <w:r w:rsidR="000B7161">
        <w:t>s</w:t>
      </w:r>
      <w:r>
        <w:t xml:space="preserve"> microwave engineering contractor was scheduled to </w:t>
      </w:r>
      <w:r w:rsidR="00822528">
        <w:t>go</w:t>
      </w:r>
      <w:r>
        <w:t xml:space="preserve"> to the area in early March to “enable equipment engineering, specification, and proper FCC licensing for the project.”</w:t>
      </w:r>
      <w:r>
        <w:rPr>
          <w:rStyle w:val="FootnoteReference"/>
        </w:rPr>
        <w:footnoteReference w:id="45"/>
      </w:r>
      <w:r>
        <w:t xml:space="preserve">  However, because of travel restrictions imposed by the pandemic, the engineer was unable to make the site visit until June 24, 2020.</w:t>
      </w:r>
      <w:r>
        <w:rPr>
          <w:rStyle w:val="FootnoteReference"/>
        </w:rPr>
        <w:footnoteReference w:id="46"/>
      </w:r>
      <w:r>
        <w:t xml:space="preserve">  TDS expects it will be able to compete construction in this area by July 2021.</w:t>
      </w:r>
      <w:r>
        <w:rPr>
          <w:rStyle w:val="FootnoteReference"/>
        </w:rPr>
        <w:footnoteReference w:id="47"/>
      </w:r>
      <w:r w:rsidR="00203DC9">
        <w:t xml:space="preserve">  We note that TDS </w:t>
      </w:r>
      <w:r w:rsidR="00447913">
        <w:t xml:space="preserve">filed this Petition on September 30, 2020, three months prior </w:t>
      </w:r>
      <w:r w:rsidR="00FF23A6">
        <w:t>to the deployment deadline, when it determined it would not be able to meet its interim deployment obligations in a timely manner.</w:t>
      </w:r>
    </w:p>
    <w:p w:rsidR="001655F9" w:rsidRPr="00B872CB" w:rsidP="001655F9" w14:paraId="30E820DF" w14:textId="484B938A">
      <w:pPr>
        <w:pStyle w:val="ParaNum"/>
        <w:tabs>
          <w:tab w:val="clear" w:pos="1080"/>
          <w:tab w:val="num" w:pos="1440"/>
        </w:tabs>
      </w:pPr>
      <w:r>
        <w:t>TDS requests a waiver of the Commission’s rules because of “the substantial barrier to deployment caused by the COVID-19 pandemic.”</w:t>
      </w:r>
      <w:r>
        <w:rPr>
          <w:rStyle w:val="FootnoteReference"/>
        </w:rPr>
        <w:footnoteReference w:id="48"/>
      </w:r>
      <w:r>
        <w:t xml:space="preserve">  </w:t>
      </w:r>
      <w:r w:rsidR="00A12F28">
        <w:t>A</w:t>
      </w:r>
      <w:r>
        <w:t>bsent a waiver</w:t>
      </w:r>
      <w:r w:rsidR="00F167A3">
        <w:t>, the penalties</w:t>
      </w:r>
      <w:r>
        <w:t xml:space="preserve"> include enhanced reporting requirements and withholding of A-CAM support.</w:t>
      </w:r>
      <w:r>
        <w:rPr>
          <w:rStyle w:val="FootnoteReference"/>
        </w:rPr>
        <w:footnoteReference w:id="49"/>
      </w:r>
      <w:r>
        <w:t xml:space="preserve">  TDS believes a waiver is warranted because these “measures and penalties will unnecessarily deprive [TDS] of resources to continue to connect more people and businesses in California to broadband . . . for the foreseeable future.”</w:t>
      </w:r>
      <w:r>
        <w:rPr>
          <w:rStyle w:val="FootnoteReference"/>
        </w:rPr>
        <w:footnoteReference w:id="50"/>
      </w:r>
      <w:r>
        <w:t xml:space="preserve">  TDS argues that granting the waiver would not frustrate the purpose behind the reporting requirements because it was on track to exceed its obligations prior to the pandemic and has already resumed construction to these locations.</w:t>
      </w:r>
      <w:r>
        <w:rPr>
          <w:rStyle w:val="FootnoteReference"/>
        </w:rPr>
        <w:footnoteReference w:id="51"/>
      </w:r>
      <w:r>
        <w:t xml:space="preserve">  TDS </w:t>
      </w:r>
      <w:r w:rsidR="00EE09B8">
        <w:t xml:space="preserve">states that the only reason it </w:t>
      </w:r>
      <w:r w:rsidR="008B5673">
        <w:t xml:space="preserve">was </w:t>
      </w:r>
      <w:r>
        <w:t>unable to meet its location obligations by December 31, 2020 is because of a six-month pandemic-caused delay during which no work could be completed.</w:t>
      </w:r>
      <w:r>
        <w:rPr>
          <w:rStyle w:val="FootnoteReference"/>
        </w:rPr>
        <w:footnoteReference w:id="52"/>
      </w:r>
      <w:r>
        <w:t xml:space="preserve">  Further, TDS points to other examples of the Commission waiving deadlines related to COVID-19 challenges to highlight the impact the pandemic has had across the board.</w:t>
      </w:r>
      <w:r>
        <w:rPr>
          <w:rStyle w:val="FootnoteReference"/>
        </w:rPr>
        <w:footnoteReference w:id="53"/>
      </w:r>
      <w:r>
        <w:t xml:space="preserve">  TDS argues that </w:t>
      </w:r>
      <w:r>
        <w:t xml:space="preserve">granting </w:t>
      </w:r>
      <w:r w:rsidR="004C504C">
        <w:t>its</w:t>
      </w:r>
      <w:r>
        <w:t xml:space="preserve"> petition will “provide the opportunity for [TDS] to focus on deploying broadband to unserved and underserved areas instead of planning to deal with funding shortfalls caused by circumstances outside of [TDS’</w:t>
      </w:r>
      <w:r w:rsidR="005B58C6">
        <w:t>s</w:t>
      </w:r>
      <w:r>
        <w:t>] control.”</w:t>
      </w:r>
      <w:r>
        <w:rPr>
          <w:rStyle w:val="FootnoteReference"/>
        </w:rPr>
        <w:footnoteReference w:id="54"/>
      </w:r>
      <w:r w:rsidR="008E08AA">
        <w:t xml:space="preserve">  </w:t>
      </w:r>
    </w:p>
    <w:p w:rsidR="00564DE6" w:rsidRPr="00D254AF" w:rsidP="00564DE6" w14:paraId="746F7E19" w14:textId="3D0477B3">
      <w:pPr>
        <w:pStyle w:val="Heading1"/>
      </w:pPr>
      <w:r>
        <w:t>Discussion</w:t>
      </w:r>
    </w:p>
    <w:p w:rsidR="00564DE6" w:rsidP="00FE3CC7" w14:paraId="74456DFB" w14:textId="7614229D">
      <w:pPr>
        <w:pStyle w:val="ParaNum"/>
        <w:tabs>
          <w:tab w:val="clear" w:pos="1080"/>
          <w:tab w:val="num" w:pos="1440"/>
        </w:tabs>
      </w:pPr>
      <w:r w:rsidRPr="00D254AF">
        <w:t>Generally, the Commission’s rules may be waived for good cause shown.</w:t>
      </w:r>
      <w:r>
        <w:rPr>
          <w:sz w:val="20"/>
          <w:vertAlign w:val="superscript"/>
        </w:rPr>
        <w:footnoteReference w:id="55"/>
      </w:r>
      <w:r w:rsidRPr="00D254AF">
        <w:t xml:space="preserve">  Good cause is shown, and waiver is appropriate, only if special circumstances warrant a deviation from the general rule, and such deviation will serve the public interest.</w:t>
      </w:r>
      <w:r>
        <w:rPr>
          <w:snapToGrid/>
          <w:kern w:val="0"/>
          <w:vertAlign w:val="superscript"/>
        </w:rPr>
        <w:footnoteReference w:id="56"/>
      </w:r>
      <w:r w:rsidR="003A7E3A">
        <w:t xml:space="preserve">  The Commission may</w:t>
      </w:r>
      <w:r w:rsidR="00D772CB">
        <w:t>, on an individual basis, take into account considerations of hardship, equity, or more effective implementation of overall policy.</w:t>
      </w:r>
      <w:r>
        <w:rPr>
          <w:rStyle w:val="FootnoteReference"/>
        </w:rPr>
        <w:footnoteReference w:id="57"/>
      </w:r>
    </w:p>
    <w:p w:rsidR="000A5A5A" w:rsidP="00FE3CC7" w14:paraId="2691B8B3" w14:textId="227652C9">
      <w:pPr>
        <w:pStyle w:val="ParaNum"/>
        <w:tabs>
          <w:tab w:val="clear" w:pos="1080"/>
          <w:tab w:val="num" w:pos="1440"/>
        </w:tabs>
      </w:pPr>
      <w:r>
        <w:rPr>
          <w:snapToGrid/>
        </w:rPr>
        <w:t>T</w:t>
      </w:r>
      <w:r w:rsidRPr="00D254AF">
        <w:rPr>
          <w:snapToGrid/>
        </w:rPr>
        <w:t>he Commission has consistently held that requests to waive or extend construction obligations will not be routinely granted.</w:t>
      </w:r>
      <w:r>
        <w:rPr>
          <w:sz w:val="20"/>
          <w:vertAlign w:val="superscript"/>
        </w:rPr>
        <w:footnoteReference w:id="58"/>
      </w:r>
      <w:r w:rsidRPr="00D254AF">
        <w:rPr>
          <w:snapToGrid/>
        </w:rPr>
        <w:t xml:space="preserve">  </w:t>
      </w:r>
      <w:r w:rsidRPr="00D254AF" w:rsidR="00EF08A6">
        <w:t xml:space="preserve">Consistent with Commission precedent, prospective </w:t>
      </w:r>
      <w:r w:rsidR="00EE2D00">
        <w:t xml:space="preserve">support </w:t>
      </w:r>
      <w:r w:rsidRPr="00D254AF" w:rsidR="00EF08A6">
        <w:t>recipients should be aware that employee issues, vendor problems, equipment issues, inclement weather, and last minute delays occur in the regular course of business, and that these circumstances alone will not support waiver of Commission deadlines.</w:t>
      </w:r>
      <w:r>
        <w:rPr>
          <w:sz w:val="20"/>
          <w:vertAlign w:val="superscript"/>
        </w:rPr>
        <w:footnoteReference w:id="59"/>
      </w:r>
      <w:r w:rsidRPr="00D254AF" w:rsidR="00EF08A6">
        <w:t xml:space="preserve">  </w:t>
      </w:r>
    </w:p>
    <w:p w:rsidR="000E0A5A" w:rsidP="00FE3CC7" w14:paraId="1C2CDB37" w14:textId="08B8F4DC">
      <w:pPr>
        <w:pStyle w:val="ParaNum"/>
        <w:tabs>
          <w:tab w:val="clear" w:pos="1080"/>
          <w:tab w:val="num" w:pos="1440"/>
        </w:tabs>
      </w:pPr>
      <w:r>
        <w:t xml:space="preserve">However, we have also held that </w:t>
      </w:r>
      <w:r w:rsidRPr="00D254AF">
        <w:t>the first prong of the waiver standard may be met where a petitioner demonstrates that it faced delays because of special circumstances that it could not reasonably have foreseen, controlled, or avoided.</w:t>
      </w:r>
      <w:r>
        <w:rPr>
          <w:sz w:val="20"/>
          <w:vertAlign w:val="superscript"/>
        </w:rPr>
        <w:footnoteReference w:id="60"/>
      </w:r>
      <w:r>
        <w:t xml:space="preserve">  </w:t>
      </w:r>
      <w:r w:rsidR="00197DBA">
        <w:t xml:space="preserve">For example, </w:t>
      </w:r>
      <w:r w:rsidR="00C57D03">
        <w:t>t</w:t>
      </w:r>
      <w:r w:rsidR="00A035A7">
        <w:t>he Commission found that a waiver was appropriate where “a carrier was able to demonstrate that its failure</w:t>
      </w:r>
      <w:r w:rsidR="00D27336">
        <w:t xml:space="preserve"> to meet the required deadline was “due to circumstances beyond their control (e.g. a severe weather event, </w:t>
      </w:r>
      <w:r w:rsidR="00E2468E">
        <w:t>an inability to secure a right of way, or an unforeseen obstacle that prevents building to a location).”</w:t>
      </w:r>
      <w:r>
        <w:rPr>
          <w:rStyle w:val="FootnoteReference"/>
        </w:rPr>
        <w:footnoteReference w:id="61"/>
      </w:r>
      <w:r w:rsidR="00F14BDE">
        <w:t xml:space="preserve">  In those cases, the Commission explained that a carrier may request an extension of time</w:t>
      </w:r>
      <w:r w:rsidR="000D34B6">
        <w:t xml:space="preserve"> or waiver of the relevant milestone.</w:t>
      </w:r>
      <w:r>
        <w:rPr>
          <w:rStyle w:val="FootnoteReference"/>
        </w:rPr>
        <w:footnoteReference w:id="62"/>
      </w:r>
      <w:r w:rsidR="002371D7">
        <w:t xml:space="preserve">  The Commission </w:t>
      </w:r>
      <w:r w:rsidR="003F3BC7">
        <w:t>stated</w:t>
      </w:r>
      <w:r w:rsidR="002371D7">
        <w:t xml:space="preserve"> that it expected ETCs requesting this relief to </w:t>
      </w:r>
      <w:r w:rsidR="0057199F">
        <w:t>“continue to work diligently towards meeting the terms and conditions of their support while their petitions are pending.”</w:t>
      </w:r>
      <w:r>
        <w:rPr>
          <w:rStyle w:val="FootnoteReference"/>
        </w:rPr>
        <w:footnoteReference w:id="63"/>
      </w:r>
    </w:p>
    <w:p w:rsidR="00550706" w:rsidP="00180E91" w14:paraId="2F907704" w14:textId="3649A274">
      <w:pPr>
        <w:pStyle w:val="ParaNum"/>
        <w:tabs>
          <w:tab w:val="clear" w:pos="1080"/>
          <w:tab w:val="num" w:pos="1440"/>
        </w:tabs>
      </w:pPr>
      <w:r>
        <w:t xml:space="preserve">We find that </w:t>
      </w:r>
      <w:r w:rsidR="004B6006">
        <w:t xml:space="preserve">HT has established special circumstances that warrant </w:t>
      </w:r>
      <w:r w:rsidR="00041508">
        <w:t>granting</w:t>
      </w:r>
      <w:r w:rsidR="00D10813">
        <w:t xml:space="preserve"> </w:t>
      </w:r>
      <w:r w:rsidR="00041508">
        <w:t>its petition</w:t>
      </w:r>
      <w:r w:rsidR="00725BD0">
        <w:t>, as amended,</w:t>
      </w:r>
      <w:r w:rsidR="00097FF1">
        <w:t xml:space="preserve"> to allow it to count towards its interim </w:t>
      </w:r>
      <w:r w:rsidR="00CD606F">
        <w:t xml:space="preserve">and final </w:t>
      </w:r>
      <w:r w:rsidR="00097FF1">
        <w:t>deployment obligations the 3</w:t>
      </w:r>
      <w:r w:rsidR="005E2AC1">
        <w:t>70</w:t>
      </w:r>
      <w:r w:rsidR="00097FF1">
        <w:t xml:space="preserve"> locations to which </w:t>
      </w:r>
      <w:r w:rsidR="00D10813">
        <w:t xml:space="preserve">USAC </w:t>
      </w:r>
      <w:r w:rsidR="00DD5224">
        <w:t xml:space="preserve">verified </w:t>
      </w:r>
      <w:r w:rsidR="00D10813">
        <w:t>HT had previously deployed</w:t>
      </w:r>
      <w:r w:rsidR="00041508">
        <w:t xml:space="preserve">.  </w:t>
      </w:r>
      <w:r w:rsidR="001D1A21">
        <w:t>HT</w:t>
      </w:r>
      <w:r w:rsidR="00747493">
        <w:t xml:space="preserve">’s petition demonstrated that it was well on track to meet its </w:t>
      </w:r>
      <w:r w:rsidR="004105A3">
        <w:t xml:space="preserve">interim </w:t>
      </w:r>
      <w:r w:rsidR="00747493">
        <w:t>build</w:t>
      </w:r>
      <w:r w:rsidR="0CF48955">
        <w:t>-</w:t>
      </w:r>
      <w:r w:rsidR="00747493">
        <w:t>out obligations prior to the Kilauea eruption.</w:t>
      </w:r>
      <w:r>
        <w:rPr>
          <w:rStyle w:val="FootnoteReference"/>
        </w:rPr>
        <w:footnoteReference w:id="64"/>
      </w:r>
      <w:r w:rsidR="00C75062">
        <w:t xml:space="preserve">  Indeed, USAC verified that HT had </w:t>
      </w:r>
      <w:r w:rsidR="007D5760">
        <w:t>“demonstrated compliance with the 60 percent deployment milestone, although 391 locations had become unserviceable due to natural disaster.”</w:t>
      </w:r>
      <w:r>
        <w:rPr>
          <w:rStyle w:val="FootnoteReference"/>
        </w:rPr>
        <w:footnoteReference w:id="65"/>
      </w:r>
      <w:r w:rsidR="00E30882">
        <w:t xml:space="preserve">  We agree with H</w:t>
      </w:r>
      <w:r w:rsidR="00797812">
        <w:t>T</w:t>
      </w:r>
      <w:r w:rsidR="00E30882">
        <w:t xml:space="preserve"> that strict compliance with Commission rules in this case is “inconsistent with the public interest</w:t>
      </w:r>
      <w:r w:rsidR="00797812">
        <w:t xml:space="preserve">” because HT had </w:t>
      </w:r>
      <w:r w:rsidR="00D65BC7">
        <w:t>already deployed to these locations</w:t>
      </w:r>
      <w:r w:rsidR="003D1379">
        <w:t xml:space="preserve"> prior to </w:t>
      </w:r>
      <w:r w:rsidR="00745D25">
        <w:t>an “act of god [that] resulted in unprecedented destruction on the island of Hawai’i and there was no way for HT to anticipate or plan for such an occurrence.”</w:t>
      </w:r>
      <w:r>
        <w:rPr>
          <w:rStyle w:val="FootnoteReference"/>
        </w:rPr>
        <w:footnoteReference w:id="66"/>
      </w:r>
      <w:r w:rsidR="001B4430">
        <w:t xml:space="preserve">  </w:t>
      </w:r>
      <w:r w:rsidR="00D035F2">
        <w:t xml:space="preserve">The fact that the majority of these locations </w:t>
      </w:r>
      <w:r w:rsidR="009847FE">
        <w:t xml:space="preserve">have since been destroyed </w:t>
      </w:r>
      <w:r w:rsidR="005368D9">
        <w:t>does not</w:t>
      </w:r>
      <w:r w:rsidR="009847FE">
        <w:t xml:space="preserve"> diminish the significant work </w:t>
      </w:r>
      <w:r w:rsidR="005368D9">
        <w:t>done and resources invested by HT</w:t>
      </w:r>
      <w:r w:rsidR="009847FE">
        <w:t xml:space="preserve"> to build</w:t>
      </w:r>
      <w:r w:rsidR="005368D9">
        <w:t xml:space="preserve"> </w:t>
      </w:r>
      <w:r w:rsidR="009847FE">
        <w:t xml:space="preserve">out to these locations, </w:t>
      </w:r>
      <w:r w:rsidR="00A135A2">
        <w:t xml:space="preserve">especially where, as here, the destruction was caused by circumstances outside of HT’s control.  </w:t>
      </w:r>
      <w:r w:rsidR="00351887">
        <w:t>We believe that HT has demonstrated good cause to continue to count the 370 destroyed locations towards HT’s remaining interim</w:t>
      </w:r>
      <w:r w:rsidR="005368D9">
        <w:t xml:space="preserve"> and final</w:t>
      </w:r>
      <w:r w:rsidR="00351887">
        <w:t xml:space="preserve"> milestones. </w:t>
      </w:r>
      <w:r w:rsidR="001B4430">
        <w:t xml:space="preserve"> </w:t>
      </w:r>
    </w:p>
    <w:p w:rsidR="005368D9" w:rsidP="00484C2B" w14:paraId="6C6B7C81" w14:textId="610ABAFA">
      <w:pPr>
        <w:pStyle w:val="ParaNum"/>
        <w:tabs>
          <w:tab w:val="clear" w:pos="1080"/>
          <w:tab w:val="num" w:pos="1440"/>
        </w:tabs>
      </w:pPr>
      <w:r>
        <w:t xml:space="preserve">Similarly, TDS has also established special circumstances that justify a waiver of its service milestones.  TDS had </w:t>
      </w:r>
      <w:r w:rsidR="00B00AEA">
        <w:t>under</w:t>
      </w:r>
      <w:r>
        <w:t xml:space="preserve">taken </w:t>
      </w:r>
      <w:r w:rsidR="00B00AEA">
        <w:t xml:space="preserve">significant </w:t>
      </w:r>
      <w:r>
        <w:t xml:space="preserve">steps </w:t>
      </w:r>
      <w:r w:rsidR="00B00AEA">
        <w:t xml:space="preserve">necessary </w:t>
      </w:r>
      <w:r>
        <w:t xml:space="preserve">to </w:t>
      </w:r>
      <w:r w:rsidR="00B00AEA">
        <w:t xml:space="preserve">prepare </w:t>
      </w:r>
      <w:r w:rsidR="00724FDC">
        <w:t xml:space="preserve">for </w:t>
      </w:r>
      <w:r w:rsidR="00F73903">
        <w:t>its build</w:t>
      </w:r>
      <w:r w:rsidR="6C46FBED">
        <w:t>-</w:t>
      </w:r>
      <w:r w:rsidR="00F73903">
        <w:t xml:space="preserve">out </w:t>
      </w:r>
      <w:r>
        <w:t>before it was forced, by pandemic restrictions it could not reasonably have expected, to halt work and necessary site visits.</w:t>
      </w:r>
      <w:r>
        <w:rPr>
          <w:rStyle w:val="FootnoteReference"/>
        </w:rPr>
        <w:footnoteReference w:id="67"/>
      </w:r>
      <w:r>
        <w:t xml:space="preserve">  TDS’s ability to complete its build</w:t>
      </w:r>
      <w:r w:rsidR="1443130F">
        <w:t>out</w:t>
      </w:r>
      <w:r>
        <w:t xml:space="preserve"> on the Quechan Indian Reservation was blocked, through no fault of its own, when the Quechan Indian Tribe issued a stop-work order to TDS.</w:t>
      </w:r>
      <w:r>
        <w:rPr>
          <w:rStyle w:val="FootnoteReference"/>
        </w:rPr>
        <w:footnoteReference w:id="68"/>
      </w:r>
      <w:r>
        <w:t xml:space="preserve">  In the Hornitos area, pandemic-related travel restrictions prevented TDS’s engineers from evaluating the site in preparation for the buildout.</w:t>
      </w:r>
      <w:r>
        <w:rPr>
          <w:rStyle w:val="FootnoteReference"/>
        </w:rPr>
        <w:footnoteReference w:id="69"/>
      </w:r>
      <w:r>
        <w:t xml:space="preserve">  </w:t>
      </w:r>
      <w:r w:rsidR="007E6ABC">
        <w:t xml:space="preserve">In both instances, </w:t>
      </w:r>
      <w:r w:rsidR="00D50C06">
        <w:t>it is likely that TDS would have been able to complete its required deployment on time absent actions by others outside its control</w:t>
      </w:r>
      <w:r w:rsidR="003730D3">
        <w:t xml:space="preserve"> an</w:t>
      </w:r>
      <w:r w:rsidR="002F4ED6">
        <w:t>d circumstances that could not have been anticipated</w:t>
      </w:r>
      <w:r w:rsidR="00D50C06">
        <w:t>.</w:t>
      </w:r>
    </w:p>
    <w:p w:rsidR="005368D9" w:rsidP="00484C2B" w14:paraId="46741632" w14:textId="17154B65">
      <w:pPr>
        <w:pStyle w:val="ParaNum"/>
        <w:tabs>
          <w:tab w:val="clear" w:pos="1080"/>
          <w:tab w:val="num" w:pos="1440"/>
        </w:tabs>
      </w:pPr>
      <w:r>
        <w:t>Therefore, we conclude that the public interest will be served by granting HT’s petition</w:t>
      </w:r>
      <w:r w:rsidR="00BA1B1E">
        <w:t>, as amended,</w:t>
      </w:r>
      <w:r>
        <w:t xml:space="preserve"> and granting TDS’s petition.  Strict enforcement of the rules in these instances would fail to </w:t>
      </w:r>
      <w:r>
        <w:t>take into account the resources invested by HT to build out to the 370 locations and could potentially inhibit TDS from continuing to work to meet applicable milestones and fully complete deployment.  USAC already certified that HT had deployed to many of these locations with</w:t>
      </w:r>
      <w:r w:rsidR="004E4831">
        <w:t>in</w:t>
      </w:r>
      <w:r>
        <w:t xml:space="preserve"> its service area,</w:t>
      </w:r>
      <w:r>
        <w:rPr>
          <w:rStyle w:val="FootnoteReference"/>
        </w:rPr>
        <w:footnoteReference w:id="70"/>
      </w:r>
      <w:r>
        <w:t xml:space="preserve"> and TDS expects to complete its build</w:t>
      </w:r>
      <w:r w:rsidR="003976FF">
        <w:t>out</w:t>
      </w:r>
      <w:r>
        <w:t xml:space="preserve"> in the </w:t>
      </w:r>
      <w:r>
        <w:t>Winterhaven</w:t>
      </w:r>
      <w:r>
        <w:t xml:space="preserve"> and Hornitos areas by July 2021.</w:t>
      </w:r>
      <w:r>
        <w:rPr>
          <w:rStyle w:val="FootnoteReference"/>
        </w:rPr>
        <w:footnoteReference w:id="71"/>
      </w:r>
      <w:r>
        <w:t xml:space="preserve">  Thus, we conclude that waiving the rules to the exten</w:t>
      </w:r>
      <w:r w:rsidR="007B242A">
        <w:t>t</w:t>
      </w:r>
      <w:r>
        <w:t xml:space="preserve"> described herein is in the public interest.</w:t>
      </w:r>
      <w:r>
        <w:rPr>
          <w:rStyle w:val="FootnoteReference"/>
        </w:rPr>
        <w:footnoteReference w:id="72"/>
      </w:r>
      <w:r w:rsidR="00937546">
        <w:t xml:space="preserve">  We direct TDS to report to USAC when </w:t>
      </w:r>
      <w:r w:rsidR="003040DC">
        <w:t>it</w:t>
      </w:r>
      <w:r w:rsidR="00937546">
        <w:t xml:space="preserve"> complete</w:t>
      </w:r>
      <w:r w:rsidR="003040DC">
        <w:t>s</w:t>
      </w:r>
      <w:r w:rsidR="00937546">
        <w:t xml:space="preserve"> </w:t>
      </w:r>
      <w:r w:rsidR="00327417">
        <w:t>the build</w:t>
      </w:r>
      <w:r w:rsidR="4474046B">
        <w:t>out</w:t>
      </w:r>
      <w:r w:rsidR="00327417">
        <w:t xml:space="preserve"> in the </w:t>
      </w:r>
      <w:r w:rsidR="00327417">
        <w:t>Winterhaven</w:t>
      </w:r>
      <w:r w:rsidR="00327417">
        <w:t xml:space="preserve"> and Hornitos area</w:t>
      </w:r>
      <w:r w:rsidR="007740D9">
        <w:t>s</w:t>
      </w:r>
      <w:r w:rsidR="00327417">
        <w:t xml:space="preserve"> and, if not completed by July 2021, </w:t>
      </w:r>
      <w:r w:rsidR="007740D9">
        <w:t>to</w:t>
      </w:r>
      <w:r w:rsidR="001711EF">
        <w:t xml:space="preserve"> </w:t>
      </w:r>
      <w:r w:rsidR="00327417">
        <w:t xml:space="preserve">provide USAC with a status report. </w:t>
      </w:r>
    </w:p>
    <w:p w:rsidR="00564DE6" w:rsidRPr="00D254AF" w:rsidP="00564DE6" w14:paraId="39BA1721" w14:textId="77777777">
      <w:pPr>
        <w:keepNext/>
        <w:widowControl/>
        <w:numPr>
          <w:ilvl w:val="0"/>
          <w:numId w:val="4"/>
        </w:numPr>
        <w:tabs>
          <w:tab w:val="left" w:pos="720"/>
        </w:tabs>
        <w:suppressAutoHyphens/>
        <w:spacing w:after="120" w:line="259" w:lineRule="auto"/>
        <w:outlineLvl w:val="0"/>
        <w:rPr>
          <w:b/>
          <w:caps/>
        </w:rPr>
      </w:pPr>
      <w:r w:rsidRPr="00D254AF">
        <w:rPr>
          <w:b/>
          <w:caps/>
        </w:rPr>
        <w:t xml:space="preserve">Ordering clauseS </w:t>
      </w:r>
    </w:p>
    <w:p w:rsidR="00564DE6" w:rsidRPr="00D254AF" w:rsidP="00264461" w14:paraId="33162841" w14:textId="7A8D08DB">
      <w:pPr>
        <w:pStyle w:val="ParaNum"/>
        <w:tabs>
          <w:tab w:val="clear" w:pos="1080"/>
          <w:tab w:val="num" w:pos="1440"/>
        </w:tabs>
      </w:pPr>
      <w:r>
        <w:t xml:space="preserve">Accordingly, IT IS ORDERED that, under the authority contained in sections 1, </w:t>
      </w:r>
      <w:r w:rsidR="00BA6B5D">
        <w:t xml:space="preserve">2, </w:t>
      </w:r>
      <w:r>
        <w:t>4(i), 5,</w:t>
      </w:r>
      <w:r w:rsidR="00BA6B5D">
        <w:t xml:space="preserve"> 10, </w:t>
      </w:r>
      <w:r>
        <w:t>201</w:t>
      </w:r>
      <w:r w:rsidR="00B26D24">
        <w:t>-206</w:t>
      </w:r>
      <w:r>
        <w:t>,</w:t>
      </w:r>
      <w:r w:rsidR="00B26D24">
        <w:t xml:space="preserve"> 214, 218-220, 251, 252, </w:t>
      </w:r>
      <w:r>
        <w:t>254</w:t>
      </w:r>
      <w:r w:rsidR="00B26D24">
        <w:t>, 256</w:t>
      </w:r>
      <w:r>
        <w:t>, 303(r)</w:t>
      </w:r>
      <w:r w:rsidR="007D5876">
        <w:t>, 323, and 603</w:t>
      </w:r>
      <w:r>
        <w:t xml:space="preserve"> of the Communications Act of 1934, as amended, 47 U.S.C. §§ 151, 154(i), 155,</w:t>
      </w:r>
      <w:r w:rsidR="007D5876">
        <w:t xml:space="preserve"> 160, 201-206, 214, 218-220, 251, 252, 254, 256, 303</w:t>
      </w:r>
      <w:r w:rsidR="0023732F">
        <w:t>(r)</w:t>
      </w:r>
      <w:r w:rsidR="007D5876">
        <w:t>, 332, 403, 503, 1302</w:t>
      </w:r>
      <w:r>
        <w:t>, and</w:t>
      </w:r>
      <w:r w:rsidR="007D5876">
        <w:t xml:space="preserve"> sections 1.1 and</w:t>
      </w:r>
      <w:r>
        <w:t xml:space="preserve"> 1.3 of the Commission’s rules, 47 CFR §§ </w:t>
      </w:r>
      <w:r w:rsidR="0023732F">
        <w:t>1.1, 1.3</w:t>
      </w:r>
      <w:r>
        <w:t xml:space="preserve">, the </w:t>
      </w:r>
      <w:r w:rsidRPr="36F8B36E" w:rsidR="00252875">
        <w:rPr>
          <w:i/>
          <w:iCs/>
        </w:rPr>
        <w:t>Petition of Hawaiian Telecom for Waiver of Sections 54.310 and 54.316 of the Commission’s Rules</w:t>
      </w:r>
      <w:r w:rsidR="008C038D">
        <w:t xml:space="preserve">, as </w:t>
      </w:r>
      <w:r w:rsidR="000A628F">
        <w:t xml:space="preserve">amended and </w:t>
      </w:r>
      <w:r w:rsidR="008C038D">
        <w:t xml:space="preserve">as discussed herein, IS </w:t>
      </w:r>
      <w:r w:rsidR="004C7AB5">
        <w:t>GRANTED</w:t>
      </w:r>
      <w:r w:rsidR="005E19FB">
        <w:t>.</w:t>
      </w:r>
    </w:p>
    <w:p w:rsidR="00564DE6" w:rsidRPr="00D254AF" w:rsidP="00264461" w14:paraId="7413023A" w14:textId="1558C892">
      <w:pPr>
        <w:pStyle w:val="ParaNum"/>
        <w:tabs>
          <w:tab w:val="clear" w:pos="1080"/>
          <w:tab w:val="num" w:pos="1440"/>
        </w:tabs>
      </w:pPr>
      <w:r>
        <w:t xml:space="preserve">IT IS FURTHER ORDERED that, </w:t>
      </w:r>
      <w:r w:rsidR="0023732F">
        <w:t>under the authority contained in sections 1, 2, 4(i), 5, 10, 201-206, 214, 218-220, 251, 252, 254, 256, 303(r), 323, and 603 of the Communications Act of 1934, as amended, 47 U.S.C. §§ 151, 154(i), 155, 160, 201-206, 214, 218-220, 251, 252, 254, 256, 303(r), 332, 403, 503, 1302, and sections 1.1 and 1.3 of the Commission’s rules, 47 CFR §§ 1.1, 1.</w:t>
      </w:r>
      <w:r>
        <w:t xml:space="preserve">, the </w:t>
      </w:r>
      <w:r w:rsidRPr="36F8B36E" w:rsidR="00A333C5">
        <w:rPr>
          <w:i/>
          <w:iCs/>
        </w:rPr>
        <w:t>Petition for Temporary Waiver of TDS Telecommunications LLC</w:t>
      </w:r>
      <w:r>
        <w:t xml:space="preserve"> is HEREBY GRANTED.</w:t>
      </w:r>
    </w:p>
    <w:p w:rsidR="00564DE6" w:rsidRPr="00D256E6" w:rsidP="00264461" w14:paraId="05108E7F" w14:textId="0D5C87C4">
      <w:pPr>
        <w:pStyle w:val="ParaNum"/>
        <w:tabs>
          <w:tab w:val="clear" w:pos="1080"/>
          <w:tab w:val="num" w:pos="1440"/>
        </w:tabs>
      </w:pPr>
      <w:r>
        <w:t>IT IS FURTHER ORDERED that a copy of this Order SHALL BE transmitted to the Universal Service Administrative Company.</w:t>
      </w:r>
    </w:p>
    <w:p w:rsidR="00564DE6" w:rsidRPr="00D254AF" w:rsidP="00264461" w14:paraId="673755E2" w14:textId="2030F73C">
      <w:pPr>
        <w:pStyle w:val="ParaNum"/>
        <w:tabs>
          <w:tab w:val="clear" w:pos="1080"/>
          <w:tab w:val="num" w:pos="1440"/>
        </w:tabs>
      </w:pPr>
      <w:r>
        <w:t>IT IS FURTHER ORDERED that, under section 1.10</w:t>
      </w:r>
      <w:r w:rsidR="0023732F">
        <w:t>3</w:t>
      </w:r>
      <w:r>
        <w:t>(</w:t>
      </w:r>
      <w:r w:rsidR="0023732F">
        <w:t>a</w:t>
      </w:r>
      <w:r>
        <w:t>) of the Commission’s rules, 47 CFR § 1.10</w:t>
      </w:r>
      <w:r w:rsidR="0023732F">
        <w:t>3</w:t>
      </w:r>
      <w:r>
        <w:t>(</w:t>
      </w:r>
      <w:r w:rsidR="0023732F">
        <w:t>a</w:t>
      </w:r>
      <w:r>
        <w:t>), this Order SHALL BE effective upon release.</w:t>
      </w:r>
    </w:p>
    <w:p w:rsidR="00564DE6" w:rsidRPr="00D254AF" w:rsidP="00564DE6" w14:paraId="50E69E56" w14:textId="77777777">
      <w:pPr>
        <w:tabs>
          <w:tab w:val="num" w:pos="1440"/>
        </w:tabs>
        <w:spacing w:before="240"/>
        <w:ind w:left="2880" w:firstLine="720"/>
      </w:pPr>
      <w:r w:rsidRPr="00D254AF">
        <w:t>FEDERAL COMMUNICATIONS COMMISSION</w:t>
      </w:r>
    </w:p>
    <w:p w:rsidR="00564DE6" w:rsidRPr="00D254AF" w:rsidP="00564DE6" w14:paraId="3A551DE9" w14:textId="77777777">
      <w:pPr>
        <w:tabs>
          <w:tab w:val="num" w:pos="1440"/>
        </w:tabs>
        <w:spacing w:after="120"/>
      </w:pPr>
      <w:bookmarkStart w:id="2" w:name="SR;3307"/>
      <w:bookmarkStart w:id="3" w:name="SearchTerm"/>
      <w:bookmarkEnd w:id="2"/>
      <w:bookmarkEnd w:id="3"/>
    </w:p>
    <w:p w:rsidR="00564DE6" w:rsidRPr="00D254AF" w:rsidP="00564DE6" w14:paraId="6E695739" w14:textId="77777777">
      <w:pPr>
        <w:tabs>
          <w:tab w:val="num" w:pos="1440"/>
        </w:tabs>
        <w:spacing w:after="120"/>
      </w:pPr>
    </w:p>
    <w:p w:rsidR="00564DE6" w:rsidRPr="00D254AF" w:rsidP="00564DE6" w14:paraId="5A440EE8" w14:textId="77777777">
      <w:pPr>
        <w:tabs>
          <w:tab w:val="num" w:pos="1440"/>
        </w:tabs>
        <w:spacing w:after="120"/>
        <w:ind w:left="720"/>
      </w:pPr>
    </w:p>
    <w:p w:rsidR="00564DE6" w:rsidRPr="00D254AF" w:rsidP="00564DE6" w14:paraId="7FFCB504" w14:textId="77777777">
      <w:pPr>
        <w:tabs>
          <w:tab w:val="num" w:pos="1440"/>
        </w:tabs>
        <w:ind w:left="2880" w:firstLine="720"/>
      </w:pPr>
      <w:r w:rsidRPr="00D254AF">
        <w:t>Kris A. Monteith</w:t>
      </w:r>
    </w:p>
    <w:p w:rsidR="00564DE6" w:rsidRPr="00D254AF" w:rsidP="00564DE6" w14:paraId="1CB95962" w14:textId="77777777">
      <w:pPr>
        <w:tabs>
          <w:tab w:val="num" w:pos="1440"/>
        </w:tabs>
        <w:ind w:left="3600"/>
      </w:pPr>
      <w:r w:rsidRPr="00D254AF">
        <w:t>Chief</w:t>
      </w:r>
    </w:p>
    <w:p w:rsidR="00564DE6" w:rsidRPr="00D254AF" w:rsidP="00564DE6" w14:paraId="0DA6D30E" w14:textId="77777777">
      <w:pPr>
        <w:widowControl/>
        <w:spacing w:after="160" w:line="259" w:lineRule="auto"/>
        <w:ind w:left="3600"/>
        <w:rPr>
          <w:rFonts w:eastAsia="Calibri"/>
          <w:snapToGrid/>
          <w:kern w:val="0"/>
          <w:szCs w:val="22"/>
        </w:rPr>
      </w:pPr>
      <w:r w:rsidRPr="00D254AF">
        <w:rPr>
          <w:rFonts w:eastAsia="Calibri"/>
          <w:snapToGrid/>
          <w:kern w:val="0"/>
          <w:szCs w:val="22"/>
        </w:rPr>
        <w:t>Wireline Competition Bureau</w:t>
      </w:r>
    </w:p>
    <w:p w:rsidR="00564DE6" w:rsidRPr="00D254AF" w:rsidP="00564DE6" w14:paraId="5AB7014F" w14:textId="77777777">
      <w:pPr>
        <w:pStyle w:val="ParaNum"/>
        <w:numPr>
          <w:ilvl w:val="0"/>
          <w:numId w:val="0"/>
        </w:numPr>
      </w:pPr>
    </w:p>
    <w:p w:rsidR="001655F9" w:rsidRPr="001655F9" w:rsidP="00564DE6" w14:paraId="374BDB6D"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6919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80B25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FC973D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E6D69F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DEFC2F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0929" w14:paraId="174AB34F" w14:textId="77777777">
      <w:r>
        <w:separator/>
      </w:r>
    </w:p>
  </w:footnote>
  <w:footnote w:type="continuationSeparator" w:id="1">
    <w:p w:rsidR="00C50929" w:rsidP="00C721AC" w14:paraId="184C4EB9" w14:textId="77777777">
      <w:pPr>
        <w:spacing w:before="120"/>
        <w:rPr>
          <w:sz w:val="20"/>
        </w:rPr>
      </w:pPr>
      <w:r>
        <w:rPr>
          <w:sz w:val="20"/>
        </w:rPr>
        <w:t xml:space="preserve">(Continued from previous page)  </w:t>
      </w:r>
      <w:r>
        <w:rPr>
          <w:sz w:val="20"/>
        </w:rPr>
        <w:separator/>
      </w:r>
    </w:p>
  </w:footnote>
  <w:footnote w:type="continuationNotice" w:id="2">
    <w:p w:rsidR="00C50929" w:rsidP="00C721AC" w14:paraId="176B6212" w14:textId="77777777">
      <w:pPr>
        <w:jc w:val="right"/>
        <w:rPr>
          <w:sz w:val="20"/>
        </w:rPr>
      </w:pPr>
      <w:r>
        <w:rPr>
          <w:sz w:val="20"/>
        </w:rPr>
        <w:t>(continued….)</w:t>
      </w:r>
    </w:p>
  </w:footnote>
  <w:footnote w:id="3">
    <w:p w:rsidR="009B6A55" w14:paraId="53F29CAA" w14:textId="1FD61B90">
      <w:pPr>
        <w:pStyle w:val="FootnoteText"/>
      </w:pPr>
      <w:r>
        <w:rPr>
          <w:rStyle w:val="FootnoteReference"/>
        </w:rPr>
        <w:footnoteRef/>
      </w:r>
      <w:r>
        <w:t xml:space="preserve"> Petition of HT for Waiver of Sections 54.310 and 54.316 of the Commission’s Rules, WC Docket No. 10-90 (filed Sep</w:t>
      </w:r>
      <w:r w:rsidR="00EF7E8B">
        <w:t>t</w:t>
      </w:r>
      <w:r>
        <w:t xml:space="preserve">. 20, 2020), </w:t>
      </w:r>
      <w:hyperlink r:id="rId1" w:history="1">
        <w:r>
          <w:rPr>
            <w:rStyle w:val="Hyperlink"/>
          </w:rPr>
          <w:t>https://ecfsapi.fcc.gov/file/10910116334539/FINAL%20-%20HT%20HUBB%20N</w:t>
        </w:r>
        <w:r>
          <w:rPr>
            <w:rStyle w:val="Hyperlink"/>
          </w:rPr>
          <w:t>atural%20Disaster%20Petition%20for%20Waiver%20(9-10-2020).pdf</w:t>
        </w:r>
      </w:hyperlink>
      <w:r>
        <w:t xml:space="preserve"> (HT Petition). </w:t>
      </w:r>
      <w:r w:rsidR="00B51A7F">
        <w:t xml:space="preserve"> </w:t>
      </w:r>
    </w:p>
  </w:footnote>
  <w:footnote w:id="4">
    <w:p w:rsidR="009B6A55" w14:paraId="3B251F08" w14:textId="7A37E440">
      <w:pPr>
        <w:pStyle w:val="FootnoteText"/>
      </w:pPr>
      <w:r>
        <w:rPr>
          <w:rStyle w:val="FootnoteReference"/>
        </w:rPr>
        <w:footnoteRef/>
      </w:r>
      <w:r w:rsidR="36F8B36E">
        <w:t xml:space="preserve"> Petition for Temporary Waiver of TDS Telecommunications LLC, WC Docket Nos. 10-90, et al., CC Docket No. 01-92 (filed Sep</w:t>
      </w:r>
      <w:r w:rsidR="00EF7E8B">
        <w:t>t</w:t>
      </w:r>
      <w:r w:rsidR="36F8B36E">
        <w:t xml:space="preserve">. 30, 2020), </w:t>
      </w:r>
      <w:hyperlink r:id="rId2" w:history="1">
        <w:r w:rsidR="36F8B36E">
          <w:rPr>
            <w:rStyle w:val="Hyperlink"/>
          </w:rPr>
          <w:t>https://ecfsapi.fcc.gov/file/10930987110926/Final%20-%20Redacted</w:t>
        </w:r>
      </w:hyperlink>
      <w:r>
        <w:br/>
      </w:r>
      <w:r w:rsidR="36F8B36E">
        <w:t xml:space="preserve">%20-%20TDS%20Telecom%20-%20California%20Waiver%20Request%209-30-20.pdf (TDS Petition). </w:t>
      </w:r>
    </w:p>
  </w:footnote>
  <w:footnote w:id="5">
    <w:p w:rsidR="002F4CC4" w14:paraId="31BA149F" w14:textId="6EC76A8F">
      <w:pPr>
        <w:pStyle w:val="FootnoteText"/>
      </w:pPr>
      <w:r>
        <w:rPr>
          <w:rStyle w:val="FootnoteReference"/>
        </w:rPr>
        <w:footnoteRef/>
      </w:r>
      <w:r>
        <w:t xml:space="preserve"> </w:t>
      </w:r>
      <w:r w:rsidR="00375769">
        <w:t>HT Petition at 1</w:t>
      </w:r>
      <w:r w:rsidR="00B956DC">
        <w:t>; 47 CFR §§ 54.3</w:t>
      </w:r>
      <w:r w:rsidR="000B57F3">
        <w:t>10, 54.316.</w:t>
      </w:r>
    </w:p>
  </w:footnote>
  <w:footnote w:id="6">
    <w:p w:rsidR="004D5E4C" w14:paraId="1B118589" w14:textId="58FE733F">
      <w:pPr>
        <w:pStyle w:val="FootnoteText"/>
      </w:pPr>
      <w:r>
        <w:rPr>
          <w:rStyle w:val="FootnoteReference"/>
        </w:rPr>
        <w:footnoteRef/>
      </w:r>
      <w:r w:rsidR="36F8B36E">
        <w:t xml:space="preserve"> TDS Petition at 1; 47 CFR § 54.320(d). </w:t>
      </w:r>
    </w:p>
  </w:footnote>
  <w:footnote w:id="7">
    <w:p w:rsidR="00564DE6" w14:paraId="54D82714" w14:textId="1B6ACEE5">
      <w:pPr>
        <w:pStyle w:val="FootnoteText"/>
      </w:pPr>
      <w:r>
        <w:rPr>
          <w:rStyle w:val="FootnoteReference"/>
        </w:rPr>
        <w:footnoteRef/>
      </w:r>
      <w:r>
        <w:t xml:space="preserve"> </w:t>
      </w:r>
      <w:r>
        <w:rPr>
          <w:i/>
          <w:iCs/>
          <w:snapToGrid w:val="0"/>
        </w:rPr>
        <w:t>Connect America Fund et al.</w:t>
      </w:r>
      <w:r>
        <w:rPr>
          <w:snapToGrid w:val="0"/>
        </w:rPr>
        <w:t>,</w:t>
      </w:r>
      <w:r>
        <w:rPr>
          <w:i/>
          <w:iCs/>
          <w:snapToGrid w:val="0"/>
        </w:rPr>
        <w:t xml:space="preserve"> </w:t>
      </w:r>
      <w:r>
        <w:rPr>
          <w:snapToGrid w:val="0"/>
        </w:rPr>
        <w:t xml:space="preserve">WC Docket No. 10-90 et al., Report and Order and Further Notice of Proposed Rulemaking, 26 FCC </w:t>
      </w:r>
      <w:r>
        <w:rPr>
          <w:snapToGrid w:val="0"/>
        </w:rPr>
        <w:t>Rcd</w:t>
      </w:r>
      <w:r>
        <w:rPr>
          <w:snapToGrid w:val="0"/>
        </w:rPr>
        <w:t xml:space="preserve"> 17663, 177</w:t>
      </w:r>
      <w:r w:rsidR="00A00D85">
        <w:rPr>
          <w:snapToGrid w:val="0"/>
        </w:rPr>
        <w:t>12</w:t>
      </w:r>
      <w:r>
        <w:rPr>
          <w:snapToGrid w:val="0"/>
        </w:rPr>
        <w:t xml:space="preserve">, </w:t>
      </w:r>
      <w:r>
        <w:t xml:space="preserve">para. </w:t>
      </w:r>
      <w:r w:rsidR="00A00D85">
        <w:t>128</w:t>
      </w:r>
      <w:r>
        <w:rPr>
          <w:snapToGrid w:val="0"/>
        </w:rPr>
        <w:t xml:space="preserve"> (2011), </w:t>
      </w:r>
      <w:r>
        <w:rPr>
          <w:i/>
          <w:iCs/>
          <w:snapToGrid w:val="0"/>
        </w:rPr>
        <w:t xml:space="preserve">aff’d </w:t>
      </w:r>
      <w:r w:rsidRPr="00BE65AD">
        <w:rPr>
          <w:i/>
          <w:iCs/>
          <w:snapToGrid w:val="0"/>
        </w:rPr>
        <w:t>sub nom., In re: FCC 11-161</w:t>
      </w:r>
      <w:r w:rsidRPr="00BE65AD">
        <w:rPr>
          <w:snapToGrid w:val="0"/>
        </w:rPr>
        <w:t>, 753 F.3d 1015 (10th Cir. 2014) (</w:t>
      </w:r>
      <w:bookmarkStart w:id="0" w:name="_Hlk30677516"/>
      <w:r w:rsidRPr="00BE65AD">
        <w:rPr>
          <w:i/>
          <w:iCs/>
          <w:snapToGrid w:val="0"/>
        </w:rPr>
        <w:t>USF/ICC Transformation Order</w:t>
      </w:r>
      <w:bookmarkEnd w:id="0"/>
      <w:r w:rsidRPr="00BE65AD">
        <w:rPr>
          <w:snapToGrid w:val="0"/>
        </w:rPr>
        <w:t>).</w:t>
      </w:r>
      <w:r>
        <w:rPr>
          <w:snapToGrid w:val="0"/>
        </w:rPr>
        <w:t> </w:t>
      </w:r>
    </w:p>
  </w:footnote>
  <w:footnote w:id="8">
    <w:p w:rsidR="00204439" w:rsidRPr="00204439" w14:paraId="7588E45A" w14:textId="66CB50C6">
      <w:pPr>
        <w:pStyle w:val="FootnoteText"/>
      </w:pPr>
      <w:r>
        <w:rPr>
          <w:rStyle w:val="FootnoteReference"/>
        </w:rPr>
        <w:footnoteRef/>
      </w:r>
      <w:r>
        <w:t xml:space="preserve"> </w:t>
      </w:r>
      <w:r>
        <w:rPr>
          <w:i/>
          <w:iCs/>
        </w:rPr>
        <w:t>USF/ICC Transformation Order</w:t>
      </w:r>
      <w:r>
        <w:t xml:space="preserve">, 26 FCC </w:t>
      </w:r>
      <w:r>
        <w:t>Rcd</w:t>
      </w:r>
      <w:r>
        <w:t xml:space="preserve"> at 17725, para. 156. </w:t>
      </w:r>
    </w:p>
  </w:footnote>
  <w:footnote w:id="9">
    <w:p w:rsidR="00946D2D" w:rsidRPr="00946D2D" w14:paraId="22DD53C7" w14:textId="5D47E002">
      <w:pPr>
        <w:pStyle w:val="FootnoteText"/>
      </w:pPr>
      <w:r>
        <w:rPr>
          <w:rStyle w:val="FootnoteReference"/>
        </w:rPr>
        <w:footnoteRef/>
      </w:r>
      <w:r>
        <w:t xml:space="preserve"> </w:t>
      </w:r>
      <w:r>
        <w:rPr>
          <w:i/>
          <w:iCs/>
        </w:rPr>
        <w:t xml:space="preserve">See </w:t>
      </w:r>
      <w:r>
        <w:t xml:space="preserve">47 CFR § 54.316. </w:t>
      </w:r>
    </w:p>
  </w:footnote>
  <w:footnote w:id="10">
    <w:p w:rsidR="00E65175" w14:paraId="16BDDE09" w14:textId="48F4F787">
      <w:pPr>
        <w:pStyle w:val="FootnoteText"/>
      </w:pPr>
      <w:r>
        <w:rPr>
          <w:rStyle w:val="FootnoteReference"/>
        </w:rPr>
        <w:footnoteRef/>
      </w:r>
      <w:r>
        <w:t xml:space="preserve"> 47 CFR § 54.310(b). </w:t>
      </w:r>
    </w:p>
  </w:footnote>
  <w:footnote w:id="11">
    <w:p w:rsidR="00D9751B" w14:paraId="6B918D80" w14:textId="66CC99DD">
      <w:pPr>
        <w:pStyle w:val="FootnoteText"/>
      </w:pPr>
      <w:r>
        <w:rPr>
          <w:rStyle w:val="FootnoteReference"/>
        </w:rPr>
        <w:footnoteRef/>
      </w:r>
      <w:r>
        <w:t xml:space="preserve"> 47 CFR </w:t>
      </w:r>
      <w:r w:rsidR="00276C44">
        <w:t>§</w:t>
      </w:r>
      <w:r>
        <w:t xml:space="preserve"> 54.310(c). </w:t>
      </w:r>
    </w:p>
  </w:footnote>
  <w:footnote w:id="12">
    <w:p w:rsidR="0047285B" w:rsidRPr="0047285B" w14:paraId="3C6D4CEF" w14:textId="54746084">
      <w:pPr>
        <w:pStyle w:val="FootnoteText"/>
      </w:pPr>
      <w:r>
        <w:rPr>
          <w:rStyle w:val="FootnoteReference"/>
        </w:rPr>
        <w:footnoteRef/>
      </w:r>
      <w:r>
        <w:t xml:space="preserve"> </w:t>
      </w:r>
      <w:r>
        <w:rPr>
          <w:i/>
          <w:iCs/>
        </w:rPr>
        <w:t>See Connect America Fund et al.</w:t>
      </w:r>
      <w:r>
        <w:t xml:space="preserve">, WC Docket No. 10-90 et al., Report and Order, Order and Order on Reconsideration and Further Notice of Proposed Rulemaking, 31 FCC </w:t>
      </w:r>
      <w:r>
        <w:t>Rcd</w:t>
      </w:r>
      <w:r>
        <w:t xml:space="preserve"> 3087, 3089, para. 1 (20</w:t>
      </w:r>
      <w:r w:rsidR="003C64B1">
        <w:t>1</w:t>
      </w:r>
      <w:r>
        <w:t>6) (</w:t>
      </w:r>
      <w:r>
        <w:rPr>
          <w:i/>
          <w:iCs/>
        </w:rPr>
        <w:t>Rate-of-Return Reform Order</w:t>
      </w:r>
      <w:r>
        <w:t xml:space="preserve">). </w:t>
      </w:r>
    </w:p>
  </w:footnote>
  <w:footnote w:id="13">
    <w:p w:rsidR="0047285B" w:rsidRPr="0047285B" w14:paraId="6A1335CC" w14:textId="189ABC40">
      <w:pPr>
        <w:pStyle w:val="FootnoteText"/>
      </w:pPr>
      <w:r>
        <w:rPr>
          <w:rStyle w:val="FootnoteReference"/>
        </w:rPr>
        <w:footnoteRef/>
      </w:r>
      <w:r>
        <w:t xml:space="preserve"> </w:t>
      </w:r>
      <w:r>
        <w:rPr>
          <w:i/>
          <w:iCs/>
        </w:rPr>
        <w:t>Id.</w:t>
      </w:r>
      <w:r>
        <w:t xml:space="preserve"> at 3094-117, paras. 17-79. </w:t>
      </w:r>
    </w:p>
  </w:footnote>
  <w:footnote w:id="14">
    <w:p w:rsidR="00A6396D" w14:paraId="2C8B0F4E" w14:textId="449BA50D">
      <w:pPr>
        <w:pStyle w:val="FootnoteText"/>
      </w:pPr>
      <w:r>
        <w:rPr>
          <w:rStyle w:val="FootnoteReference"/>
        </w:rPr>
        <w:footnoteRef/>
      </w:r>
      <w:r>
        <w:t xml:space="preserve"> </w:t>
      </w:r>
      <w:r w:rsidR="00341328">
        <w:rPr>
          <w:i/>
          <w:iCs/>
        </w:rPr>
        <w:t xml:space="preserve">Id. </w:t>
      </w:r>
      <w:r w:rsidR="00341328">
        <w:t xml:space="preserve">at </w:t>
      </w:r>
      <w:r>
        <w:t xml:space="preserve">3100-01, para. 32. </w:t>
      </w:r>
    </w:p>
  </w:footnote>
  <w:footnote w:id="15">
    <w:p w:rsidR="002247A0" w14:paraId="164FF0B4" w14:textId="16D028BD">
      <w:pPr>
        <w:pStyle w:val="FootnoteText"/>
      </w:pPr>
      <w:r>
        <w:rPr>
          <w:rStyle w:val="FootnoteReference"/>
        </w:rPr>
        <w:footnoteRef/>
      </w:r>
      <w:r>
        <w:t xml:space="preserve"> </w:t>
      </w:r>
      <w:r w:rsidR="00341328">
        <w:rPr>
          <w:i/>
          <w:iCs/>
        </w:rPr>
        <w:t xml:space="preserve">Id. </w:t>
      </w:r>
      <w:r>
        <w:t xml:space="preserve"> </w:t>
      </w:r>
    </w:p>
  </w:footnote>
  <w:footnote w:id="16">
    <w:p w:rsidR="00135595" w14:paraId="2870B892" w14:textId="34781AB4">
      <w:pPr>
        <w:pStyle w:val="FootnoteText"/>
      </w:pPr>
      <w:r>
        <w:rPr>
          <w:rStyle w:val="FootnoteReference"/>
        </w:rPr>
        <w:footnoteRef/>
      </w:r>
      <w:r>
        <w:t xml:space="preserve"> </w:t>
      </w:r>
      <w:r w:rsidR="00341328">
        <w:rPr>
          <w:i/>
          <w:iCs/>
        </w:rPr>
        <w:t xml:space="preserve">Id. </w:t>
      </w:r>
      <w:r w:rsidR="00341328">
        <w:t xml:space="preserve">at </w:t>
      </w:r>
      <w:r>
        <w:t xml:space="preserve">3101, para. 33. </w:t>
      </w:r>
    </w:p>
  </w:footnote>
  <w:footnote w:id="17">
    <w:p w:rsidR="001655F9" w:rsidP="001655F9" w14:paraId="5441CCA6" w14:textId="579A8EB4">
      <w:pPr>
        <w:pStyle w:val="FootnoteText"/>
      </w:pPr>
      <w:r>
        <w:rPr>
          <w:rStyle w:val="FootnoteReference"/>
        </w:rPr>
        <w:footnoteRef/>
      </w:r>
      <w:r>
        <w:t xml:space="preserve"> </w:t>
      </w:r>
      <w:r w:rsidR="009B6A55">
        <w:t xml:space="preserve">HT Petition at 1. </w:t>
      </w:r>
    </w:p>
  </w:footnote>
  <w:footnote w:id="18">
    <w:p w:rsidR="001655F9" w:rsidP="001655F9" w14:paraId="7B54DAA3" w14:textId="523790DF">
      <w:pPr>
        <w:pStyle w:val="FootnoteText"/>
      </w:pPr>
      <w:r>
        <w:rPr>
          <w:rStyle w:val="FootnoteReference"/>
        </w:rPr>
        <w:footnoteRef/>
      </w:r>
      <w:r w:rsidR="36F8B36E">
        <w:t xml:space="preserve"> </w:t>
      </w:r>
      <w:r w:rsidRPr="00557E0A" w:rsidR="36F8B36E">
        <w:rPr>
          <w:i/>
          <w:iCs/>
        </w:rPr>
        <w:t>Id</w:t>
      </w:r>
      <w:r w:rsidRPr="36F8B36E" w:rsidR="36F8B36E">
        <w:rPr>
          <w:i/>
          <w:iCs/>
        </w:rPr>
        <w:t>.</w:t>
      </w:r>
      <w:r w:rsidR="36F8B36E">
        <w:t xml:space="preserve"> at 2. </w:t>
      </w:r>
    </w:p>
  </w:footnote>
  <w:footnote w:id="19">
    <w:p w:rsidR="001655F9" w:rsidP="001655F9" w14:paraId="0154935C" w14:textId="38BD8FD5">
      <w:pPr>
        <w:pStyle w:val="FootnoteText"/>
      </w:pPr>
      <w:r>
        <w:rPr>
          <w:rStyle w:val="FootnoteReference"/>
        </w:rPr>
        <w:footnoteRef/>
      </w:r>
      <w:r w:rsidR="36F8B36E">
        <w:t xml:space="preserve"> </w:t>
      </w:r>
      <w:r w:rsidRPr="00557E0A" w:rsidR="36F8B36E">
        <w:rPr>
          <w:i/>
          <w:iCs/>
        </w:rPr>
        <w:t>Id</w:t>
      </w:r>
      <w:r w:rsidRPr="36F8B36E" w:rsidR="36F8B36E">
        <w:rPr>
          <w:i/>
          <w:iCs/>
        </w:rPr>
        <w:t>.</w:t>
      </w:r>
      <w:r w:rsidR="36F8B36E">
        <w:t xml:space="preserve"> at 2. </w:t>
      </w:r>
    </w:p>
  </w:footnote>
  <w:footnote w:id="20">
    <w:p w:rsidR="001655F9" w:rsidP="001655F9" w14:paraId="24A5D284" w14:textId="77777777">
      <w:pPr>
        <w:pStyle w:val="FootnoteText"/>
      </w:pPr>
      <w:r>
        <w:rPr>
          <w:rStyle w:val="FootnoteReference"/>
        </w:rPr>
        <w:footnoteRef/>
      </w:r>
      <w:r>
        <w:t xml:space="preserve"> 47 CFR § 54.316(b)(1). </w:t>
      </w:r>
    </w:p>
  </w:footnote>
  <w:footnote w:id="21">
    <w:p w:rsidR="001655F9" w:rsidP="001655F9" w14:paraId="0889DE3C" w14:textId="77777777">
      <w:pPr>
        <w:pStyle w:val="FootnoteText"/>
      </w:pPr>
      <w:r>
        <w:rPr>
          <w:rStyle w:val="FootnoteReference"/>
        </w:rPr>
        <w:footnoteRef/>
      </w:r>
      <w:r>
        <w:t xml:space="preserve"> HT Petition at 2. </w:t>
      </w:r>
    </w:p>
  </w:footnote>
  <w:footnote w:id="22">
    <w:p w:rsidR="001655F9" w:rsidP="001655F9" w14:paraId="2C1F5F54" w14:textId="5B43A988">
      <w:pPr>
        <w:pStyle w:val="FootnoteText"/>
      </w:pPr>
      <w:r>
        <w:rPr>
          <w:rStyle w:val="FootnoteReference"/>
        </w:rPr>
        <w:footnoteRef/>
      </w:r>
      <w:r w:rsidR="36F8B36E">
        <w:t xml:space="preserve"> </w:t>
      </w:r>
      <w:r w:rsidRPr="00557E0A" w:rsidR="36F8B36E">
        <w:rPr>
          <w:i/>
          <w:iCs/>
        </w:rPr>
        <w:t>Id</w:t>
      </w:r>
      <w:r w:rsidRPr="36F8B36E" w:rsidR="36F8B36E">
        <w:rPr>
          <w:i/>
          <w:iCs/>
        </w:rPr>
        <w:t>.</w:t>
      </w:r>
      <w:r w:rsidR="36F8B36E">
        <w:t xml:space="preserve"> at 3.  </w:t>
      </w:r>
    </w:p>
  </w:footnote>
  <w:footnote w:id="23">
    <w:p w:rsidR="001655F9" w:rsidP="001655F9" w14:paraId="4A98EC33" w14:textId="4DCBA75D">
      <w:pPr>
        <w:pStyle w:val="FootnoteText"/>
      </w:pPr>
      <w:r>
        <w:rPr>
          <w:rStyle w:val="FootnoteReference"/>
        </w:rPr>
        <w:footnoteRef/>
      </w:r>
      <w:r w:rsidRPr="00557E0A" w:rsidR="36F8B36E">
        <w:rPr>
          <w:i/>
          <w:iCs/>
        </w:rPr>
        <w:t xml:space="preserve"> Id</w:t>
      </w:r>
      <w:r w:rsidRPr="36F8B36E" w:rsidR="36F8B36E">
        <w:rPr>
          <w:i/>
          <w:iCs/>
        </w:rPr>
        <w:t>.</w:t>
      </w:r>
      <w:r w:rsidR="36F8B36E">
        <w:t xml:space="preserve"> at 3. </w:t>
      </w:r>
    </w:p>
  </w:footnote>
  <w:footnote w:id="24">
    <w:p w:rsidR="001655F9" w:rsidP="001655F9" w14:paraId="67AA3814" w14:textId="18E07646">
      <w:pPr>
        <w:pStyle w:val="FootnoteText"/>
      </w:pPr>
      <w:r>
        <w:rPr>
          <w:rStyle w:val="FootnoteReference"/>
        </w:rPr>
        <w:footnoteRef/>
      </w:r>
      <w:r w:rsidR="36F8B36E">
        <w:t xml:space="preserve"> </w:t>
      </w:r>
      <w:r w:rsidRPr="00557E0A" w:rsidR="36F8B36E">
        <w:rPr>
          <w:i/>
          <w:iCs/>
        </w:rPr>
        <w:t>Id</w:t>
      </w:r>
      <w:r w:rsidRPr="36F8B36E" w:rsidR="36F8B36E">
        <w:rPr>
          <w:i/>
          <w:iCs/>
        </w:rPr>
        <w:t>.</w:t>
      </w:r>
      <w:r w:rsidR="36F8B36E">
        <w:t xml:space="preserve"> at 3. </w:t>
      </w:r>
    </w:p>
  </w:footnote>
  <w:footnote w:id="25">
    <w:p w:rsidR="001655F9" w:rsidP="001655F9" w14:paraId="08364DCE" w14:textId="31975818">
      <w:pPr>
        <w:pStyle w:val="FootnoteText"/>
      </w:pPr>
      <w:r>
        <w:rPr>
          <w:rStyle w:val="FootnoteReference"/>
        </w:rPr>
        <w:footnoteRef/>
      </w:r>
      <w:r w:rsidR="36F8B36E">
        <w:t xml:space="preserve"> </w:t>
      </w:r>
      <w:r w:rsidRPr="00557E0A" w:rsidR="36F8B36E">
        <w:rPr>
          <w:i/>
          <w:iCs/>
        </w:rPr>
        <w:t>Id</w:t>
      </w:r>
      <w:r w:rsidRPr="36F8B36E" w:rsidR="36F8B36E">
        <w:rPr>
          <w:i/>
          <w:iCs/>
        </w:rPr>
        <w:t>.</w:t>
      </w:r>
      <w:r w:rsidRPr="00557E0A" w:rsidR="36F8B36E">
        <w:rPr>
          <w:i/>
          <w:iCs/>
        </w:rPr>
        <w:t xml:space="preserve"> </w:t>
      </w:r>
      <w:r w:rsidR="36F8B36E">
        <w:t xml:space="preserve">at 4. </w:t>
      </w:r>
    </w:p>
  </w:footnote>
  <w:footnote w:id="26">
    <w:p w:rsidR="001655F9" w:rsidP="001655F9" w14:paraId="701F7632" w14:textId="34554750">
      <w:pPr>
        <w:pStyle w:val="FootnoteText"/>
      </w:pPr>
      <w:r>
        <w:rPr>
          <w:rStyle w:val="FootnoteReference"/>
        </w:rPr>
        <w:footnoteRef/>
      </w:r>
      <w:r w:rsidR="36F8B36E">
        <w:t xml:space="preserve"> </w:t>
      </w:r>
      <w:r w:rsidRPr="00557E0A" w:rsidR="36F8B36E">
        <w:rPr>
          <w:i/>
          <w:iCs/>
        </w:rPr>
        <w:t>Id</w:t>
      </w:r>
      <w:r w:rsidRPr="36F8B36E" w:rsidR="36F8B36E">
        <w:rPr>
          <w:i/>
          <w:iCs/>
        </w:rPr>
        <w:t>.</w:t>
      </w:r>
      <w:r w:rsidRPr="00557E0A" w:rsidR="36F8B36E">
        <w:rPr>
          <w:i/>
          <w:iCs/>
        </w:rPr>
        <w:t xml:space="preserve"> </w:t>
      </w:r>
      <w:r w:rsidR="36F8B36E">
        <w:t xml:space="preserve">at 6. </w:t>
      </w:r>
    </w:p>
  </w:footnote>
  <w:footnote w:id="27">
    <w:p w:rsidR="001655F9" w:rsidP="001655F9" w14:paraId="020646CB" w14:textId="469D96F6">
      <w:pPr>
        <w:pStyle w:val="FootnoteText"/>
      </w:pPr>
      <w:r>
        <w:rPr>
          <w:rStyle w:val="FootnoteReference"/>
        </w:rPr>
        <w:footnoteRef/>
      </w:r>
      <w:r w:rsidR="36F8B36E">
        <w:t xml:space="preserve"> </w:t>
      </w:r>
      <w:r w:rsidRPr="00557E0A" w:rsidR="36F8B36E">
        <w:rPr>
          <w:i/>
          <w:iCs/>
        </w:rPr>
        <w:t>Id</w:t>
      </w:r>
      <w:r w:rsidRPr="36F8B36E" w:rsidR="36F8B36E">
        <w:rPr>
          <w:i/>
          <w:iCs/>
        </w:rPr>
        <w:t>.</w:t>
      </w:r>
      <w:r w:rsidRPr="00557E0A" w:rsidR="36F8B36E">
        <w:rPr>
          <w:i/>
          <w:iCs/>
        </w:rPr>
        <w:t xml:space="preserve"> </w:t>
      </w:r>
      <w:r w:rsidR="36F8B36E">
        <w:t xml:space="preserve">at 7. </w:t>
      </w:r>
    </w:p>
  </w:footnote>
  <w:footnote w:id="28">
    <w:p w:rsidR="001655F9" w:rsidP="001655F9" w14:paraId="45D67924" w14:textId="26B53F79">
      <w:pPr>
        <w:pStyle w:val="FootnoteText"/>
      </w:pPr>
      <w:r>
        <w:rPr>
          <w:rStyle w:val="FootnoteReference"/>
        </w:rPr>
        <w:footnoteRef/>
      </w:r>
      <w:r w:rsidR="36F8B36E">
        <w:t xml:space="preserve"> </w:t>
      </w:r>
      <w:r w:rsidRPr="00557E0A" w:rsidR="36F8B36E">
        <w:rPr>
          <w:i/>
          <w:iCs/>
        </w:rPr>
        <w:t>Id</w:t>
      </w:r>
      <w:r w:rsidRPr="36F8B36E" w:rsidR="36F8B36E">
        <w:rPr>
          <w:i/>
          <w:iCs/>
        </w:rPr>
        <w:t>.</w:t>
      </w:r>
      <w:r w:rsidRPr="00557E0A" w:rsidR="36F8B36E">
        <w:rPr>
          <w:i/>
          <w:iCs/>
        </w:rPr>
        <w:t xml:space="preserve"> </w:t>
      </w:r>
      <w:r w:rsidR="36F8B36E">
        <w:t xml:space="preserve">at 7. </w:t>
      </w:r>
    </w:p>
  </w:footnote>
  <w:footnote w:id="29">
    <w:p w:rsidR="001655F9" w:rsidP="001655F9" w14:paraId="4FF2380A" w14:textId="1250D236">
      <w:pPr>
        <w:pStyle w:val="FootnoteText"/>
      </w:pPr>
      <w:r>
        <w:rPr>
          <w:rStyle w:val="FootnoteReference"/>
        </w:rPr>
        <w:footnoteRef/>
      </w:r>
      <w:r w:rsidR="36F8B36E">
        <w:t xml:space="preserve"> </w:t>
      </w:r>
      <w:r w:rsidRPr="00557E0A" w:rsidR="36F8B36E">
        <w:rPr>
          <w:i/>
          <w:iCs/>
        </w:rPr>
        <w:t>Id</w:t>
      </w:r>
      <w:r w:rsidRPr="36F8B36E" w:rsidR="36F8B36E">
        <w:rPr>
          <w:i/>
          <w:iCs/>
        </w:rPr>
        <w:t>.</w:t>
      </w:r>
      <w:r w:rsidR="36F8B36E">
        <w:t xml:space="preserve"> at 7-8; Letter from Russell M. Blau and Patricia Cave, Counsel for HT, to Marlene H. Dortch, FCC Secretary, at 2 (Dec. 9, 2020) (HT Letter). </w:t>
      </w:r>
    </w:p>
  </w:footnote>
  <w:footnote w:id="30">
    <w:p w:rsidR="001655F9" w:rsidP="001655F9" w14:paraId="1A5CBFF0" w14:textId="77777777">
      <w:pPr>
        <w:pStyle w:val="FootnoteText"/>
      </w:pPr>
      <w:r>
        <w:rPr>
          <w:rStyle w:val="FootnoteReference"/>
        </w:rPr>
        <w:footnoteRef/>
      </w:r>
      <w:r>
        <w:t xml:space="preserve"> HT Petition at 9.  </w:t>
      </w:r>
    </w:p>
  </w:footnote>
  <w:footnote w:id="31">
    <w:p w:rsidR="001655F9" w:rsidP="001655F9" w14:paraId="733C07AB" w14:textId="419D1F82">
      <w:pPr>
        <w:pStyle w:val="FootnoteText"/>
      </w:pPr>
      <w:r>
        <w:rPr>
          <w:rStyle w:val="FootnoteReference"/>
        </w:rPr>
        <w:footnoteRef/>
      </w:r>
      <w:r w:rsidR="36F8B36E">
        <w:t xml:space="preserve"> </w:t>
      </w:r>
      <w:r w:rsidRPr="00557E0A" w:rsidR="36F8B36E">
        <w:rPr>
          <w:i/>
          <w:iCs/>
        </w:rPr>
        <w:t>Id</w:t>
      </w:r>
      <w:r w:rsidRPr="36F8B36E" w:rsidR="36F8B36E">
        <w:rPr>
          <w:i/>
          <w:iCs/>
        </w:rPr>
        <w:t>.</w:t>
      </w:r>
      <w:r w:rsidR="36F8B36E">
        <w:t xml:space="preserve"> at 9. </w:t>
      </w:r>
    </w:p>
  </w:footnote>
  <w:footnote w:id="32">
    <w:p w:rsidR="001655F9" w:rsidP="001655F9" w14:paraId="60FF0EC6" w14:textId="43CE996A">
      <w:pPr>
        <w:pStyle w:val="FootnoteText"/>
      </w:pPr>
      <w:r>
        <w:rPr>
          <w:rStyle w:val="FootnoteReference"/>
        </w:rPr>
        <w:footnoteRef/>
      </w:r>
      <w:r w:rsidR="36F8B36E">
        <w:t xml:space="preserve"> </w:t>
      </w:r>
      <w:r w:rsidRPr="00557E0A" w:rsidR="36F8B36E">
        <w:rPr>
          <w:i/>
          <w:iCs/>
        </w:rPr>
        <w:t>Id</w:t>
      </w:r>
      <w:r w:rsidRPr="36F8B36E" w:rsidR="36F8B36E">
        <w:rPr>
          <w:i/>
          <w:iCs/>
        </w:rPr>
        <w:t>.</w:t>
      </w:r>
      <w:r w:rsidR="36F8B36E">
        <w:t xml:space="preserve"> at 9. </w:t>
      </w:r>
    </w:p>
  </w:footnote>
  <w:footnote w:id="33">
    <w:p w:rsidR="00473252" w:rsidRPr="00682E7E" w:rsidP="00473252" w14:paraId="7EBB4EB4" w14:textId="77777777">
      <w:pPr>
        <w:pStyle w:val="FootnoteText"/>
      </w:pPr>
      <w:r>
        <w:rPr>
          <w:rStyle w:val="FootnoteReference"/>
        </w:rPr>
        <w:footnoteRef/>
      </w:r>
      <w:r>
        <w:t xml:space="preserve"> HT Petition at 2. </w:t>
      </w:r>
    </w:p>
  </w:footnote>
  <w:footnote w:id="34">
    <w:p w:rsidR="00874ECA" w14:paraId="372D4D8C" w14:textId="19C5464B">
      <w:pPr>
        <w:pStyle w:val="FootnoteText"/>
      </w:pPr>
      <w:r>
        <w:rPr>
          <w:rStyle w:val="FootnoteReference"/>
        </w:rPr>
        <w:footnoteRef/>
      </w:r>
      <w:r>
        <w:t xml:space="preserve"> </w:t>
      </w:r>
      <w:r w:rsidRPr="005503BF">
        <w:rPr>
          <w:i/>
          <w:iCs/>
        </w:rPr>
        <w:t>See</w:t>
      </w:r>
      <w:r w:rsidRPr="005503BF">
        <w:t xml:space="preserve"> Letter from Russell M. Blau and Patricia Cave, Counsel for HT, to Marlene H. Dortch, FCC Secretary, at 2 (May 17, 2021).</w:t>
      </w:r>
      <w:r w:rsidRPr="00196F5B">
        <w:rPr>
          <w:highlight w:val="yellow"/>
        </w:rPr>
        <w:t xml:space="preserve">  </w:t>
      </w:r>
    </w:p>
  </w:footnote>
  <w:footnote w:id="35">
    <w:p w:rsidR="001655F9" w:rsidP="001655F9" w14:paraId="226462C0" w14:textId="5DC91C35">
      <w:pPr>
        <w:pStyle w:val="FootnoteText"/>
      </w:pPr>
      <w:r>
        <w:rPr>
          <w:rStyle w:val="FootnoteReference"/>
        </w:rPr>
        <w:footnoteRef/>
      </w:r>
      <w:r>
        <w:t xml:space="preserve"> </w:t>
      </w:r>
      <w:r w:rsidR="009B6A55">
        <w:t xml:space="preserve">TDS Petition at 2. </w:t>
      </w:r>
      <w:r>
        <w:t xml:space="preserve"> </w:t>
      </w:r>
    </w:p>
  </w:footnote>
  <w:footnote w:id="36">
    <w:p w:rsidR="001655F9" w:rsidP="001655F9" w14:paraId="002D2B48" w14:textId="5ED8E4E7">
      <w:pPr>
        <w:pStyle w:val="FootnoteText"/>
      </w:pPr>
      <w:r>
        <w:rPr>
          <w:rStyle w:val="FootnoteReference"/>
        </w:rPr>
        <w:footnoteRef/>
      </w:r>
      <w:r w:rsidRPr="00557E0A" w:rsidR="36F8B36E">
        <w:rPr>
          <w:i/>
          <w:iCs/>
        </w:rPr>
        <w:t xml:space="preserve"> Id</w:t>
      </w:r>
      <w:r w:rsidRPr="36F8B36E" w:rsidR="36F8B36E">
        <w:rPr>
          <w:i/>
          <w:iCs/>
        </w:rPr>
        <w:t>.</w:t>
      </w:r>
      <w:r w:rsidRPr="00557E0A" w:rsidR="36F8B36E">
        <w:rPr>
          <w:i/>
          <w:iCs/>
        </w:rPr>
        <w:t xml:space="preserve"> </w:t>
      </w:r>
      <w:r w:rsidR="36F8B36E">
        <w:t xml:space="preserve">at 2. </w:t>
      </w:r>
    </w:p>
  </w:footnote>
  <w:footnote w:id="37">
    <w:p w:rsidR="001655F9" w:rsidP="001655F9" w14:paraId="5FE2203A" w14:textId="79E5C356">
      <w:pPr>
        <w:pStyle w:val="FootnoteText"/>
      </w:pPr>
      <w:r>
        <w:rPr>
          <w:rStyle w:val="FootnoteReference"/>
        </w:rPr>
        <w:footnoteRef/>
      </w:r>
      <w:r w:rsidR="36F8B36E">
        <w:t xml:space="preserve"> </w:t>
      </w:r>
      <w:r w:rsidRPr="00557E0A" w:rsidR="36F8B36E">
        <w:rPr>
          <w:i/>
          <w:iCs/>
        </w:rPr>
        <w:t>Id.</w:t>
      </w:r>
      <w:r w:rsidR="36F8B36E">
        <w:t xml:space="preserve"> at 2. </w:t>
      </w:r>
    </w:p>
  </w:footnote>
  <w:footnote w:id="38">
    <w:p w:rsidR="001655F9" w:rsidP="001655F9" w14:paraId="00FB3E52" w14:textId="7E83A6CF">
      <w:pPr>
        <w:pStyle w:val="FootnoteText"/>
      </w:pPr>
      <w:r>
        <w:rPr>
          <w:rStyle w:val="FootnoteReference"/>
        </w:rPr>
        <w:footnoteRef/>
      </w:r>
      <w:r w:rsidR="36F8B36E">
        <w:t xml:space="preserve"> </w:t>
      </w:r>
      <w:r w:rsidRPr="00557E0A" w:rsidR="36F8B36E">
        <w:rPr>
          <w:i/>
          <w:iCs/>
        </w:rPr>
        <w:t>Id</w:t>
      </w:r>
      <w:r w:rsidRPr="36F8B36E" w:rsidR="36F8B36E">
        <w:rPr>
          <w:i/>
          <w:iCs/>
        </w:rPr>
        <w:t>.</w:t>
      </w:r>
      <w:r w:rsidRPr="00557E0A" w:rsidR="36F8B36E">
        <w:rPr>
          <w:i/>
          <w:iCs/>
        </w:rPr>
        <w:t xml:space="preserve"> </w:t>
      </w:r>
      <w:r w:rsidR="36F8B36E">
        <w:t xml:space="preserve">at 2. </w:t>
      </w:r>
    </w:p>
  </w:footnote>
  <w:footnote w:id="39">
    <w:p w:rsidR="001655F9" w:rsidP="001655F9" w14:paraId="41928B35" w14:textId="1BA35B0C">
      <w:pPr>
        <w:pStyle w:val="FootnoteText"/>
      </w:pPr>
      <w:r>
        <w:rPr>
          <w:rStyle w:val="FootnoteReference"/>
        </w:rPr>
        <w:footnoteRef/>
      </w:r>
      <w:r w:rsidR="36F8B36E">
        <w:t xml:space="preserve"> </w:t>
      </w:r>
      <w:r w:rsidRPr="00557E0A" w:rsidR="36F8B36E">
        <w:rPr>
          <w:i/>
          <w:iCs/>
        </w:rPr>
        <w:t>Id</w:t>
      </w:r>
      <w:r w:rsidRPr="36F8B36E" w:rsidR="36F8B36E">
        <w:rPr>
          <w:i/>
          <w:iCs/>
        </w:rPr>
        <w:t>.</w:t>
      </w:r>
      <w:r w:rsidRPr="00557E0A" w:rsidR="36F8B36E">
        <w:rPr>
          <w:i/>
          <w:iCs/>
        </w:rPr>
        <w:t xml:space="preserve"> </w:t>
      </w:r>
      <w:r w:rsidR="36F8B36E">
        <w:t xml:space="preserve">at 3. </w:t>
      </w:r>
    </w:p>
  </w:footnote>
  <w:footnote w:id="40">
    <w:p w:rsidR="001655F9" w:rsidP="001655F9" w14:paraId="2DF34BAB" w14:textId="64E89AF9">
      <w:pPr>
        <w:pStyle w:val="FootnoteText"/>
      </w:pPr>
      <w:r>
        <w:rPr>
          <w:rStyle w:val="FootnoteReference"/>
        </w:rPr>
        <w:footnoteRef/>
      </w:r>
      <w:r w:rsidR="36F8B36E">
        <w:t xml:space="preserve"> </w:t>
      </w:r>
      <w:r w:rsidRPr="00557E0A" w:rsidR="36F8B36E">
        <w:rPr>
          <w:i/>
          <w:iCs/>
        </w:rPr>
        <w:t>Id</w:t>
      </w:r>
      <w:r w:rsidRPr="36F8B36E" w:rsidR="36F8B36E">
        <w:rPr>
          <w:i/>
          <w:iCs/>
        </w:rPr>
        <w:t>.</w:t>
      </w:r>
      <w:r w:rsidR="36F8B36E">
        <w:t xml:space="preserve"> at 3. </w:t>
      </w:r>
    </w:p>
  </w:footnote>
  <w:footnote w:id="41">
    <w:p w:rsidR="001655F9" w:rsidP="001655F9" w14:paraId="69AAB523" w14:textId="4A8E2477">
      <w:pPr>
        <w:pStyle w:val="FootnoteText"/>
      </w:pPr>
      <w:r>
        <w:rPr>
          <w:rStyle w:val="FootnoteReference"/>
        </w:rPr>
        <w:footnoteRef/>
      </w:r>
      <w:r w:rsidR="36F8B36E">
        <w:t xml:space="preserve"> </w:t>
      </w:r>
      <w:r w:rsidRPr="00557E0A" w:rsidR="36F8B36E">
        <w:rPr>
          <w:i/>
          <w:iCs/>
        </w:rPr>
        <w:t>Id</w:t>
      </w:r>
      <w:r w:rsidRPr="36F8B36E" w:rsidR="36F8B36E">
        <w:rPr>
          <w:i/>
          <w:iCs/>
        </w:rPr>
        <w:t>.</w:t>
      </w:r>
      <w:r w:rsidR="36F8B36E">
        <w:t xml:space="preserve"> at 3. </w:t>
      </w:r>
    </w:p>
  </w:footnote>
  <w:footnote w:id="42">
    <w:p w:rsidR="001655F9" w:rsidP="001655F9" w14:paraId="54F3EDA2" w14:textId="56FBF6A0">
      <w:pPr>
        <w:pStyle w:val="FootnoteText"/>
      </w:pPr>
      <w:r>
        <w:rPr>
          <w:rStyle w:val="FootnoteReference"/>
        </w:rPr>
        <w:footnoteRef/>
      </w:r>
      <w:r w:rsidR="36F8B36E">
        <w:t xml:space="preserve"> </w:t>
      </w:r>
      <w:r w:rsidRPr="00557E0A" w:rsidR="36F8B36E">
        <w:rPr>
          <w:i/>
          <w:iCs/>
        </w:rPr>
        <w:t>Id</w:t>
      </w:r>
      <w:r w:rsidRPr="36F8B36E" w:rsidR="36F8B36E">
        <w:rPr>
          <w:i/>
          <w:iCs/>
        </w:rPr>
        <w:t>.</w:t>
      </w:r>
      <w:r w:rsidRPr="00557E0A" w:rsidR="36F8B36E">
        <w:rPr>
          <w:i/>
          <w:iCs/>
        </w:rPr>
        <w:t xml:space="preserve"> </w:t>
      </w:r>
      <w:r w:rsidR="36F8B36E">
        <w:t>at 3.</w:t>
      </w:r>
    </w:p>
  </w:footnote>
  <w:footnote w:id="43">
    <w:p w:rsidR="001655F9" w:rsidP="001655F9" w14:paraId="2CF04B9A" w14:textId="1B314F30">
      <w:pPr>
        <w:pStyle w:val="FootnoteText"/>
      </w:pPr>
      <w:r>
        <w:rPr>
          <w:rStyle w:val="FootnoteReference"/>
        </w:rPr>
        <w:footnoteRef/>
      </w:r>
      <w:r w:rsidR="36F8B36E">
        <w:t xml:space="preserve"> </w:t>
      </w:r>
      <w:r w:rsidRPr="00557E0A" w:rsidR="36F8B36E">
        <w:rPr>
          <w:i/>
          <w:iCs/>
        </w:rPr>
        <w:t>Id</w:t>
      </w:r>
      <w:r w:rsidRPr="36F8B36E" w:rsidR="36F8B36E">
        <w:rPr>
          <w:i/>
          <w:iCs/>
        </w:rPr>
        <w:t>.</w:t>
      </w:r>
      <w:r w:rsidR="36F8B36E">
        <w:t xml:space="preserve"> at 4. </w:t>
      </w:r>
    </w:p>
  </w:footnote>
  <w:footnote w:id="44">
    <w:p w:rsidR="001655F9" w:rsidP="001655F9" w14:paraId="19910E11" w14:textId="4DB7AFF7">
      <w:pPr>
        <w:pStyle w:val="FootnoteText"/>
      </w:pPr>
      <w:r>
        <w:rPr>
          <w:rStyle w:val="FootnoteReference"/>
        </w:rPr>
        <w:footnoteRef/>
      </w:r>
      <w:r w:rsidR="36F8B36E">
        <w:t xml:space="preserve"> </w:t>
      </w:r>
      <w:r w:rsidRPr="00557E0A" w:rsidR="36F8B36E">
        <w:rPr>
          <w:i/>
          <w:iCs/>
        </w:rPr>
        <w:t>Id</w:t>
      </w:r>
      <w:r w:rsidRPr="36F8B36E" w:rsidR="36F8B36E">
        <w:rPr>
          <w:i/>
          <w:iCs/>
        </w:rPr>
        <w:t>.</w:t>
      </w:r>
      <w:r w:rsidR="36F8B36E">
        <w:t xml:space="preserve"> at 4. </w:t>
      </w:r>
    </w:p>
  </w:footnote>
  <w:footnote w:id="45">
    <w:p w:rsidR="001655F9" w:rsidP="001655F9" w14:paraId="6CD561B6" w14:textId="1AE6742B">
      <w:pPr>
        <w:pStyle w:val="FootnoteText"/>
      </w:pPr>
      <w:r>
        <w:rPr>
          <w:rStyle w:val="FootnoteReference"/>
        </w:rPr>
        <w:footnoteRef/>
      </w:r>
      <w:r w:rsidRPr="00557E0A" w:rsidR="36F8B36E">
        <w:rPr>
          <w:i/>
          <w:iCs/>
        </w:rPr>
        <w:t xml:space="preserve"> Id</w:t>
      </w:r>
      <w:r w:rsidRPr="36F8B36E" w:rsidR="36F8B36E">
        <w:rPr>
          <w:i/>
          <w:iCs/>
        </w:rPr>
        <w:t>.</w:t>
      </w:r>
      <w:r w:rsidRPr="00557E0A" w:rsidR="36F8B36E">
        <w:rPr>
          <w:i/>
          <w:iCs/>
        </w:rPr>
        <w:t xml:space="preserve"> </w:t>
      </w:r>
      <w:r w:rsidR="36F8B36E">
        <w:t xml:space="preserve">at 4. </w:t>
      </w:r>
    </w:p>
  </w:footnote>
  <w:footnote w:id="46">
    <w:p w:rsidR="001655F9" w:rsidP="001655F9" w14:paraId="51128485" w14:textId="16035C82">
      <w:pPr>
        <w:pStyle w:val="FootnoteText"/>
      </w:pPr>
      <w:r>
        <w:rPr>
          <w:rStyle w:val="FootnoteReference"/>
        </w:rPr>
        <w:footnoteRef/>
      </w:r>
      <w:r w:rsidR="36F8B36E">
        <w:t xml:space="preserve"> </w:t>
      </w:r>
      <w:r w:rsidRPr="00557E0A" w:rsidR="36F8B36E">
        <w:rPr>
          <w:i/>
          <w:iCs/>
        </w:rPr>
        <w:t>Id</w:t>
      </w:r>
      <w:r w:rsidRPr="36F8B36E" w:rsidR="36F8B36E">
        <w:rPr>
          <w:i/>
          <w:iCs/>
        </w:rPr>
        <w:t>.</w:t>
      </w:r>
      <w:r w:rsidR="36F8B36E">
        <w:t xml:space="preserve"> at 4. </w:t>
      </w:r>
    </w:p>
  </w:footnote>
  <w:footnote w:id="47">
    <w:p w:rsidR="001655F9" w:rsidP="001655F9" w14:paraId="4E72B077" w14:textId="1A009443">
      <w:pPr>
        <w:pStyle w:val="FootnoteText"/>
      </w:pPr>
      <w:r>
        <w:rPr>
          <w:rStyle w:val="FootnoteReference"/>
        </w:rPr>
        <w:footnoteRef/>
      </w:r>
      <w:r w:rsidR="36F8B36E">
        <w:t xml:space="preserve"> </w:t>
      </w:r>
      <w:r w:rsidRPr="00557E0A" w:rsidR="36F8B36E">
        <w:rPr>
          <w:i/>
          <w:iCs/>
        </w:rPr>
        <w:t>Id.</w:t>
      </w:r>
      <w:r w:rsidR="36F8B36E">
        <w:t xml:space="preserve"> at 4. </w:t>
      </w:r>
    </w:p>
  </w:footnote>
  <w:footnote w:id="48">
    <w:p w:rsidR="001655F9" w:rsidP="001655F9" w14:paraId="20E8B061" w14:textId="23448830">
      <w:pPr>
        <w:pStyle w:val="FootnoteText"/>
      </w:pPr>
      <w:r>
        <w:rPr>
          <w:rStyle w:val="FootnoteReference"/>
        </w:rPr>
        <w:footnoteRef/>
      </w:r>
      <w:r w:rsidR="36F8B36E">
        <w:t xml:space="preserve"> </w:t>
      </w:r>
      <w:r w:rsidRPr="00557E0A" w:rsidR="36F8B36E">
        <w:rPr>
          <w:i/>
          <w:iCs/>
        </w:rPr>
        <w:t xml:space="preserve">Id. </w:t>
      </w:r>
      <w:r w:rsidR="36F8B36E">
        <w:t xml:space="preserve">at 5. </w:t>
      </w:r>
    </w:p>
  </w:footnote>
  <w:footnote w:id="49">
    <w:p w:rsidR="001655F9" w:rsidP="001655F9" w14:paraId="19C34957" w14:textId="77777777">
      <w:pPr>
        <w:pStyle w:val="FootnoteText"/>
      </w:pPr>
      <w:r>
        <w:rPr>
          <w:rStyle w:val="FootnoteReference"/>
        </w:rPr>
        <w:footnoteRef/>
      </w:r>
      <w:r>
        <w:t xml:space="preserve"> 47 CFR § 54.320(d). </w:t>
      </w:r>
    </w:p>
  </w:footnote>
  <w:footnote w:id="50">
    <w:p w:rsidR="001655F9" w:rsidP="001655F9" w14:paraId="73E148BF" w14:textId="77777777">
      <w:pPr>
        <w:pStyle w:val="FootnoteText"/>
      </w:pPr>
      <w:r>
        <w:rPr>
          <w:rStyle w:val="FootnoteReference"/>
        </w:rPr>
        <w:footnoteRef/>
      </w:r>
      <w:r>
        <w:t xml:space="preserve"> TDS Petition at 6. </w:t>
      </w:r>
    </w:p>
  </w:footnote>
  <w:footnote w:id="51">
    <w:p w:rsidR="001655F9" w:rsidP="001655F9" w14:paraId="24B0C5CB" w14:textId="27C5EFAE">
      <w:pPr>
        <w:pStyle w:val="FootnoteText"/>
      </w:pPr>
      <w:r>
        <w:rPr>
          <w:rStyle w:val="FootnoteReference"/>
        </w:rPr>
        <w:footnoteRef/>
      </w:r>
      <w:r w:rsidR="36F8B36E">
        <w:t xml:space="preserve"> </w:t>
      </w:r>
      <w:r w:rsidRPr="00557E0A" w:rsidR="36F8B36E">
        <w:rPr>
          <w:i/>
          <w:iCs/>
        </w:rPr>
        <w:t>Id</w:t>
      </w:r>
      <w:r w:rsidR="36F8B36E">
        <w:t xml:space="preserve">. at 7.  </w:t>
      </w:r>
    </w:p>
  </w:footnote>
  <w:footnote w:id="52">
    <w:p w:rsidR="001655F9" w:rsidP="001655F9" w14:paraId="2CA0C0B5" w14:textId="6984E3B0">
      <w:pPr>
        <w:pStyle w:val="FootnoteText"/>
      </w:pPr>
      <w:r>
        <w:rPr>
          <w:rStyle w:val="FootnoteReference"/>
        </w:rPr>
        <w:footnoteRef/>
      </w:r>
      <w:r w:rsidR="36F8B36E">
        <w:t xml:space="preserve"> </w:t>
      </w:r>
      <w:r w:rsidRPr="00557E0A" w:rsidR="36F8B36E">
        <w:rPr>
          <w:i/>
          <w:iCs/>
        </w:rPr>
        <w:t>Id.</w:t>
      </w:r>
      <w:r w:rsidR="36F8B36E">
        <w:t xml:space="preserve"> at 7. </w:t>
      </w:r>
    </w:p>
  </w:footnote>
  <w:footnote w:id="53">
    <w:p w:rsidR="001655F9" w:rsidP="001655F9" w14:paraId="2E0DAFEE" w14:textId="1960F888">
      <w:pPr>
        <w:pStyle w:val="FootnoteText"/>
      </w:pPr>
      <w:r>
        <w:rPr>
          <w:rStyle w:val="FootnoteReference"/>
        </w:rPr>
        <w:footnoteRef/>
      </w:r>
      <w:r w:rsidR="36F8B36E">
        <w:t xml:space="preserve"> </w:t>
      </w:r>
      <w:r w:rsidRPr="36F8B36E" w:rsidR="36F8B36E">
        <w:rPr>
          <w:i/>
          <w:iCs/>
        </w:rPr>
        <w:t>Id</w:t>
      </w:r>
      <w:r w:rsidR="36F8B36E">
        <w:t xml:space="preserve">. at 8. </w:t>
      </w:r>
    </w:p>
  </w:footnote>
  <w:footnote w:id="54">
    <w:p w:rsidR="001655F9" w:rsidP="001655F9" w14:paraId="5E22FE92" w14:textId="77777777">
      <w:pPr>
        <w:pStyle w:val="FootnoteText"/>
      </w:pPr>
      <w:r>
        <w:rPr>
          <w:rStyle w:val="FootnoteReference"/>
        </w:rPr>
        <w:footnoteRef/>
      </w:r>
      <w:r>
        <w:t xml:space="preserve"> TDS Petition at 9. </w:t>
      </w:r>
    </w:p>
  </w:footnote>
  <w:footnote w:id="55">
    <w:p w:rsidR="00564DE6" w:rsidRPr="001D5905" w:rsidP="00564DE6" w14:paraId="26991B6A" w14:textId="77777777">
      <w:pPr>
        <w:pStyle w:val="FootnoteText"/>
        <w:rPr>
          <w:b/>
          <w:bCs/>
        </w:rPr>
      </w:pPr>
      <w:r>
        <w:rPr>
          <w:rStyle w:val="FootnoteReference"/>
        </w:rPr>
        <w:footnoteRef/>
      </w:r>
      <w:r>
        <w:t xml:space="preserve"> </w:t>
      </w:r>
      <w:r w:rsidRPr="007F4A5D">
        <w:t>47 CFR § 1.3</w:t>
      </w:r>
      <w:r>
        <w:t>.</w:t>
      </w:r>
    </w:p>
  </w:footnote>
  <w:footnote w:id="56">
    <w:p w:rsidR="00564DE6" w:rsidP="00564DE6" w14:paraId="5ABD7445" w14:textId="3CAE5F85">
      <w:pPr>
        <w:pStyle w:val="FootnoteText"/>
      </w:pPr>
      <w:r>
        <w:rPr>
          <w:rStyle w:val="FootnoteReference"/>
        </w:rPr>
        <w:footnoteRef/>
      </w:r>
      <w:r w:rsidRPr="006D05EB">
        <w:t xml:space="preserve"> </w:t>
      </w:r>
      <w:r w:rsidRPr="001D5905">
        <w:rPr>
          <w:i/>
        </w:rPr>
        <w:t xml:space="preserve">See Standing Rock Telecommunications, Inc., Amended Request for Limited Waiver and Extension of Mobility Fund Phase I </w:t>
      </w:r>
      <w:r w:rsidRPr="00371AE2">
        <w:rPr>
          <w:i/>
        </w:rPr>
        <w:t>Public Interest Obligations</w:t>
      </w:r>
      <w:r w:rsidRPr="00371AE2">
        <w:t xml:space="preserve">, </w:t>
      </w:r>
      <w:r w:rsidRPr="00CE57F0">
        <w:t xml:space="preserve">WT Docket No. 10-208, Order, 34 FCC </w:t>
      </w:r>
      <w:r w:rsidRPr="00CE57F0">
        <w:t>Rcd</w:t>
      </w:r>
      <w:r w:rsidRPr="00CE57F0">
        <w:t xml:space="preserve"> 9598, 9603-04, para. 1</w:t>
      </w:r>
      <w:r>
        <w:t xml:space="preserve">1 (WCB/WTB/OEA 2019) </w:t>
      </w:r>
      <w:r w:rsidRPr="00CE57F0">
        <w:t>(</w:t>
      </w:r>
      <w:r w:rsidRPr="001D5905">
        <w:rPr>
          <w:i/>
        </w:rPr>
        <w:t>Standing Rock Order</w:t>
      </w:r>
      <w:r w:rsidRPr="001D5905">
        <w:t xml:space="preserve">); </w:t>
      </w:r>
      <w:r w:rsidRPr="001D5905">
        <w:rPr>
          <w:i/>
        </w:rPr>
        <w:t>Leaco</w:t>
      </w:r>
      <w:r w:rsidRPr="001D5905">
        <w:rPr>
          <w:i/>
        </w:rPr>
        <w:t xml:space="preserve"> Rural Telephone Cooperative, Inc. and Pine Be</w:t>
      </w:r>
      <w:r>
        <w:rPr>
          <w:i/>
        </w:rPr>
        <w:t>l</w:t>
      </w:r>
      <w:r w:rsidRPr="001D5905">
        <w:rPr>
          <w:i/>
        </w:rPr>
        <w:t>t Cellular, Inc.</w:t>
      </w:r>
      <w:r w:rsidRPr="001D5905">
        <w:t xml:space="preserve">, WT Docket No. 10-208, Order, 31 FCC </w:t>
      </w:r>
      <w:r w:rsidRPr="001D5905">
        <w:t>Rcd</w:t>
      </w:r>
      <w:r w:rsidRPr="001D5905">
        <w:t xml:space="preserve"> 9001, 9006-07, para. </w:t>
      </w:r>
      <w:r>
        <w:t>15 (WTB 2016)</w:t>
      </w:r>
      <w:r w:rsidRPr="001D5905">
        <w:t xml:space="preserve"> </w:t>
      </w:r>
      <w:r w:rsidRPr="001D5905">
        <w:t>(</w:t>
      </w:r>
      <w:r w:rsidRPr="001D5905">
        <w:rPr>
          <w:i/>
        </w:rPr>
        <w:t>Leaco</w:t>
      </w:r>
      <w:r w:rsidRPr="001D5905">
        <w:rPr>
          <w:i/>
        </w:rPr>
        <w:t>/Pine Belt Order</w:t>
      </w:r>
      <w:r w:rsidRPr="001D5905">
        <w:t xml:space="preserve">); </w:t>
      </w:r>
      <w:r w:rsidRPr="001D5905">
        <w:rPr>
          <w:i/>
        </w:rPr>
        <w:t>Ne. Cellular Tel. Co. v. FCC</w:t>
      </w:r>
      <w:r w:rsidRPr="001D5905">
        <w:t xml:space="preserve">, 897 F.2d 1164, 1166 (D.C. Cir. 1990) (citing </w:t>
      </w:r>
      <w:r w:rsidRPr="001D5905">
        <w:rPr>
          <w:i/>
        </w:rPr>
        <w:t>WAIT Radio v. FCC</w:t>
      </w:r>
      <w:r w:rsidRPr="001D5905">
        <w:t xml:space="preserve">, 418 F.2d 1153, 1157-59 (D.C. Cir. 1969), </w:t>
      </w:r>
      <w:r w:rsidRPr="001D5905">
        <w:rPr>
          <w:i/>
        </w:rPr>
        <w:t>cert. denied</w:t>
      </w:r>
      <w:r w:rsidRPr="001D5905">
        <w:t xml:space="preserve">, 93 </w:t>
      </w:r>
      <w:r w:rsidRPr="001D5905">
        <w:t>S.Ct</w:t>
      </w:r>
      <w:r w:rsidRPr="001D5905">
        <w:t xml:space="preserve">. 461 (1972)); </w:t>
      </w:r>
      <w:r w:rsidRPr="001D5905">
        <w:rPr>
          <w:i/>
        </w:rPr>
        <w:t>see also</w:t>
      </w:r>
      <w:r w:rsidRPr="001D5905">
        <w:t xml:space="preserve"> </w:t>
      </w:r>
      <w:r w:rsidRPr="001D5905">
        <w:rPr>
          <w:i/>
        </w:rPr>
        <w:t>NetworkIP</w:t>
      </w:r>
      <w:r w:rsidRPr="001D5905">
        <w:rPr>
          <w:i/>
        </w:rPr>
        <w:t>, LLC v. FCC</w:t>
      </w:r>
      <w:r w:rsidRPr="001D5905">
        <w:t>, 548 F.3d 116, 125-128 (D.C. Cir. 2008).</w:t>
      </w:r>
    </w:p>
  </w:footnote>
  <w:footnote w:id="57">
    <w:p w:rsidR="00562FA1" w:rsidRPr="00F77FAE" w14:paraId="417BC7C8" w14:textId="5FEDB0E1">
      <w:pPr>
        <w:pStyle w:val="FootnoteText"/>
        <w:rPr>
          <w:i/>
          <w:iCs/>
        </w:rPr>
      </w:pPr>
      <w:r>
        <w:rPr>
          <w:rStyle w:val="FootnoteReference"/>
        </w:rPr>
        <w:footnoteRef/>
      </w:r>
      <w:r>
        <w:t xml:space="preserve"> </w:t>
      </w:r>
      <w:r>
        <w:rPr>
          <w:i/>
          <w:iCs/>
        </w:rPr>
        <w:t>WAIT Radio v. FCC</w:t>
      </w:r>
      <w:r w:rsidR="00F77FAE">
        <w:t>, 418 F.2d 1153, 1159 (D.C. Cir. 1969</w:t>
      </w:r>
      <w:r w:rsidR="00060F3A">
        <w:t xml:space="preserve">). </w:t>
      </w:r>
    </w:p>
  </w:footnote>
  <w:footnote w:id="58">
    <w:p w:rsidR="00F94087" w:rsidP="00F94087" w14:paraId="64A9EE16" w14:textId="77777777">
      <w:pPr>
        <w:pStyle w:val="FootnoteText"/>
      </w:pPr>
      <w:r>
        <w:rPr>
          <w:rStyle w:val="FootnoteReference"/>
        </w:rPr>
        <w:footnoteRef/>
      </w:r>
      <w:r>
        <w:t xml:space="preserve"> </w:t>
      </w:r>
      <w:bookmarkStart w:id="1" w:name="_Hlk56434395"/>
      <w:r w:rsidRPr="00051E41">
        <w:rPr>
          <w:i/>
        </w:rPr>
        <w:t>See</w:t>
      </w:r>
      <w:r>
        <w:t xml:space="preserve"> </w:t>
      </w:r>
      <w:r w:rsidRPr="00AB251E">
        <w:rPr>
          <w:i/>
        </w:rPr>
        <w:t>Skybridge Spectrum Foundation</w:t>
      </w:r>
      <w:r>
        <w:t xml:space="preserve">, Order, 33 FCC </w:t>
      </w:r>
      <w:r>
        <w:t>Rcd</w:t>
      </w:r>
      <w:r>
        <w:t xml:space="preserve"> 8138, 8145, para. 17 (WTB-MD 2018); </w:t>
      </w:r>
      <w:r w:rsidRPr="00051E41">
        <w:rPr>
          <w:i/>
        </w:rPr>
        <w:t>Wireless Telecommunications Bureau Reminds Wireless Licensees of Construction Obligations</w:t>
      </w:r>
      <w:r w:rsidRPr="00BD6244">
        <w:t xml:space="preserve">, Public Notice, 32 FCC </w:t>
      </w:r>
      <w:r w:rsidRPr="00BD6244">
        <w:t>Rcd</w:t>
      </w:r>
      <w:r w:rsidRPr="00BD6244">
        <w:t xml:space="preserve"> 4802</w:t>
      </w:r>
      <w:r>
        <w:t>, 4802-05</w:t>
      </w:r>
      <w:r w:rsidRPr="00BD6244">
        <w:t xml:space="preserve"> (WTB 2017</w:t>
      </w:r>
      <w:r>
        <w:t>).</w:t>
      </w:r>
      <w:bookmarkEnd w:id="1"/>
    </w:p>
  </w:footnote>
  <w:footnote w:id="59">
    <w:p w:rsidR="00EF08A6" w:rsidRPr="00E84CB4" w:rsidP="00EF08A6" w14:paraId="296D2A66" w14:textId="1E401F2A">
      <w:pPr>
        <w:pStyle w:val="FootnoteText"/>
      </w:pPr>
      <w:r w:rsidRPr="00E84CB4">
        <w:rPr>
          <w:rStyle w:val="FootnoteReference"/>
        </w:rPr>
        <w:footnoteRef/>
      </w:r>
      <w:r w:rsidRPr="00E84CB4">
        <w:t xml:space="preserve"> </w:t>
      </w:r>
      <w:r w:rsidRPr="00E84CB4">
        <w:rPr>
          <w:i/>
        </w:rPr>
        <w:t>See</w:t>
      </w:r>
      <w:r w:rsidRPr="00E84CB4">
        <w:t xml:space="preserve">, </w:t>
      </w:r>
      <w:r w:rsidRPr="00E84CB4">
        <w:rPr>
          <w:i/>
        </w:rPr>
        <w:t>e.g.</w:t>
      </w:r>
      <w:r w:rsidRPr="00EF7E8B">
        <w:rPr>
          <w:iCs/>
        </w:rPr>
        <w:t>,</w:t>
      </w:r>
      <w:r w:rsidRPr="00E84CB4">
        <w:rPr>
          <w:i/>
        </w:rPr>
        <w:t xml:space="preserve"> 1998 Biennial Regulatory Review</w:t>
      </w:r>
      <w:r>
        <w:rPr>
          <w:i/>
        </w:rPr>
        <w:t>--</w:t>
      </w:r>
      <w:r w:rsidRPr="00E84CB4">
        <w:rPr>
          <w:i/>
        </w:rPr>
        <w:t>Streamlining of Mass Media Applications, Rules, And Processes et al.</w:t>
      </w:r>
      <w:r w:rsidRPr="00E84CB4">
        <w:t xml:space="preserve">, Memorandum Opinion and Order, 14 FCC </w:t>
      </w:r>
      <w:r w:rsidRPr="00E84CB4">
        <w:t>Rcd</w:t>
      </w:r>
      <w:r w:rsidRPr="00E84CB4">
        <w:t xml:space="preserve"> 17525, </w:t>
      </w:r>
      <w:r>
        <w:t>17539, para. 35</w:t>
      </w:r>
      <w:r w:rsidRPr="00E84CB4">
        <w:t xml:space="preserve"> (1999) (finding that the effects of delays due to inclement weather on construction timelines are adequately overcome by a three-year construction term making additional time unwarranted); </w:t>
      </w:r>
      <w:r w:rsidRPr="00E84CB4">
        <w:rPr>
          <w:i/>
        </w:rPr>
        <w:t>Redwood Wireless Minnesota, LLC</w:t>
      </w:r>
      <w:r w:rsidRPr="00E84CB4">
        <w:t xml:space="preserve">, </w:t>
      </w:r>
      <w:r>
        <w:rPr>
          <w:i/>
        </w:rPr>
        <w:t>and Redwood Wireless Wisconsin LLC Request for a Waiver and Extension of the Broadband PCS Construction Requirements</w:t>
      </w:r>
      <w:r w:rsidRPr="00E84CB4">
        <w:t xml:space="preserve">, Order, 17 FCC </w:t>
      </w:r>
      <w:r w:rsidRPr="00E84CB4">
        <w:t>Rcd</w:t>
      </w:r>
      <w:r w:rsidRPr="00E84CB4">
        <w:t xml:space="preserve"> 22416, 22419-20 (WTB 2002) (construction delays resulting from business disputes were exercise of business judgment and were not outside Petitioner’s control); </w:t>
      </w:r>
      <w:r w:rsidRPr="00E84CB4">
        <w:rPr>
          <w:i/>
        </w:rPr>
        <w:t>Eldorado Communications LLC</w:t>
      </w:r>
      <w:r w:rsidRPr="00D866B3">
        <w:rPr>
          <w:i/>
        </w:rPr>
        <w:t xml:space="preserve"> </w:t>
      </w:r>
      <w:r>
        <w:rPr>
          <w:i/>
        </w:rPr>
        <w:t>Request for a Waiver and Extension of the Broadband PCS Construction Requirements</w:t>
      </w:r>
      <w:r w:rsidRPr="00E84CB4">
        <w:t xml:space="preserve">, Order, 17 FCC </w:t>
      </w:r>
      <w:r w:rsidRPr="00E84CB4">
        <w:t>Rcd</w:t>
      </w:r>
      <w:r w:rsidRPr="00E84CB4">
        <w:t xml:space="preserve"> 24613, 24616</w:t>
      </w:r>
      <w:r>
        <w:t xml:space="preserve"> , para. 7</w:t>
      </w:r>
      <w:r w:rsidRPr="00E84CB4">
        <w:t xml:space="preserve"> (WTB 2002) (licensee’s determination to initially deploy TDMA system and subsequently to adopt GSM with months remaining before construction deadline was business decision within its control); </w:t>
      </w:r>
      <w:r w:rsidRPr="00E84CB4">
        <w:rPr>
          <w:i/>
        </w:rPr>
        <w:t>Bristol MAS Partners</w:t>
      </w:r>
      <w:r w:rsidRPr="00D866B3">
        <w:rPr>
          <w:i/>
        </w:rPr>
        <w:t xml:space="preserve"> </w:t>
      </w:r>
      <w:r>
        <w:rPr>
          <w:i/>
        </w:rPr>
        <w:t>Request for Extension of Time in Which to Construct and Place into Operation Multiple Address System Stations WPJF864 Through WPJF87</w:t>
      </w:r>
      <w:r w:rsidRPr="00E84CB4">
        <w:rPr>
          <w:i/>
        </w:rPr>
        <w:t xml:space="preserve">, </w:t>
      </w:r>
      <w:r w:rsidRPr="00E84CB4">
        <w:t xml:space="preserve">Order, 14 FCC </w:t>
      </w:r>
      <w:r w:rsidRPr="00E84CB4">
        <w:t>Rcd</w:t>
      </w:r>
      <w:r w:rsidRPr="00E84CB4">
        <w:t xml:space="preserve"> 5007, 501</w:t>
      </w:r>
      <w:r>
        <w:t>0, para. 8</w:t>
      </w:r>
      <w:r w:rsidRPr="00E84CB4">
        <w:t xml:space="preserve"> (WTB 1999) (equipment installation or delivery not delayed for some unique reason</w:t>
      </w:r>
      <w:r>
        <w:t>,</w:t>
      </w:r>
      <w:r w:rsidRPr="00E84CB4">
        <w:t xml:space="preserve"> and licensee</w:t>
      </w:r>
      <w:r>
        <w:t>’s</w:t>
      </w:r>
      <w:r w:rsidRPr="00E84CB4">
        <w:t xml:space="preserve"> failing to obtain equipment was business decision); </w:t>
      </w:r>
      <w:r w:rsidRPr="00091E1A">
        <w:rPr>
          <w:i/>
        </w:rPr>
        <w:t xml:space="preserve">Application for Review of Specialized Mobile Radio Station WAY-671, Licensed to </w:t>
      </w:r>
      <w:r w:rsidRPr="00E84CB4">
        <w:rPr>
          <w:i/>
        </w:rPr>
        <w:t>AAT Electronics Corporation</w:t>
      </w:r>
      <w:r w:rsidRPr="00E84CB4">
        <w:t xml:space="preserve">, </w:t>
      </w:r>
      <w:r w:rsidRPr="00091E1A">
        <w:rPr>
          <w:i/>
        </w:rPr>
        <w:t>Staten Island, New York</w:t>
      </w:r>
      <w:r>
        <w:t>,</w:t>
      </w:r>
      <w:r w:rsidRPr="00E84CB4">
        <w:t xml:space="preserve"> </w:t>
      </w:r>
      <w:r>
        <w:t xml:space="preserve">Memorandum Opinion and </w:t>
      </w:r>
      <w:r w:rsidRPr="00E84CB4">
        <w:t>Order, 93 FCC 2d 1034, 1047</w:t>
      </w:r>
      <w:r>
        <w:t>, para. 46</w:t>
      </w:r>
      <w:r w:rsidRPr="00E84CB4">
        <w:t xml:space="preserve"> (1983) (decision not to market service aggressively because of equipment uncertainties is within licensee</w:t>
      </w:r>
      <w:r w:rsidR="00EF7E8B">
        <w:t>’</w:t>
      </w:r>
      <w:r w:rsidRPr="00E84CB4">
        <w:t xml:space="preserve">s control); </w:t>
      </w:r>
      <w:r>
        <w:rPr>
          <w:i/>
        </w:rPr>
        <w:t xml:space="preserve">Application for Review of </w:t>
      </w:r>
      <w:r w:rsidRPr="00E84CB4">
        <w:rPr>
          <w:i/>
        </w:rPr>
        <w:t>Business Radio Communications Systems, Inc</w:t>
      </w:r>
      <w:r w:rsidRPr="00E84CB4">
        <w:t xml:space="preserve">., </w:t>
      </w:r>
      <w:r>
        <w:rPr>
          <w:i/>
        </w:rPr>
        <w:t>Licensee of 800 MHz SMR System WZF-975, Laurel, Maryland</w:t>
      </w:r>
      <w:r w:rsidRPr="00E84CB4">
        <w:t xml:space="preserve">, </w:t>
      </w:r>
      <w:r>
        <w:t xml:space="preserve">Memorandum Opinion and </w:t>
      </w:r>
      <w:r w:rsidRPr="00E84CB4">
        <w:t>Order, 102 FCC 2d 714, 716-17</w:t>
      </w:r>
      <w:r>
        <w:t>, paras. 6-7</w:t>
      </w:r>
      <w:r w:rsidRPr="00E84CB4">
        <w:t xml:space="preserve"> (1985) (construction delay caused by zoning challenge not a circumstance beyond licensee</w:t>
      </w:r>
      <w:r w:rsidR="00EF7E8B">
        <w:t>’</w:t>
      </w:r>
      <w:r w:rsidRPr="00E84CB4">
        <w:t xml:space="preserve">s control); </w:t>
      </w:r>
      <w:r>
        <w:rPr>
          <w:i/>
        </w:rPr>
        <w:t xml:space="preserve">Application for Review of Specialized Mobile Radio Station WQA-505, Licensed to </w:t>
      </w:r>
      <w:r w:rsidRPr="00E84CB4">
        <w:rPr>
          <w:i/>
        </w:rPr>
        <w:t>Texas Two-Way, Inc.,</w:t>
      </w:r>
      <w:r>
        <w:rPr>
          <w:i/>
        </w:rPr>
        <w:t xml:space="preserve"> Fort Worth, Texas</w:t>
      </w:r>
      <w:r w:rsidRPr="006772DB">
        <w:rPr>
          <w:iCs/>
        </w:rPr>
        <w:t>,</w:t>
      </w:r>
      <w:r w:rsidRPr="00E84CB4">
        <w:rPr>
          <w:i/>
        </w:rPr>
        <w:t xml:space="preserve"> </w:t>
      </w:r>
      <w:r>
        <w:t>Memorandum Opinion and</w:t>
      </w:r>
      <w:r w:rsidRPr="00E84CB4">
        <w:rPr>
          <w:i/>
        </w:rPr>
        <w:t xml:space="preserve"> </w:t>
      </w:r>
      <w:r w:rsidRPr="00E84CB4">
        <w:t>Order, 98 FCC 2d 1300, 1303</w:t>
      </w:r>
      <w:r>
        <w:t>, para. 8</w:t>
      </w:r>
      <w:r w:rsidRPr="00E84CB4">
        <w:t xml:space="preserve"> (1984), </w:t>
      </w:r>
      <w:r w:rsidRPr="00E84CB4">
        <w:rPr>
          <w:i/>
        </w:rPr>
        <w:t>aff'd sub nom</w:t>
      </w:r>
      <w:r w:rsidRPr="00E84CB4">
        <w:t xml:space="preserve">., </w:t>
      </w:r>
      <w:r w:rsidRPr="00E84CB4">
        <w:rPr>
          <w:i/>
        </w:rPr>
        <w:t>Texas Two-Way, Inc. v. FCC</w:t>
      </w:r>
      <w:r w:rsidRPr="00E84CB4">
        <w:t>, 762 F.2d 138</w:t>
      </w:r>
      <w:r>
        <w:t xml:space="preserve"> </w:t>
      </w:r>
      <w:r w:rsidRPr="00E84CB4">
        <w:t>(D.C. Cir. 1985) (</w:t>
      </w:r>
      <w:r w:rsidRPr="00A21993">
        <w:t>licensee is responsible for the delay resulting from interference caused by construction adjacent to construction site because site selection was an independent business decision</w:t>
      </w:r>
      <w:r w:rsidRPr="00E84CB4">
        <w:t>).</w:t>
      </w:r>
    </w:p>
  </w:footnote>
  <w:footnote w:id="60">
    <w:p w:rsidR="00AA38F3" w:rsidP="00AA38F3" w14:paraId="66F797BA" w14:textId="77777777">
      <w:pPr>
        <w:pStyle w:val="FootnoteText"/>
      </w:pPr>
      <w:r>
        <w:rPr>
          <w:rStyle w:val="FootnoteReference"/>
        </w:rPr>
        <w:footnoteRef/>
      </w:r>
      <w:r>
        <w:t xml:space="preserve"> </w:t>
      </w:r>
      <w:r>
        <w:rPr>
          <w:i/>
        </w:rPr>
        <w:t xml:space="preserve">See </w:t>
      </w:r>
      <w:r w:rsidRPr="00D3577D">
        <w:rPr>
          <w:i/>
        </w:rPr>
        <w:t>Standing Rock Order</w:t>
      </w:r>
      <w:r>
        <w:rPr>
          <w:iCs/>
        </w:rPr>
        <w:t xml:space="preserve">, 34 FCC </w:t>
      </w:r>
      <w:r>
        <w:rPr>
          <w:iCs/>
        </w:rPr>
        <w:t>Rcd</w:t>
      </w:r>
      <w:r>
        <w:rPr>
          <w:iCs/>
        </w:rPr>
        <w:t xml:space="preserve"> at 9604-05, </w:t>
      </w:r>
      <w:r>
        <w:t xml:space="preserve">paras. 14-15; </w:t>
      </w:r>
      <w:r w:rsidRPr="00D3577D">
        <w:rPr>
          <w:i/>
        </w:rPr>
        <w:t>Leaco</w:t>
      </w:r>
      <w:r w:rsidRPr="00D3577D">
        <w:rPr>
          <w:i/>
        </w:rPr>
        <w:t>/Pine Belt Order</w:t>
      </w:r>
      <w:r>
        <w:rPr>
          <w:iCs/>
        </w:rPr>
        <w:t xml:space="preserve">, 31 FCC </w:t>
      </w:r>
      <w:r>
        <w:rPr>
          <w:iCs/>
        </w:rPr>
        <w:t>Rcd</w:t>
      </w:r>
      <w:r>
        <w:rPr>
          <w:iCs/>
        </w:rPr>
        <w:t xml:space="preserve"> at</w:t>
      </w:r>
      <w:r>
        <w:t xml:space="preserve"> 9006-07, paras. 17-18.</w:t>
      </w:r>
    </w:p>
  </w:footnote>
  <w:footnote w:id="61">
    <w:p w:rsidR="00E2468E" w:rsidRPr="00C306A2" w14:paraId="4223F4A8" w14:textId="318DE374">
      <w:pPr>
        <w:pStyle w:val="FootnoteText"/>
      </w:pPr>
      <w:r>
        <w:rPr>
          <w:rStyle w:val="FootnoteReference"/>
        </w:rPr>
        <w:footnoteRef/>
      </w:r>
      <w:r>
        <w:t xml:space="preserve"> </w:t>
      </w:r>
      <w:r w:rsidR="004C4701">
        <w:rPr>
          <w:i/>
          <w:iCs/>
        </w:rPr>
        <w:t>Connect America Fund</w:t>
      </w:r>
      <w:r w:rsidR="004C4701">
        <w:t>, WC Docket No. 10-90, Order</w:t>
      </w:r>
      <w:r w:rsidR="00C306A2">
        <w:t xml:space="preserve">, 35 FCC </w:t>
      </w:r>
      <w:r w:rsidR="00C306A2">
        <w:t>Rcd</w:t>
      </w:r>
      <w:r w:rsidR="00C306A2">
        <w:t xml:space="preserve"> </w:t>
      </w:r>
      <w:r w:rsidR="00C57D03">
        <w:t>496,</w:t>
      </w:r>
      <w:r w:rsidR="00C306A2">
        <w:t xml:space="preserve"> 497, para. 4</w:t>
      </w:r>
      <w:r w:rsidR="00C57D03">
        <w:t xml:space="preserve"> (WCB 2020)</w:t>
      </w:r>
      <w:r w:rsidR="00C306A2">
        <w:t xml:space="preserve">. </w:t>
      </w:r>
    </w:p>
  </w:footnote>
  <w:footnote w:id="62">
    <w:p w:rsidR="000D34B6" w:rsidRPr="00B20E4D" w14:paraId="246EFEF9" w14:textId="565B801C">
      <w:pPr>
        <w:pStyle w:val="FootnoteText"/>
        <w:rPr>
          <w:i/>
          <w:iCs/>
        </w:rPr>
      </w:pPr>
      <w:r>
        <w:rPr>
          <w:rStyle w:val="FootnoteReference"/>
        </w:rPr>
        <w:footnoteRef/>
      </w:r>
      <w:r>
        <w:t xml:space="preserve"> </w:t>
      </w:r>
      <w:r w:rsidR="00B07423">
        <w:rPr>
          <w:i/>
          <w:iCs/>
        </w:rPr>
        <w:t>Connect America Fund, et al.</w:t>
      </w:r>
      <w:r w:rsidR="00B07423">
        <w:t xml:space="preserve">, WC docket Nos. 10-90, et al. </w:t>
      </w:r>
      <w:r w:rsidR="00505873">
        <w:t xml:space="preserve">Report and Order, </w:t>
      </w:r>
      <w:r w:rsidR="002B122C">
        <w:t xml:space="preserve">29 FCC </w:t>
      </w:r>
      <w:r w:rsidR="002B122C">
        <w:t>Rcd</w:t>
      </w:r>
      <w:r w:rsidR="002B122C">
        <w:t xml:space="preserve"> 1</w:t>
      </w:r>
      <w:r w:rsidR="00794FC7">
        <w:t xml:space="preserve">5644, </w:t>
      </w:r>
      <w:r w:rsidRPr="001842AC" w:rsidR="00DD6121">
        <w:t xml:space="preserve">para. </w:t>
      </w:r>
      <w:r w:rsidRPr="001842AC" w:rsidR="00AA32AF">
        <w:t>132</w:t>
      </w:r>
      <w:r w:rsidR="00EC4C84">
        <w:t xml:space="preserve"> (2014) (</w:t>
      </w:r>
      <w:r w:rsidR="00EC4C84">
        <w:rPr>
          <w:i/>
          <w:iCs/>
        </w:rPr>
        <w:t>USTelecom</w:t>
      </w:r>
      <w:r w:rsidR="00EC4C84">
        <w:rPr>
          <w:i/>
          <w:iCs/>
        </w:rPr>
        <w:t xml:space="preserve"> </w:t>
      </w:r>
      <w:r w:rsidR="001B17C5">
        <w:rPr>
          <w:i/>
          <w:iCs/>
        </w:rPr>
        <w:t>Forbearance Order</w:t>
      </w:r>
      <w:r w:rsidR="001B17C5">
        <w:t>)</w:t>
      </w:r>
      <w:r w:rsidR="00AA32AF">
        <w:rPr>
          <w:i/>
          <w:iCs/>
        </w:rPr>
        <w:t xml:space="preserve">. </w:t>
      </w:r>
    </w:p>
  </w:footnote>
  <w:footnote w:id="63">
    <w:p w:rsidR="0057199F" w14:paraId="4D7E5C3C" w14:textId="382B3161">
      <w:pPr>
        <w:pStyle w:val="FootnoteText"/>
      </w:pPr>
      <w:r>
        <w:rPr>
          <w:rStyle w:val="FootnoteReference"/>
        </w:rPr>
        <w:footnoteRef/>
      </w:r>
      <w:r w:rsidR="36F8B36E">
        <w:t xml:space="preserve"> </w:t>
      </w:r>
      <w:r w:rsidRPr="36F8B36E" w:rsidR="36F8B36E">
        <w:rPr>
          <w:i/>
          <w:iCs/>
        </w:rPr>
        <w:t>Id.</w:t>
      </w:r>
      <w:r w:rsidR="36F8B36E">
        <w:t xml:space="preserve"> </w:t>
      </w:r>
    </w:p>
  </w:footnote>
  <w:footnote w:id="64">
    <w:p w:rsidR="00747493" w14:paraId="18947860" w14:textId="4F9859DA">
      <w:pPr>
        <w:pStyle w:val="FootnoteText"/>
      </w:pPr>
      <w:r>
        <w:rPr>
          <w:rStyle w:val="FootnoteReference"/>
        </w:rPr>
        <w:footnoteRef/>
      </w:r>
      <w:r>
        <w:t xml:space="preserve"> HT Petition at </w:t>
      </w:r>
      <w:r w:rsidR="00C75062">
        <w:t xml:space="preserve">2-3. </w:t>
      </w:r>
    </w:p>
  </w:footnote>
  <w:footnote w:id="65">
    <w:p w:rsidR="007D5760" w14:paraId="1B2F2790" w14:textId="6C122403">
      <w:pPr>
        <w:pStyle w:val="FootnoteText"/>
      </w:pPr>
      <w:r>
        <w:rPr>
          <w:rStyle w:val="FootnoteReference"/>
        </w:rPr>
        <w:footnoteRef/>
      </w:r>
      <w:r w:rsidR="36F8B36E">
        <w:t xml:space="preserve"> </w:t>
      </w:r>
      <w:r w:rsidRPr="00557E0A" w:rsidR="36F8B36E">
        <w:rPr>
          <w:i/>
          <w:iCs/>
        </w:rPr>
        <w:t>Id.</w:t>
      </w:r>
      <w:r w:rsidR="36F8B36E">
        <w:t xml:space="preserve"> at 6-7.  </w:t>
      </w:r>
    </w:p>
  </w:footnote>
  <w:footnote w:id="66">
    <w:p w:rsidR="00745D25" w:rsidRPr="00AA461A" w:rsidP="36F8B36E" w14:paraId="305F5D89" w14:textId="0EFC75C3">
      <w:pPr>
        <w:pStyle w:val="FootnoteText"/>
        <w:rPr>
          <w:i/>
          <w:iCs/>
        </w:rPr>
      </w:pPr>
      <w:r>
        <w:rPr>
          <w:rStyle w:val="FootnoteReference"/>
        </w:rPr>
        <w:footnoteRef/>
      </w:r>
      <w:r w:rsidR="36F8B36E">
        <w:t xml:space="preserve"> </w:t>
      </w:r>
      <w:r w:rsidRPr="00557E0A" w:rsidR="36F8B36E">
        <w:rPr>
          <w:i/>
          <w:iCs/>
        </w:rPr>
        <w:t>Id.</w:t>
      </w:r>
      <w:r w:rsidR="36F8B36E">
        <w:t xml:space="preserve"> at 9.</w:t>
      </w:r>
    </w:p>
  </w:footnote>
  <w:footnote w:id="67">
    <w:p w:rsidR="005368D9" w:rsidP="005368D9" w14:paraId="41B5B6FD" w14:textId="77777777">
      <w:pPr>
        <w:pStyle w:val="FootnoteText"/>
      </w:pPr>
      <w:r>
        <w:rPr>
          <w:rStyle w:val="FootnoteReference"/>
        </w:rPr>
        <w:footnoteRef/>
      </w:r>
      <w:r>
        <w:t xml:space="preserve"> TDS Petition at 2-4. </w:t>
      </w:r>
    </w:p>
  </w:footnote>
  <w:footnote w:id="68">
    <w:p w:rsidR="005368D9" w:rsidP="005368D9" w14:paraId="7339E2A5" w14:textId="063E7842">
      <w:pPr>
        <w:pStyle w:val="FootnoteText"/>
      </w:pPr>
      <w:r>
        <w:rPr>
          <w:rStyle w:val="FootnoteReference"/>
        </w:rPr>
        <w:footnoteRef/>
      </w:r>
      <w:r w:rsidR="36F8B36E">
        <w:t xml:space="preserve"> </w:t>
      </w:r>
      <w:r w:rsidRPr="00557E0A" w:rsidR="36F8B36E">
        <w:rPr>
          <w:i/>
          <w:iCs/>
        </w:rPr>
        <w:t>Id</w:t>
      </w:r>
      <w:r w:rsidR="36F8B36E">
        <w:t xml:space="preserve">. at 2. </w:t>
      </w:r>
    </w:p>
  </w:footnote>
  <w:footnote w:id="69">
    <w:p w:rsidR="005368D9" w:rsidP="005368D9" w14:paraId="0EB8D2E0" w14:textId="570A763A">
      <w:pPr>
        <w:pStyle w:val="FootnoteText"/>
      </w:pPr>
      <w:r>
        <w:rPr>
          <w:rStyle w:val="FootnoteReference"/>
        </w:rPr>
        <w:footnoteRef/>
      </w:r>
      <w:r w:rsidR="36F8B36E">
        <w:t xml:space="preserve"> </w:t>
      </w:r>
      <w:r w:rsidRPr="00557E0A" w:rsidR="36F8B36E">
        <w:rPr>
          <w:i/>
          <w:iCs/>
        </w:rPr>
        <w:t>Id.</w:t>
      </w:r>
      <w:r w:rsidR="36F8B36E">
        <w:t xml:space="preserve"> at 4. </w:t>
      </w:r>
    </w:p>
  </w:footnote>
  <w:footnote w:id="70">
    <w:p w:rsidR="005368D9" w:rsidP="005368D9" w14:paraId="637E8376" w14:textId="77777777">
      <w:pPr>
        <w:pStyle w:val="FootnoteText"/>
      </w:pPr>
      <w:r>
        <w:rPr>
          <w:rStyle w:val="FootnoteReference"/>
        </w:rPr>
        <w:footnoteRef/>
      </w:r>
      <w:r>
        <w:t xml:space="preserve"> HT Petition at 2.</w:t>
      </w:r>
    </w:p>
  </w:footnote>
  <w:footnote w:id="71">
    <w:p w:rsidR="005368D9" w:rsidP="005368D9" w14:paraId="07862687" w14:textId="77777777">
      <w:pPr>
        <w:pStyle w:val="FootnoteText"/>
      </w:pPr>
      <w:r>
        <w:rPr>
          <w:rStyle w:val="FootnoteReference"/>
        </w:rPr>
        <w:footnoteRef/>
      </w:r>
      <w:r>
        <w:t xml:space="preserve"> TDS Petition at 4. </w:t>
      </w:r>
    </w:p>
  </w:footnote>
  <w:footnote w:id="72">
    <w:p w:rsidR="005368D9" w:rsidRPr="00716445" w:rsidP="005368D9" w14:paraId="4080C8A8" w14:textId="56597988">
      <w:pPr>
        <w:pStyle w:val="FootnoteText"/>
        <w:rPr>
          <w:i/>
          <w:iCs/>
        </w:rPr>
      </w:pPr>
      <w:r>
        <w:rPr>
          <w:rStyle w:val="FootnoteReference"/>
        </w:rPr>
        <w:footnoteRef/>
      </w:r>
      <w:r>
        <w:t xml:space="preserve"> </w:t>
      </w:r>
      <w:r>
        <w:rPr>
          <w:i/>
          <w:iCs/>
        </w:rPr>
        <w:t>See Connect America Fund; ETC Annual Reports and Certifications</w:t>
      </w:r>
      <w:r>
        <w:t xml:space="preserve">, WC Docket Nos. 10-90, 14-58, Order, 32 FCC </w:t>
      </w:r>
      <w:r>
        <w:t>Rcd</w:t>
      </w:r>
      <w:r>
        <w:t xml:space="preserve"> 968, 975-76, para. 21 (2017).  </w:t>
      </w:r>
      <w:r>
        <w:rPr>
          <w:i/>
          <w:iCs/>
        </w:rPr>
        <w:t>See also USF/ICC Transformation Order</w:t>
      </w:r>
      <w:r>
        <w:t xml:space="preserve">, 26 FCC </w:t>
      </w:r>
      <w:r>
        <w:t>Rcd</w:t>
      </w:r>
      <w:r>
        <w:t xml:space="preserve"> at 17701, para. 103 (“[A]</w:t>
      </w:r>
      <w:r>
        <w:t>ll</w:t>
      </w:r>
      <w:r>
        <w:t xml:space="preserve"> broadband obligations </w:t>
      </w:r>
      <w:r w:rsidR="00621F3B">
        <w:t>f</w:t>
      </w:r>
      <w:r>
        <w:t>or fixed broadband are conditioned on not spending the funds to serve customers in areas already subsidized by an ‘unsubsidized competitor.’”).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728862" w14:textId="4F5725FE">
    <w:pPr>
      <w:pStyle w:val="Header"/>
      <w:rPr>
        <w:b w:val="0"/>
      </w:rPr>
    </w:pPr>
    <w:r>
      <w:tab/>
      <w:t>Federal Communications Commission</w:t>
    </w:r>
    <w:r>
      <w:tab/>
    </w:r>
    <w:r w:rsidR="00D85275">
      <w:t>DA 2</w:t>
    </w:r>
    <w:r w:rsidR="001711EF">
      <w:t>1</w:t>
    </w:r>
    <w:r w:rsidR="00D85275">
      <w:t>-</w:t>
    </w:r>
    <w:r w:rsidR="00AD4699">
      <w:t>643</w:t>
    </w:r>
  </w:p>
  <w:p w:rsidR="00D25FB5" w14:paraId="2FE70E97" w14:textId="1521291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E277B6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77B4A0" w14:textId="0F45A92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655F9">
      <w:t xml:space="preserve">DA </w:t>
    </w:r>
    <w:r w:rsidR="00337EA1">
      <w:t xml:space="preserve"> </w:t>
    </w:r>
    <w:r w:rsidR="001655F9">
      <w:t>2</w:t>
    </w:r>
    <w:r w:rsidR="00337EA1">
      <w:t>1</w:t>
    </w:r>
    <w:r w:rsidR="001655F9">
      <w:t>-</w:t>
    </w:r>
    <w:r w:rsidR="00192FC2">
      <w:t>643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hybridMultilevel"/>
    <w:tmpl w:val="3244DD0A"/>
    <w:lvl w:ilvl="0">
      <w:start w:val="1"/>
      <w:numFmt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D9713E"/>
    <w:multiLevelType w:val="hybridMultilevel"/>
    <w:tmpl w:val="2EAE3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F9"/>
    <w:rsid w:val="000137D3"/>
    <w:rsid w:val="000140E4"/>
    <w:rsid w:val="000148CF"/>
    <w:rsid w:val="00015601"/>
    <w:rsid w:val="000164FB"/>
    <w:rsid w:val="00017CAD"/>
    <w:rsid w:val="0002599A"/>
    <w:rsid w:val="00026A63"/>
    <w:rsid w:val="0003403F"/>
    <w:rsid w:val="00036039"/>
    <w:rsid w:val="00037F90"/>
    <w:rsid w:val="00041508"/>
    <w:rsid w:val="00042B81"/>
    <w:rsid w:val="00051E41"/>
    <w:rsid w:val="00051EAF"/>
    <w:rsid w:val="00054CD7"/>
    <w:rsid w:val="00060F3A"/>
    <w:rsid w:val="00064DE1"/>
    <w:rsid w:val="00075A07"/>
    <w:rsid w:val="00080424"/>
    <w:rsid w:val="000858FC"/>
    <w:rsid w:val="00086C6A"/>
    <w:rsid w:val="000875BF"/>
    <w:rsid w:val="00091E1A"/>
    <w:rsid w:val="00096D8C"/>
    <w:rsid w:val="00097FF1"/>
    <w:rsid w:val="000A4DEC"/>
    <w:rsid w:val="000A5A5A"/>
    <w:rsid w:val="000A628F"/>
    <w:rsid w:val="000B217F"/>
    <w:rsid w:val="000B221A"/>
    <w:rsid w:val="000B24F8"/>
    <w:rsid w:val="000B57F3"/>
    <w:rsid w:val="000B7161"/>
    <w:rsid w:val="000C08A5"/>
    <w:rsid w:val="000C0B65"/>
    <w:rsid w:val="000C4175"/>
    <w:rsid w:val="000C7822"/>
    <w:rsid w:val="000D08E3"/>
    <w:rsid w:val="000D34B6"/>
    <w:rsid w:val="000D4410"/>
    <w:rsid w:val="000D6837"/>
    <w:rsid w:val="000E059B"/>
    <w:rsid w:val="000E05FE"/>
    <w:rsid w:val="000E0A5A"/>
    <w:rsid w:val="000E1B03"/>
    <w:rsid w:val="000E24F7"/>
    <w:rsid w:val="000E3D42"/>
    <w:rsid w:val="000E3F17"/>
    <w:rsid w:val="000F14A4"/>
    <w:rsid w:val="000F4EC6"/>
    <w:rsid w:val="000F69A7"/>
    <w:rsid w:val="00114C09"/>
    <w:rsid w:val="00114F0C"/>
    <w:rsid w:val="00122BD5"/>
    <w:rsid w:val="00130029"/>
    <w:rsid w:val="00133F79"/>
    <w:rsid w:val="00135595"/>
    <w:rsid w:val="00141D11"/>
    <w:rsid w:val="00144283"/>
    <w:rsid w:val="00147510"/>
    <w:rsid w:val="001556C9"/>
    <w:rsid w:val="00156911"/>
    <w:rsid w:val="001655F9"/>
    <w:rsid w:val="00166112"/>
    <w:rsid w:val="00170EE7"/>
    <w:rsid w:val="001711EF"/>
    <w:rsid w:val="0017474E"/>
    <w:rsid w:val="00180E91"/>
    <w:rsid w:val="00183071"/>
    <w:rsid w:val="001842AC"/>
    <w:rsid w:val="0019051A"/>
    <w:rsid w:val="00192FC2"/>
    <w:rsid w:val="00194A66"/>
    <w:rsid w:val="00196F5B"/>
    <w:rsid w:val="0019772E"/>
    <w:rsid w:val="00197DBA"/>
    <w:rsid w:val="001B08A3"/>
    <w:rsid w:val="001B17C5"/>
    <w:rsid w:val="001B3236"/>
    <w:rsid w:val="001B4430"/>
    <w:rsid w:val="001B56E7"/>
    <w:rsid w:val="001B5D49"/>
    <w:rsid w:val="001B7B5A"/>
    <w:rsid w:val="001C06E8"/>
    <w:rsid w:val="001C1F8B"/>
    <w:rsid w:val="001C6557"/>
    <w:rsid w:val="001D1A21"/>
    <w:rsid w:val="001D5905"/>
    <w:rsid w:val="001D6BCF"/>
    <w:rsid w:val="001E01CA"/>
    <w:rsid w:val="001E36BE"/>
    <w:rsid w:val="001F4B4B"/>
    <w:rsid w:val="001F5646"/>
    <w:rsid w:val="001F666A"/>
    <w:rsid w:val="001F68EC"/>
    <w:rsid w:val="00203DC9"/>
    <w:rsid w:val="00204439"/>
    <w:rsid w:val="00220F41"/>
    <w:rsid w:val="002247A0"/>
    <w:rsid w:val="00227EDE"/>
    <w:rsid w:val="00231DBC"/>
    <w:rsid w:val="0023408E"/>
    <w:rsid w:val="002371D7"/>
    <w:rsid w:val="0023732F"/>
    <w:rsid w:val="00252875"/>
    <w:rsid w:val="0026314D"/>
    <w:rsid w:val="00264461"/>
    <w:rsid w:val="00264CB1"/>
    <w:rsid w:val="00275CF5"/>
    <w:rsid w:val="00276C44"/>
    <w:rsid w:val="0028301F"/>
    <w:rsid w:val="00285017"/>
    <w:rsid w:val="00285890"/>
    <w:rsid w:val="00286AE8"/>
    <w:rsid w:val="00291C59"/>
    <w:rsid w:val="00293CE1"/>
    <w:rsid w:val="002A2D2E"/>
    <w:rsid w:val="002A43D6"/>
    <w:rsid w:val="002A498C"/>
    <w:rsid w:val="002A5B4F"/>
    <w:rsid w:val="002A5BED"/>
    <w:rsid w:val="002A5F8C"/>
    <w:rsid w:val="002B0E4C"/>
    <w:rsid w:val="002B122C"/>
    <w:rsid w:val="002B1FE5"/>
    <w:rsid w:val="002C00E8"/>
    <w:rsid w:val="002D166E"/>
    <w:rsid w:val="002D3C17"/>
    <w:rsid w:val="002E111B"/>
    <w:rsid w:val="002F1C7F"/>
    <w:rsid w:val="002F4CC4"/>
    <w:rsid w:val="002F4ED6"/>
    <w:rsid w:val="003040DC"/>
    <w:rsid w:val="00304835"/>
    <w:rsid w:val="00312FCF"/>
    <w:rsid w:val="00327417"/>
    <w:rsid w:val="003319F3"/>
    <w:rsid w:val="00337CA7"/>
    <w:rsid w:val="00337EA1"/>
    <w:rsid w:val="00341328"/>
    <w:rsid w:val="00342693"/>
    <w:rsid w:val="00343749"/>
    <w:rsid w:val="00346034"/>
    <w:rsid w:val="00351887"/>
    <w:rsid w:val="00364B7A"/>
    <w:rsid w:val="003660ED"/>
    <w:rsid w:val="003663C8"/>
    <w:rsid w:val="003677BE"/>
    <w:rsid w:val="00371628"/>
    <w:rsid w:val="00371751"/>
    <w:rsid w:val="00371AE2"/>
    <w:rsid w:val="0037247A"/>
    <w:rsid w:val="003730D3"/>
    <w:rsid w:val="00375769"/>
    <w:rsid w:val="00375976"/>
    <w:rsid w:val="003776B0"/>
    <w:rsid w:val="00377EB2"/>
    <w:rsid w:val="003909BD"/>
    <w:rsid w:val="00395CAC"/>
    <w:rsid w:val="00396553"/>
    <w:rsid w:val="003976FF"/>
    <w:rsid w:val="003A7E3A"/>
    <w:rsid w:val="003AF73F"/>
    <w:rsid w:val="003B0550"/>
    <w:rsid w:val="003B694F"/>
    <w:rsid w:val="003C2108"/>
    <w:rsid w:val="003C4666"/>
    <w:rsid w:val="003C64B1"/>
    <w:rsid w:val="003D1379"/>
    <w:rsid w:val="003D50D6"/>
    <w:rsid w:val="003D6D42"/>
    <w:rsid w:val="003E3700"/>
    <w:rsid w:val="003F171C"/>
    <w:rsid w:val="003F2147"/>
    <w:rsid w:val="003F3BC7"/>
    <w:rsid w:val="003F4EB9"/>
    <w:rsid w:val="00402F9B"/>
    <w:rsid w:val="00403C3F"/>
    <w:rsid w:val="00404454"/>
    <w:rsid w:val="004105A3"/>
    <w:rsid w:val="00412FC5"/>
    <w:rsid w:val="00422276"/>
    <w:rsid w:val="004242F1"/>
    <w:rsid w:val="004311C7"/>
    <w:rsid w:val="004339FC"/>
    <w:rsid w:val="00443141"/>
    <w:rsid w:val="00445A00"/>
    <w:rsid w:val="00447913"/>
    <w:rsid w:val="00451B0F"/>
    <w:rsid w:val="004532ED"/>
    <w:rsid w:val="0045665F"/>
    <w:rsid w:val="0047096F"/>
    <w:rsid w:val="00471C23"/>
    <w:rsid w:val="0047285B"/>
    <w:rsid w:val="00473252"/>
    <w:rsid w:val="00483399"/>
    <w:rsid w:val="00484C2B"/>
    <w:rsid w:val="00493327"/>
    <w:rsid w:val="004A61A5"/>
    <w:rsid w:val="004B395B"/>
    <w:rsid w:val="004B6006"/>
    <w:rsid w:val="004B60C5"/>
    <w:rsid w:val="004C2D52"/>
    <w:rsid w:val="004C2EE3"/>
    <w:rsid w:val="004C4701"/>
    <w:rsid w:val="004C504C"/>
    <w:rsid w:val="004C52D3"/>
    <w:rsid w:val="004C70C6"/>
    <w:rsid w:val="004C78F8"/>
    <w:rsid w:val="004C7AB5"/>
    <w:rsid w:val="004D0175"/>
    <w:rsid w:val="004D4A28"/>
    <w:rsid w:val="004D5E4C"/>
    <w:rsid w:val="004D7573"/>
    <w:rsid w:val="004E1A54"/>
    <w:rsid w:val="004E1D92"/>
    <w:rsid w:val="004E4831"/>
    <w:rsid w:val="004E4A22"/>
    <w:rsid w:val="004E50E8"/>
    <w:rsid w:val="00500D0D"/>
    <w:rsid w:val="00505873"/>
    <w:rsid w:val="00505E0A"/>
    <w:rsid w:val="0051102F"/>
    <w:rsid w:val="00511968"/>
    <w:rsid w:val="00512CAA"/>
    <w:rsid w:val="00513922"/>
    <w:rsid w:val="005204DF"/>
    <w:rsid w:val="005368D9"/>
    <w:rsid w:val="005503BF"/>
    <w:rsid w:val="00550706"/>
    <w:rsid w:val="00550A8C"/>
    <w:rsid w:val="00550ACD"/>
    <w:rsid w:val="00554199"/>
    <w:rsid w:val="0055614C"/>
    <w:rsid w:val="005573A8"/>
    <w:rsid w:val="00557A6C"/>
    <w:rsid w:val="00557E0A"/>
    <w:rsid w:val="00561406"/>
    <w:rsid w:val="00561F55"/>
    <w:rsid w:val="00562FA1"/>
    <w:rsid w:val="00564DE6"/>
    <w:rsid w:val="00566D06"/>
    <w:rsid w:val="0057199F"/>
    <w:rsid w:val="00571A49"/>
    <w:rsid w:val="00575E95"/>
    <w:rsid w:val="005775F7"/>
    <w:rsid w:val="00596570"/>
    <w:rsid w:val="005A0086"/>
    <w:rsid w:val="005B48B8"/>
    <w:rsid w:val="005B58C6"/>
    <w:rsid w:val="005B616B"/>
    <w:rsid w:val="005C2D3B"/>
    <w:rsid w:val="005C3202"/>
    <w:rsid w:val="005D5565"/>
    <w:rsid w:val="005E07B8"/>
    <w:rsid w:val="005E14C2"/>
    <w:rsid w:val="005E19FB"/>
    <w:rsid w:val="005E2AC1"/>
    <w:rsid w:val="005E56ED"/>
    <w:rsid w:val="005F0C04"/>
    <w:rsid w:val="005F4DBD"/>
    <w:rsid w:val="005F709E"/>
    <w:rsid w:val="006034F9"/>
    <w:rsid w:val="00603770"/>
    <w:rsid w:val="006048DB"/>
    <w:rsid w:val="0060721F"/>
    <w:rsid w:val="00607BA5"/>
    <w:rsid w:val="0061180A"/>
    <w:rsid w:val="00621F3B"/>
    <w:rsid w:val="00626EB6"/>
    <w:rsid w:val="00635E69"/>
    <w:rsid w:val="00640E44"/>
    <w:rsid w:val="00641FBE"/>
    <w:rsid w:val="00646A9F"/>
    <w:rsid w:val="00655D03"/>
    <w:rsid w:val="00656D65"/>
    <w:rsid w:val="00657941"/>
    <w:rsid w:val="00664CE9"/>
    <w:rsid w:val="00665383"/>
    <w:rsid w:val="00667203"/>
    <w:rsid w:val="00667BF6"/>
    <w:rsid w:val="006772DB"/>
    <w:rsid w:val="00677472"/>
    <w:rsid w:val="00682E7E"/>
    <w:rsid w:val="00683388"/>
    <w:rsid w:val="00683F84"/>
    <w:rsid w:val="0068474B"/>
    <w:rsid w:val="00687BA1"/>
    <w:rsid w:val="0069138D"/>
    <w:rsid w:val="006A40C0"/>
    <w:rsid w:val="006A6A81"/>
    <w:rsid w:val="006C42B7"/>
    <w:rsid w:val="006C57E0"/>
    <w:rsid w:val="006D05EB"/>
    <w:rsid w:val="006D0C6C"/>
    <w:rsid w:val="006D1E44"/>
    <w:rsid w:val="006D4A3F"/>
    <w:rsid w:val="006E6C68"/>
    <w:rsid w:val="006F7393"/>
    <w:rsid w:val="00701AFD"/>
    <w:rsid w:val="0070224F"/>
    <w:rsid w:val="007030F1"/>
    <w:rsid w:val="007058BB"/>
    <w:rsid w:val="00706B69"/>
    <w:rsid w:val="00706C80"/>
    <w:rsid w:val="007075B9"/>
    <w:rsid w:val="00710313"/>
    <w:rsid w:val="007115F7"/>
    <w:rsid w:val="00716445"/>
    <w:rsid w:val="00722B1C"/>
    <w:rsid w:val="00724FDC"/>
    <w:rsid w:val="00725BD0"/>
    <w:rsid w:val="007323B4"/>
    <w:rsid w:val="00734083"/>
    <w:rsid w:val="00734AFA"/>
    <w:rsid w:val="00745D25"/>
    <w:rsid w:val="00747493"/>
    <w:rsid w:val="00762C85"/>
    <w:rsid w:val="007740D9"/>
    <w:rsid w:val="00785689"/>
    <w:rsid w:val="00792BC1"/>
    <w:rsid w:val="00794FC7"/>
    <w:rsid w:val="0079754B"/>
    <w:rsid w:val="00797812"/>
    <w:rsid w:val="007A053C"/>
    <w:rsid w:val="007A1E6D"/>
    <w:rsid w:val="007A6C83"/>
    <w:rsid w:val="007B0EB2"/>
    <w:rsid w:val="007B1032"/>
    <w:rsid w:val="007B242A"/>
    <w:rsid w:val="007B2698"/>
    <w:rsid w:val="007B5DA0"/>
    <w:rsid w:val="007C0B9B"/>
    <w:rsid w:val="007C24FF"/>
    <w:rsid w:val="007D5760"/>
    <w:rsid w:val="007D5876"/>
    <w:rsid w:val="007E6ABC"/>
    <w:rsid w:val="007E6BBE"/>
    <w:rsid w:val="007F0F7D"/>
    <w:rsid w:val="007F4A5D"/>
    <w:rsid w:val="00810B6F"/>
    <w:rsid w:val="00820FCB"/>
    <w:rsid w:val="00822528"/>
    <w:rsid w:val="00822CE0"/>
    <w:rsid w:val="00823078"/>
    <w:rsid w:val="00823B27"/>
    <w:rsid w:val="0082687A"/>
    <w:rsid w:val="00831228"/>
    <w:rsid w:val="00837A26"/>
    <w:rsid w:val="00841AB1"/>
    <w:rsid w:val="00850892"/>
    <w:rsid w:val="00861778"/>
    <w:rsid w:val="00863623"/>
    <w:rsid w:val="00863FFD"/>
    <w:rsid w:val="00874ECA"/>
    <w:rsid w:val="00876B2F"/>
    <w:rsid w:val="008771AB"/>
    <w:rsid w:val="00880DFA"/>
    <w:rsid w:val="00883A8F"/>
    <w:rsid w:val="008909D8"/>
    <w:rsid w:val="008A3A8B"/>
    <w:rsid w:val="008B5673"/>
    <w:rsid w:val="008B7663"/>
    <w:rsid w:val="008C038D"/>
    <w:rsid w:val="008C1527"/>
    <w:rsid w:val="008C4F92"/>
    <w:rsid w:val="008C68F1"/>
    <w:rsid w:val="008D5376"/>
    <w:rsid w:val="008E08AA"/>
    <w:rsid w:val="008E47B1"/>
    <w:rsid w:val="008E678E"/>
    <w:rsid w:val="00901127"/>
    <w:rsid w:val="0090121F"/>
    <w:rsid w:val="00910D26"/>
    <w:rsid w:val="00912A5E"/>
    <w:rsid w:val="00915789"/>
    <w:rsid w:val="00921803"/>
    <w:rsid w:val="009237B1"/>
    <w:rsid w:val="00926503"/>
    <w:rsid w:val="00934256"/>
    <w:rsid w:val="00934E73"/>
    <w:rsid w:val="00937546"/>
    <w:rsid w:val="00937A40"/>
    <w:rsid w:val="00946D2D"/>
    <w:rsid w:val="00946E51"/>
    <w:rsid w:val="00953865"/>
    <w:rsid w:val="00960CBF"/>
    <w:rsid w:val="00960F08"/>
    <w:rsid w:val="009659D3"/>
    <w:rsid w:val="00966911"/>
    <w:rsid w:val="009726D8"/>
    <w:rsid w:val="00980959"/>
    <w:rsid w:val="00980B15"/>
    <w:rsid w:val="009835C9"/>
    <w:rsid w:val="00984395"/>
    <w:rsid w:val="009847FE"/>
    <w:rsid w:val="00986301"/>
    <w:rsid w:val="009875D9"/>
    <w:rsid w:val="00995875"/>
    <w:rsid w:val="00997C50"/>
    <w:rsid w:val="009A2801"/>
    <w:rsid w:val="009A355B"/>
    <w:rsid w:val="009B231B"/>
    <w:rsid w:val="009B6A55"/>
    <w:rsid w:val="009C18AD"/>
    <w:rsid w:val="009D11CF"/>
    <w:rsid w:val="009D69F1"/>
    <w:rsid w:val="009D7308"/>
    <w:rsid w:val="009E1CFE"/>
    <w:rsid w:val="009F0E19"/>
    <w:rsid w:val="009F18D7"/>
    <w:rsid w:val="009F76DB"/>
    <w:rsid w:val="00A00D85"/>
    <w:rsid w:val="00A013EC"/>
    <w:rsid w:val="00A035A7"/>
    <w:rsid w:val="00A04962"/>
    <w:rsid w:val="00A109AB"/>
    <w:rsid w:val="00A12F28"/>
    <w:rsid w:val="00A135A2"/>
    <w:rsid w:val="00A14762"/>
    <w:rsid w:val="00A149E5"/>
    <w:rsid w:val="00A21993"/>
    <w:rsid w:val="00A32C3B"/>
    <w:rsid w:val="00A333C5"/>
    <w:rsid w:val="00A430F5"/>
    <w:rsid w:val="00A45F4F"/>
    <w:rsid w:val="00A600A9"/>
    <w:rsid w:val="00A630A9"/>
    <w:rsid w:val="00A6396D"/>
    <w:rsid w:val="00A847D8"/>
    <w:rsid w:val="00A8707C"/>
    <w:rsid w:val="00A87E11"/>
    <w:rsid w:val="00AA32AF"/>
    <w:rsid w:val="00AA38F3"/>
    <w:rsid w:val="00AA461A"/>
    <w:rsid w:val="00AA4951"/>
    <w:rsid w:val="00AA4A48"/>
    <w:rsid w:val="00AA55B7"/>
    <w:rsid w:val="00AA5B9E"/>
    <w:rsid w:val="00AB1B37"/>
    <w:rsid w:val="00AB2407"/>
    <w:rsid w:val="00AB251E"/>
    <w:rsid w:val="00AB32C0"/>
    <w:rsid w:val="00AB461F"/>
    <w:rsid w:val="00AB53DF"/>
    <w:rsid w:val="00AC7B0E"/>
    <w:rsid w:val="00AD1DD1"/>
    <w:rsid w:val="00AD42A8"/>
    <w:rsid w:val="00AD4699"/>
    <w:rsid w:val="00AD5C0A"/>
    <w:rsid w:val="00AE312A"/>
    <w:rsid w:val="00AE5445"/>
    <w:rsid w:val="00AF41CB"/>
    <w:rsid w:val="00B00AEA"/>
    <w:rsid w:val="00B051CE"/>
    <w:rsid w:val="00B07423"/>
    <w:rsid w:val="00B07E5C"/>
    <w:rsid w:val="00B20E4D"/>
    <w:rsid w:val="00B21E62"/>
    <w:rsid w:val="00B23AC4"/>
    <w:rsid w:val="00B26D24"/>
    <w:rsid w:val="00B275CB"/>
    <w:rsid w:val="00B30080"/>
    <w:rsid w:val="00B51A7F"/>
    <w:rsid w:val="00B54279"/>
    <w:rsid w:val="00B55EF4"/>
    <w:rsid w:val="00B62F7C"/>
    <w:rsid w:val="00B64415"/>
    <w:rsid w:val="00B65DE6"/>
    <w:rsid w:val="00B671F0"/>
    <w:rsid w:val="00B8011D"/>
    <w:rsid w:val="00B811F7"/>
    <w:rsid w:val="00B82338"/>
    <w:rsid w:val="00B82C05"/>
    <w:rsid w:val="00B84465"/>
    <w:rsid w:val="00B872CB"/>
    <w:rsid w:val="00B956DC"/>
    <w:rsid w:val="00B95AE9"/>
    <w:rsid w:val="00BA1B1E"/>
    <w:rsid w:val="00BA360C"/>
    <w:rsid w:val="00BA5DC6"/>
    <w:rsid w:val="00BA6196"/>
    <w:rsid w:val="00BA6B5D"/>
    <w:rsid w:val="00BB1920"/>
    <w:rsid w:val="00BB52F8"/>
    <w:rsid w:val="00BB67B9"/>
    <w:rsid w:val="00BC596D"/>
    <w:rsid w:val="00BC6D8C"/>
    <w:rsid w:val="00BC6D9B"/>
    <w:rsid w:val="00BD0F03"/>
    <w:rsid w:val="00BD2EB5"/>
    <w:rsid w:val="00BD4376"/>
    <w:rsid w:val="00BD4FAE"/>
    <w:rsid w:val="00BD6244"/>
    <w:rsid w:val="00BE14D7"/>
    <w:rsid w:val="00BE2D3C"/>
    <w:rsid w:val="00BE4C0E"/>
    <w:rsid w:val="00BE5ADB"/>
    <w:rsid w:val="00BE65AD"/>
    <w:rsid w:val="00BF26BE"/>
    <w:rsid w:val="00BF2DAC"/>
    <w:rsid w:val="00BF48ED"/>
    <w:rsid w:val="00C26D1F"/>
    <w:rsid w:val="00C26EED"/>
    <w:rsid w:val="00C306A2"/>
    <w:rsid w:val="00C34006"/>
    <w:rsid w:val="00C35EA7"/>
    <w:rsid w:val="00C36B4C"/>
    <w:rsid w:val="00C426B1"/>
    <w:rsid w:val="00C431AB"/>
    <w:rsid w:val="00C50929"/>
    <w:rsid w:val="00C526A6"/>
    <w:rsid w:val="00C55F29"/>
    <w:rsid w:val="00C57D03"/>
    <w:rsid w:val="00C64C7F"/>
    <w:rsid w:val="00C66160"/>
    <w:rsid w:val="00C71E71"/>
    <w:rsid w:val="00C721AC"/>
    <w:rsid w:val="00C7347E"/>
    <w:rsid w:val="00C74BDC"/>
    <w:rsid w:val="00C75062"/>
    <w:rsid w:val="00C833A3"/>
    <w:rsid w:val="00C85FCA"/>
    <w:rsid w:val="00C90D6A"/>
    <w:rsid w:val="00C91467"/>
    <w:rsid w:val="00C92FB9"/>
    <w:rsid w:val="00CA1FD0"/>
    <w:rsid w:val="00CA247E"/>
    <w:rsid w:val="00CA4146"/>
    <w:rsid w:val="00CA6120"/>
    <w:rsid w:val="00CA6D21"/>
    <w:rsid w:val="00CB49BC"/>
    <w:rsid w:val="00CC72B6"/>
    <w:rsid w:val="00CC77C9"/>
    <w:rsid w:val="00CC7ED8"/>
    <w:rsid w:val="00CD290E"/>
    <w:rsid w:val="00CD2E6C"/>
    <w:rsid w:val="00CD606F"/>
    <w:rsid w:val="00CD6196"/>
    <w:rsid w:val="00CE0CCC"/>
    <w:rsid w:val="00CE2266"/>
    <w:rsid w:val="00CE57F0"/>
    <w:rsid w:val="00CE59D6"/>
    <w:rsid w:val="00CF0F0C"/>
    <w:rsid w:val="00CF4604"/>
    <w:rsid w:val="00D0218D"/>
    <w:rsid w:val="00D035F2"/>
    <w:rsid w:val="00D0369C"/>
    <w:rsid w:val="00D07FED"/>
    <w:rsid w:val="00D10813"/>
    <w:rsid w:val="00D12C69"/>
    <w:rsid w:val="00D15D97"/>
    <w:rsid w:val="00D1616E"/>
    <w:rsid w:val="00D16632"/>
    <w:rsid w:val="00D254AF"/>
    <w:rsid w:val="00D256E6"/>
    <w:rsid w:val="00D25FB5"/>
    <w:rsid w:val="00D27336"/>
    <w:rsid w:val="00D277F7"/>
    <w:rsid w:val="00D32387"/>
    <w:rsid w:val="00D32E4F"/>
    <w:rsid w:val="00D3577D"/>
    <w:rsid w:val="00D44223"/>
    <w:rsid w:val="00D44E7D"/>
    <w:rsid w:val="00D450A4"/>
    <w:rsid w:val="00D50298"/>
    <w:rsid w:val="00D50C06"/>
    <w:rsid w:val="00D54BE8"/>
    <w:rsid w:val="00D57837"/>
    <w:rsid w:val="00D65BC7"/>
    <w:rsid w:val="00D66B79"/>
    <w:rsid w:val="00D7001F"/>
    <w:rsid w:val="00D700AF"/>
    <w:rsid w:val="00D75585"/>
    <w:rsid w:val="00D772CB"/>
    <w:rsid w:val="00D77853"/>
    <w:rsid w:val="00D85275"/>
    <w:rsid w:val="00D866B3"/>
    <w:rsid w:val="00D9751B"/>
    <w:rsid w:val="00DA2529"/>
    <w:rsid w:val="00DA3F34"/>
    <w:rsid w:val="00DB01F3"/>
    <w:rsid w:val="00DB130A"/>
    <w:rsid w:val="00DB2EBB"/>
    <w:rsid w:val="00DC10A1"/>
    <w:rsid w:val="00DC5D0F"/>
    <w:rsid w:val="00DC655F"/>
    <w:rsid w:val="00DD0B59"/>
    <w:rsid w:val="00DD298D"/>
    <w:rsid w:val="00DD5224"/>
    <w:rsid w:val="00DD6121"/>
    <w:rsid w:val="00DD7287"/>
    <w:rsid w:val="00DD7EBD"/>
    <w:rsid w:val="00DE1B79"/>
    <w:rsid w:val="00DE30E3"/>
    <w:rsid w:val="00DF1E0C"/>
    <w:rsid w:val="00DF20B4"/>
    <w:rsid w:val="00DF62B6"/>
    <w:rsid w:val="00DF6C72"/>
    <w:rsid w:val="00E065C1"/>
    <w:rsid w:val="00E07225"/>
    <w:rsid w:val="00E22E58"/>
    <w:rsid w:val="00E2468E"/>
    <w:rsid w:val="00E259E4"/>
    <w:rsid w:val="00E26801"/>
    <w:rsid w:val="00E30882"/>
    <w:rsid w:val="00E428F2"/>
    <w:rsid w:val="00E43B0B"/>
    <w:rsid w:val="00E519DA"/>
    <w:rsid w:val="00E52FB8"/>
    <w:rsid w:val="00E5409F"/>
    <w:rsid w:val="00E60F72"/>
    <w:rsid w:val="00E65175"/>
    <w:rsid w:val="00E75609"/>
    <w:rsid w:val="00E81382"/>
    <w:rsid w:val="00E82DE5"/>
    <w:rsid w:val="00E84CA3"/>
    <w:rsid w:val="00E84CB4"/>
    <w:rsid w:val="00E97775"/>
    <w:rsid w:val="00EA050E"/>
    <w:rsid w:val="00EA2AE6"/>
    <w:rsid w:val="00EA4C9D"/>
    <w:rsid w:val="00EB2879"/>
    <w:rsid w:val="00EB2ABF"/>
    <w:rsid w:val="00EB2DF2"/>
    <w:rsid w:val="00EC4C84"/>
    <w:rsid w:val="00ED2EBE"/>
    <w:rsid w:val="00ED7776"/>
    <w:rsid w:val="00EE09B8"/>
    <w:rsid w:val="00EE2D00"/>
    <w:rsid w:val="00EE61F8"/>
    <w:rsid w:val="00EE6488"/>
    <w:rsid w:val="00EF08A6"/>
    <w:rsid w:val="00EF2806"/>
    <w:rsid w:val="00EF5815"/>
    <w:rsid w:val="00EF6747"/>
    <w:rsid w:val="00EF7E8B"/>
    <w:rsid w:val="00F021FA"/>
    <w:rsid w:val="00F04575"/>
    <w:rsid w:val="00F14BDE"/>
    <w:rsid w:val="00F167A3"/>
    <w:rsid w:val="00F17667"/>
    <w:rsid w:val="00F26954"/>
    <w:rsid w:val="00F50868"/>
    <w:rsid w:val="00F50DC9"/>
    <w:rsid w:val="00F62E97"/>
    <w:rsid w:val="00F64209"/>
    <w:rsid w:val="00F73903"/>
    <w:rsid w:val="00F77F1C"/>
    <w:rsid w:val="00F77FAE"/>
    <w:rsid w:val="00F906F8"/>
    <w:rsid w:val="00F93BF5"/>
    <w:rsid w:val="00F93EBE"/>
    <w:rsid w:val="00F94087"/>
    <w:rsid w:val="00FA2087"/>
    <w:rsid w:val="00FA328F"/>
    <w:rsid w:val="00FB0F38"/>
    <w:rsid w:val="00FB4923"/>
    <w:rsid w:val="00FB5D5F"/>
    <w:rsid w:val="00FC0BCD"/>
    <w:rsid w:val="00FE157C"/>
    <w:rsid w:val="00FE3CC7"/>
    <w:rsid w:val="00FE6525"/>
    <w:rsid w:val="00FF23A6"/>
    <w:rsid w:val="00FF3954"/>
    <w:rsid w:val="00FF7FE9"/>
    <w:rsid w:val="019EAA47"/>
    <w:rsid w:val="023612A6"/>
    <w:rsid w:val="05AB52A5"/>
    <w:rsid w:val="084DAB61"/>
    <w:rsid w:val="08EB12C3"/>
    <w:rsid w:val="09945275"/>
    <w:rsid w:val="09B7B378"/>
    <w:rsid w:val="0A46E7B7"/>
    <w:rsid w:val="0A54979A"/>
    <w:rsid w:val="0B2C6430"/>
    <w:rsid w:val="0B74D31D"/>
    <w:rsid w:val="0C3CD3E7"/>
    <w:rsid w:val="0CF48955"/>
    <w:rsid w:val="0D3E4D00"/>
    <w:rsid w:val="0D65C804"/>
    <w:rsid w:val="0D9C1CE6"/>
    <w:rsid w:val="0E67C398"/>
    <w:rsid w:val="1018CADF"/>
    <w:rsid w:val="102E37BE"/>
    <w:rsid w:val="1293C95D"/>
    <w:rsid w:val="13C40F0A"/>
    <w:rsid w:val="1443130F"/>
    <w:rsid w:val="14966EE3"/>
    <w:rsid w:val="17673A80"/>
    <w:rsid w:val="18000555"/>
    <w:rsid w:val="187E0A99"/>
    <w:rsid w:val="1A19DAFA"/>
    <w:rsid w:val="1AAE8282"/>
    <w:rsid w:val="1C05CD27"/>
    <w:rsid w:val="1CABA401"/>
    <w:rsid w:val="1F86E13B"/>
    <w:rsid w:val="20AD14ED"/>
    <w:rsid w:val="21BE17BA"/>
    <w:rsid w:val="235D0A8A"/>
    <w:rsid w:val="276435ED"/>
    <w:rsid w:val="28B03F28"/>
    <w:rsid w:val="29950491"/>
    <w:rsid w:val="2C418CD4"/>
    <w:rsid w:val="3258C958"/>
    <w:rsid w:val="34505A0B"/>
    <w:rsid w:val="36AE3B85"/>
    <w:rsid w:val="36F8B36E"/>
    <w:rsid w:val="36FAA5D4"/>
    <w:rsid w:val="388E9A1A"/>
    <w:rsid w:val="38FADAD7"/>
    <w:rsid w:val="391E179E"/>
    <w:rsid w:val="39878C2C"/>
    <w:rsid w:val="3A35490A"/>
    <w:rsid w:val="3B70DE71"/>
    <w:rsid w:val="3C2F286C"/>
    <w:rsid w:val="3FD07F11"/>
    <w:rsid w:val="404E51DD"/>
    <w:rsid w:val="40D01A6F"/>
    <w:rsid w:val="410F5F16"/>
    <w:rsid w:val="42730409"/>
    <w:rsid w:val="4295BED0"/>
    <w:rsid w:val="437DD66B"/>
    <w:rsid w:val="43B8BCD7"/>
    <w:rsid w:val="445187AC"/>
    <w:rsid w:val="4474046B"/>
    <w:rsid w:val="479447B4"/>
    <w:rsid w:val="48C6DE5B"/>
    <w:rsid w:val="48D99A6D"/>
    <w:rsid w:val="49603AAD"/>
    <w:rsid w:val="4B00C49D"/>
    <w:rsid w:val="4DDB7503"/>
    <w:rsid w:val="4E1C9E90"/>
    <w:rsid w:val="4E8A445B"/>
    <w:rsid w:val="4F491C46"/>
    <w:rsid w:val="4FCD7A7E"/>
    <w:rsid w:val="518DE657"/>
    <w:rsid w:val="53BFE9D2"/>
    <w:rsid w:val="544E8319"/>
    <w:rsid w:val="54AB7375"/>
    <w:rsid w:val="55EA537A"/>
    <w:rsid w:val="560BC932"/>
    <w:rsid w:val="57C61F48"/>
    <w:rsid w:val="5C6E06B6"/>
    <w:rsid w:val="5EDEA07E"/>
    <w:rsid w:val="606B9DD0"/>
    <w:rsid w:val="60812C21"/>
    <w:rsid w:val="61101132"/>
    <w:rsid w:val="61F172CD"/>
    <w:rsid w:val="62ED3D43"/>
    <w:rsid w:val="63386376"/>
    <w:rsid w:val="6A29E2BB"/>
    <w:rsid w:val="6C46FBED"/>
    <w:rsid w:val="6F5A7CF3"/>
    <w:rsid w:val="72498976"/>
    <w:rsid w:val="72BB1215"/>
    <w:rsid w:val="74DD27AE"/>
    <w:rsid w:val="75767B26"/>
    <w:rsid w:val="759F8B05"/>
    <w:rsid w:val="77438046"/>
    <w:rsid w:val="7760C298"/>
    <w:rsid w:val="79E86866"/>
    <w:rsid w:val="7A98635A"/>
    <w:rsid w:val="7AD8D15A"/>
    <w:rsid w:val="7B33C978"/>
    <w:rsid w:val="7B583FBF"/>
    <w:rsid w:val="7C53AE63"/>
    <w:rsid w:val="7DEBBA95"/>
    <w:rsid w:val="7ED4DEC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D653DAC"/>
  <w15:chartTrackingRefBased/>
  <w15:docId w15:val="{2EAB6797-13DD-4800-969E-8C2C7EAB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3"/>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3 Char Char Char Char,Footnote Text Char1,Footnote Text Char1 Char1 Char,Footnote Text Char2,Footnote Text Char3 Char1 Char Char Char,Footnote Text Char4 Char Char Char,f,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1655F9"/>
    <w:rPr>
      <w:rFonts w:ascii="Segoe UI" w:hAnsi="Segoe UI" w:cs="Segoe UI"/>
      <w:sz w:val="18"/>
      <w:szCs w:val="18"/>
    </w:rPr>
  </w:style>
  <w:style w:type="character" w:customStyle="1" w:styleId="BalloonTextChar">
    <w:name w:val="Balloon Text Char"/>
    <w:link w:val="BalloonText"/>
    <w:rsid w:val="001655F9"/>
    <w:rPr>
      <w:rFonts w:ascii="Segoe UI" w:hAnsi="Segoe UI" w:cs="Segoe UI"/>
      <w:snapToGrid w:val="0"/>
      <w:kern w:val="28"/>
      <w:sz w:val="18"/>
      <w:szCs w:val="18"/>
    </w:rPr>
  </w:style>
  <w:style w:type="character" w:customStyle="1" w:styleId="FootnoteTextChar">
    <w:name w:val="Footnote Text Char"/>
    <w:aliases w:val="Footnote Text Char Char Char1,Footnote Text Char Char3 Char Char Char Char Char1,Footnote Text Char1 Char1 Char Char1,Footnote Text Char2 Char1,Footnote Text Char3 Char1 Char Char Char Char1,Footnote Text Char4 Char Char Char Char1"/>
    <w:link w:val="FootnoteText"/>
    <w:uiPriority w:val="99"/>
    <w:rsid w:val="001655F9"/>
  </w:style>
  <w:style w:type="character" w:customStyle="1" w:styleId="FootnoteTextChar3">
    <w:name w:val="Footnote Text Char3"/>
    <w:aliases w:val="Footnote Text Char Char Char,Footnote Text Char Char3 Char Char Char Char Char,Footnote Text Char1 Char1 Char Char,Footnote Text Char2 Char,Footnote Text Char3 Char1 Char Char Char Char,Footnote Text Char4 Char Char Char Char,f Char"/>
    <w:rsid w:val="00564DE6"/>
  </w:style>
  <w:style w:type="character" w:styleId="CommentReference">
    <w:name w:val="annotation reference"/>
    <w:rsid w:val="00156911"/>
    <w:rPr>
      <w:sz w:val="16"/>
      <w:szCs w:val="16"/>
    </w:rPr>
  </w:style>
  <w:style w:type="paragraph" w:styleId="CommentText">
    <w:name w:val="annotation text"/>
    <w:basedOn w:val="Normal"/>
    <w:link w:val="CommentTextChar"/>
    <w:rsid w:val="00156911"/>
    <w:rPr>
      <w:sz w:val="20"/>
    </w:rPr>
  </w:style>
  <w:style w:type="character" w:customStyle="1" w:styleId="CommentTextChar">
    <w:name w:val="Comment Text Char"/>
    <w:link w:val="CommentText"/>
    <w:rsid w:val="00156911"/>
    <w:rPr>
      <w:snapToGrid w:val="0"/>
      <w:kern w:val="28"/>
    </w:rPr>
  </w:style>
  <w:style w:type="paragraph" w:styleId="CommentSubject">
    <w:name w:val="annotation subject"/>
    <w:basedOn w:val="CommentText"/>
    <w:next w:val="CommentText"/>
    <w:link w:val="CommentSubjectChar"/>
    <w:rsid w:val="00156911"/>
    <w:rPr>
      <w:b/>
      <w:bCs/>
    </w:rPr>
  </w:style>
  <w:style w:type="character" w:customStyle="1" w:styleId="CommentSubjectChar">
    <w:name w:val="Comment Subject Char"/>
    <w:link w:val="CommentSubject"/>
    <w:rsid w:val="00156911"/>
    <w:rPr>
      <w:b/>
      <w:bCs/>
      <w:snapToGrid w:val="0"/>
      <w:kern w:val="28"/>
    </w:rPr>
  </w:style>
  <w:style w:type="character" w:styleId="FollowedHyperlink">
    <w:name w:val="FollowedHyperlink"/>
    <w:rsid w:val="00BF26BE"/>
    <w:rPr>
      <w:color w:val="954F72"/>
      <w:u w:val="single"/>
    </w:rPr>
  </w:style>
  <w:style w:type="character" w:customStyle="1" w:styleId="UnresolvedMention">
    <w:name w:val="Unresolved Mention"/>
    <w:basedOn w:val="DefaultParagraphFont"/>
    <w:uiPriority w:val="99"/>
    <w:unhideWhenUsed/>
    <w:rsid w:val="00CE2266"/>
    <w:rPr>
      <w:color w:val="605E5C"/>
      <w:shd w:val="clear" w:color="auto" w:fill="E1DFDD"/>
    </w:rPr>
  </w:style>
  <w:style w:type="character" w:customStyle="1" w:styleId="Mention">
    <w:name w:val="Mention"/>
    <w:basedOn w:val="DefaultParagraphFont"/>
    <w:uiPriority w:val="99"/>
    <w:unhideWhenUsed/>
    <w:rsid w:val="00CE22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910116334539/FINAL%20-%20HT%20HUBB%20Natural%20Disaster%20Petition%20for%20Waiver%20(9-10-2020).pdf" TargetMode="External" /><Relationship Id="rId2" Type="http://schemas.openxmlformats.org/officeDocument/2006/relationships/hyperlink" Target="https://ecfsapi.fcc.gov/file/10930987110926/Final%20-%20Redacted%20-%20TDS%20Telecom%20-%20California%20Waiver%20Request%209-30-20.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