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1CA5BF5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DAA6CE3" w14:textId="77777777">
      <w:pPr>
        <w:pStyle w:val="StyleBoldCentered"/>
      </w:pPr>
      <w:r>
        <w:t>F</w:t>
      </w:r>
      <w:r>
        <w:rPr>
          <w:caps w:val="0"/>
        </w:rPr>
        <w:t>ederal Communications Commission</w:t>
      </w:r>
    </w:p>
    <w:p w:rsidR="004C2EE3" w:rsidP="00096D8C" w14:paraId="2E1FF2BE" w14:textId="77777777">
      <w:pPr>
        <w:pStyle w:val="StyleBoldCentered"/>
      </w:pPr>
      <w:r>
        <w:rPr>
          <w:caps w:val="0"/>
        </w:rPr>
        <w:t>Washington, D.C. 20554</w:t>
      </w:r>
    </w:p>
    <w:p w:rsidR="004C2EE3" w:rsidP="0070224F" w14:paraId="1AB0384B" w14:textId="77777777"/>
    <w:p w:rsidR="004C2EE3" w:rsidP="0070224F" w14:paraId="756C63D8" w14:textId="77777777"/>
    <w:tbl>
      <w:tblPr>
        <w:tblW w:w="0" w:type="auto"/>
        <w:tblLayout w:type="fixed"/>
        <w:tblLook w:val="0000"/>
      </w:tblPr>
      <w:tblGrid>
        <w:gridCol w:w="4698"/>
        <w:gridCol w:w="630"/>
        <w:gridCol w:w="4248"/>
      </w:tblGrid>
      <w:tr w14:paraId="02E0DD39" w14:textId="77777777">
        <w:tblPrEx>
          <w:tblW w:w="0" w:type="auto"/>
          <w:tblLayout w:type="fixed"/>
          <w:tblLook w:val="0000"/>
        </w:tblPrEx>
        <w:tc>
          <w:tcPr>
            <w:tcW w:w="4698" w:type="dxa"/>
          </w:tcPr>
          <w:p w:rsidR="004C2EE3" w14:paraId="5A3F4410" w14:textId="77777777">
            <w:pPr>
              <w:tabs>
                <w:tab w:val="center" w:pos="4680"/>
              </w:tabs>
              <w:suppressAutoHyphens/>
              <w:rPr>
                <w:spacing w:val="-2"/>
              </w:rPr>
            </w:pPr>
            <w:r>
              <w:rPr>
                <w:spacing w:val="-2"/>
              </w:rPr>
              <w:t>In the Matter of</w:t>
            </w:r>
          </w:p>
          <w:p w:rsidR="004C2EE3" w14:paraId="4822F78C" w14:textId="77777777">
            <w:pPr>
              <w:tabs>
                <w:tab w:val="center" w:pos="4680"/>
              </w:tabs>
              <w:suppressAutoHyphens/>
              <w:rPr>
                <w:spacing w:val="-2"/>
              </w:rPr>
            </w:pPr>
          </w:p>
          <w:p w:rsidR="00E12AC5" w:rsidRPr="00DC3D98" w:rsidP="00E12AC5" w14:paraId="007F989E" w14:textId="77777777">
            <w:pPr>
              <w:tabs>
                <w:tab w:val="center" w:pos="4680"/>
              </w:tabs>
              <w:suppressAutoHyphens/>
              <w:rPr>
                <w:spacing w:val="-2"/>
                <w:szCs w:val="22"/>
              </w:rPr>
            </w:pPr>
            <w:r w:rsidRPr="00DC3D98">
              <w:rPr>
                <w:spacing w:val="-2"/>
                <w:szCs w:val="22"/>
              </w:rPr>
              <w:t>Emergency Broadband Benefit Program</w:t>
            </w:r>
          </w:p>
          <w:p w:rsidR="004C2EE3" w:rsidRPr="007115F7" w:rsidP="007115F7" w14:paraId="3A0EA84F" w14:textId="77777777">
            <w:pPr>
              <w:tabs>
                <w:tab w:val="center" w:pos="4680"/>
              </w:tabs>
              <w:suppressAutoHyphens/>
              <w:rPr>
                <w:spacing w:val="-2"/>
              </w:rPr>
            </w:pPr>
          </w:p>
        </w:tc>
        <w:tc>
          <w:tcPr>
            <w:tcW w:w="630" w:type="dxa"/>
          </w:tcPr>
          <w:p w:rsidR="004C2EE3" w14:paraId="5F5BC068" w14:textId="77777777">
            <w:pPr>
              <w:tabs>
                <w:tab w:val="center" w:pos="4680"/>
              </w:tabs>
              <w:suppressAutoHyphens/>
              <w:rPr>
                <w:b/>
                <w:spacing w:val="-2"/>
              </w:rPr>
            </w:pPr>
            <w:r>
              <w:rPr>
                <w:b/>
                <w:spacing w:val="-2"/>
              </w:rPr>
              <w:t>)</w:t>
            </w:r>
          </w:p>
          <w:p w:rsidR="004C2EE3" w14:paraId="5DF135B0" w14:textId="77777777">
            <w:pPr>
              <w:tabs>
                <w:tab w:val="center" w:pos="4680"/>
              </w:tabs>
              <w:suppressAutoHyphens/>
              <w:rPr>
                <w:b/>
                <w:spacing w:val="-2"/>
              </w:rPr>
            </w:pPr>
            <w:r>
              <w:rPr>
                <w:b/>
                <w:spacing w:val="-2"/>
              </w:rPr>
              <w:t>)</w:t>
            </w:r>
          </w:p>
          <w:p w:rsidR="004C2EE3" w14:paraId="09A58DF6" w14:textId="77777777">
            <w:pPr>
              <w:tabs>
                <w:tab w:val="center" w:pos="4680"/>
              </w:tabs>
              <w:suppressAutoHyphens/>
              <w:rPr>
                <w:b/>
                <w:spacing w:val="-2"/>
              </w:rPr>
            </w:pPr>
            <w:r>
              <w:rPr>
                <w:b/>
                <w:spacing w:val="-2"/>
              </w:rPr>
              <w:t>)</w:t>
            </w:r>
          </w:p>
          <w:p w:rsidR="004C2EE3" w:rsidRPr="00D71074" w14:paraId="2F43D4DC" w14:textId="77777777">
            <w:pPr>
              <w:tabs>
                <w:tab w:val="center" w:pos="4680"/>
              </w:tabs>
              <w:suppressAutoHyphens/>
              <w:rPr>
                <w:b/>
                <w:spacing w:val="-2"/>
              </w:rPr>
            </w:pPr>
          </w:p>
        </w:tc>
        <w:tc>
          <w:tcPr>
            <w:tcW w:w="4248" w:type="dxa"/>
          </w:tcPr>
          <w:p w:rsidR="004C2EE3" w14:paraId="5849C221" w14:textId="77777777">
            <w:pPr>
              <w:tabs>
                <w:tab w:val="center" w:pos="4680"/>
              </w:tabs>
              <w:suppressAutoHyphens/>
              <w:rPr>
                <w:spacing w:val="-2"/>
              </w:rPr>
            </w:pPr>
          </w:p>
          <w:p w:rsidR="004C2EE3" w14:paraId="20A94D66" w14:textId="77777777">
            <w:pPr>
              <w:pStyle w:val="TOAHeading"/>
              <w:tabs>
                <w:tab w:val="center" w:pos="4680"/>
                <w:tab w:val="clear" w:pos="9360"/>
              </w:tabs>
              <w:rPr>
                <w:spacing w:val="-2"/>
              </w:rPr>
            </w:pPr>
          </w:p>
          <w:p w:rsidR="00E12AC5" w:rsidRPr="00DC3D98" w:rsidP="00E12AC5" w14:paraId="1A0AFAA1" w14:textId="77777777">
            <w:pPr>
              <w:tabs>
                <w:tab w:val="center" w:pos="4680"/>
              </w:tabs>
              <w:suppressAutoHyphens/>
              <w:rPr>
                <w:spacing w:val="-2"/>
                <w:szCs w:val="22"/>
              </w:rPr>
            </w:pPr>
            <w:r w:rsidRPr="00DC3D98">
              <w:rPr>
                <w:spacing w:val="-2"/>
                <w:szCs w:val="22"/>
              </w:rPr>
              <w:t>WC Docket No. 20-445</w:t>
            </w:r>
          </w:p>
          <w:p w:rsidR="004C2EE3" w14:paraId="323DAB49" w14:textId="77777777">
            <w:pPr>
              <w:tabs>
                <w:tab w:val="center" w:pos="4680"/>
              </w:tabs>
              <w:suppressAutoHyphens/>
              <w:rPr>
                <w:spacing w:val="-2"/>
              </w:rPr>
            </w:pPr>
          </w:p>
        </w:tc>
      </w:tr>
    </w:tbl>
    <w:p w:rsidR="004C2EE3" w:rsidP="0070224F" w14:paraId="0793950C" w14:textId="77777777"/>
    <w:p w:rsidR="00841AB1" w:rsidP="00F021FA" w14:paraId="43C9AFD3" w14:textId="77777777">
      <w:pPr>
        <w:pStyle w:val="StyleBoldCentered"/>
      </w:pPr>
      <w:r>
        <w:t>order</w:t>
      </w:r>
    </w:p>
    <w:p w:rsidR="004C2EE3" w14:paraId="2B6B008B" w14:textId="77777777">
      <w:pPr>
        <w:tabs>
          <w:tab w:val="left" w:pos="-720"/>
        </w:tabs>
        <w:suppressAutoHyphens/>
        <w:spacing w:line="227" w:lineRule="auto"/>
        <w:rPr>
          <w:spacing w:val="-2"/>
        </w:rPr>
      </w:pPr>
    </w:p>
    <w:p w:rsidR="004C2EE3" w:rsidP="00133F79" w14:paraId="4300A951" w14:textId="20CDC74C">
      <w:pPr>
        <w:tabs>
          <w:tab w:val="left" w:pos="720"/>
          <w:tab w:val="right" w:pos="9360"/>
        </w:tabs>
        <w:suppressAutoHyphens/>
        <w:spacing w:line="227" w:lineRule="auto"/>
        <w:rPr>
          <w:spacing w:val="-2"/>
        </w:rPr>
      </w:pPr>
      <w:r>
        <w:rPr>
          <w:b/>
          <w:spacing w:val="-2"/>
        </w:rPr>
        <w:t xml:space="preserve">Adopted:  </w:t>
      </w:r>
      <w:r w:rsidR="00E32ED9">
        <w:rPr>
          <w:b/>
          <w:spacing w:val="-2"/>
        </w:rPr>
        <w:t>May</w:t>
      </w:r>
      <w:r w:rsidR="00F91A53">
        <w:rPr>
          <w:b/>
          <w:spacing w:val="-2"/>
        </w:rPr>
        <w:t xml:space="preserve"> </w:t>
      </w:r>
      <w:r w:rsidR="00AF7CC8">
        <w:rPr>
          <w:b/>
          <w:spacing w:val="-2"/>
        </w:rPr>
        <w:t>28</w:t>
      </w:r>
      <w:r w:rsidR="00D71074">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32ED9">
        <w:rPr>
          <w:b/>
          <w:spacing w:val="-2"/>
        </w:rPr>
        <w:t>May</w:t>
      </w:r>
      <w:r w:rsidR="00F91A53">
        <w:rPr>
          <w:b/>
          <w:spacing w:val="-2"/>
        </w:rPr>
        <w:t xml:space="preserve"> </w:t>
      </w:r>
      <w:r w:rsidR="00AF7CC8">
        <w:rPr>
          <w:b/>
          <w:spacing w:val="-2"/>
        </w:rPr>
        <w:t>28</w:t>
      </w:r>
      <w:r w:rsidR="00D71074">
        <w:rPr>
          <w:b/>
          <w:spacing w:val="-2"/>
        </w:rPr>
        <w:t>, 2021</w:t>
      </w:r>
    </w:p>
    <w:p w:rsidR="00822CE0" w14:paraId="0B6C5395" w14:textId="77777777"/>
    <w:p w:rsidR="004C2EE3" w14:paraId="55CF35B9" w14:textId="77777777">
      <w:pPr>
        <w:rPr>
          <w:spacing w:val="-2"/>
        </w:rPr>
      </w:pPr>
      <w:r>
        <w:t xml:space="preserve">By </w:t>
      </w:r>
      <w:r w:rsidR="004E4A22">
        <w:t>the</w:t>
      </w:r>
      <w:r w:rsidR="002A2D2E">
        <w:t xml:space="preserve"> </w:t>
      </w:r>
      <w:r w:rsidRPr="00DC3D98" w:rsidR="00D71074">
        <w:rPr>
          <w:szCs w:val="22"/>
        </w:rPr>
        <w:t>Chief, Wireline Competition Bureau</w:t>
      </w:r>
      <w:r>
        <w:rPr>
          <w:spacing w:val="-2"/>
        </w:rPr>
        <w:t>:</w:t>
      </w:r>
    </w:p>
    <w:p w:rsidR="00822CE0" w14:paraId="094CD5B3" w14:textId="77777777">
      <w:pPr>
        <w:rPr>
          <w:spacing w:val="-2"/>
        </w:rPr>
      </w:pPr>
    </w:p>
    <w:p w:rsidR="00D71074" w:rsidRPr="00DC3D98" w:rsidP="00D71074" w14:paraId="63AEDF2F" w14:textId="77777777">
      <w:pPr>
        <w:pStyle w:val="Heading1"/>
        <w:rPr>
          <w:rFonts w:ascii="Times New Roman" w:hAnsi="Times New Roman"/>
          <w:szCs w:val="22"/>
        </w:rPr>
      </w:pPr>
      <w:r w:rsidRPr="00DC3D98">
        <w:rPr>
          <w:rFonts w:ascii="Times New Roman" w:hAnsi="Times New Roman"/>
          <w:szCs w:val="22"/>
        </w:rPr>
        <w:t xml:space="preserve">INTRODUCTION </w:t>
      </w:r>
    </w:p>
    <w:p w:rsidR="00D71074" w:rsidRPr="004D3A48" w:rsidP="00D71074" w14:paraId="46B4FFE4" w14:textId="03109FC0">
      <w:pPr>
        <w:pStyle w:val="ParaNum"/>
      </w:pPr>
      <w:r w:rsidRPr="39E4C78B">
        <w:rPr>
          <w:snapToGrid/>
          <w:color w:val="201F1E"/>
          <w:kern w:val="0"/>
          <w:shd w:val="clear" w:color="auto" w:fill="FFFFFF"/>
        </w:rPr>
        <w:t xml:space="preserve">In this Order, the </w:t>
      </w:r>
      <w:bookmarkStart w:id="0" w:name="_Hlk73092565"/>
      <w:r w:rsidRPr="39E4C78B">
        <w:rPr>
          <w:snapToGrid/>
          <w:color w:val="201F1E"/>
          <w:kern w:val="0"/>
          <w:shd w:val="clear" w:color="auto" w:fill="FFFFFF"/>
        </w:rPr>
        <w:t xml:space="preserve">Wireline Competition Bureau </w:t>
      </w:r>
      <w:r w:rsidRPr="39E4C78B" w:rsidR="003268B7">
        <w:rPr>
          <w:snapToGrid/>
          <w:color w:val="201F1E"/>
          <w:kern w:val="0"/>
          <w:shd w:val="clear" w:color="auto" w:fill="FFFFFF"/>
        </w:rPr>
        <w:t xml:space="preserve">(Bureau) </w:t>
      </w:r>
      <w:r w:rsidRPr="39E4C78B">
        <w:rPr>
          <w:snapToGrid/>
          <w:color w:val="201F1E"/>
          <w:kern w:val="0"/>
          <w:shd w:val="clear" w:color="auto" w:fill="FFFFFF"/>
        </w:rPr>
        <w:t>addresses the petition</w:t>
      </w:r>
      <w:r w:rsidRPr="6043F35D" w:rsidR="10938360">
        <w:rPr>
          <w:color w:val="201F1E"/>
        </w:rPr>
        <w:t>s</w:t>
      </w:r>
      <w:r w:rsidRPr="39E4C78B">
        <w:rPr>
          <w:snapToGrid/>
          <w:color w:val="201F1E"/>
          <w:kern w:val="0"/>
          <w:shd w:val="clear" w:color="auto" w:fill="FFFFFF"/>
        </w:rPr>
        <w:t xml:space="preserve"> of </w:t>
      </w:r>
      <w:r w:rsidRPr="39E4C78B" w:rsidR="00326F35">
        <w:rPr>
          <w:snapToGrid/>
          <w:color w:val="201F1E"/>
          <w:kern w:val="0"/>
          <w:shd w:val="clear" w:color="auto" w:fill="FFFFFF"/>
        </w:rPr>
        <w:t>Cox Communications, Inc. (Cox</w:t>
      </w:r>
      <w:r w:rsidRPr="39E4C78B">
        <w:rPr>
          <w:snapToGrid/>
          <w:color w:val="201F1E"/>
          <w:kern w:val="0"/>
          <w:shd w:val="clear" w:color="auto" w:fill="FFFFFF"/>
        </w:rPr>
        <w:t>)</w:t>
      </w:r>
      <w:r>
        <w:rPr>
          <w:rStyle w:val="FootnoteReference"/>
          <w:snapToGrid/>
          <w:kern w:val="0"/>
          <w:shd w:val="clear" w:color="auto" w:fill="FFFFFF"/>
        </w:rPr>
        <w:footnoteReference w:id="3"/>
      </w:r>
      <w:r w:rsidRPr="2610F889" w:rsidR="002362AD">
        <w:rPr>
          <w:color w:val="201F1E"/>
        </w:rPr>
        <w:t xml:space="preserve"> </w:t>
      </w:r>
      <w:r w:rsidRPr="6043F35D" w:rsidR="728DC358">
        <w:rPr>
          <w:color w:val="201F1E"/>
        </w:rPr>
        <w:t>and the Natio</w:t>
      </w:r>
      <w:r w:rsidRPr="6043F35D" w:rsidR="2BF087B6">
        <w:rPr>
          <w:color w:val="201F1E"/>
        </w:rPr>
        <w:t>na</w:t>
      </w:r>
      <w:r w:rsidRPr="6043F35D" w:rsidR="728DC358">
        <w:rPr>
          <w:color w:val="201F1E"/>
        </w:rPr>
        <w:t>l</w:t>
      </w:r>
      <w:r w:rsidRPr="39E4C78B" w:rsidR="69D42293">
        <w:rPr>
          <w:snapToGrid/>
          <w:color w:val="201F1E"/>
          <w:kern w:val="0"/>
          <w:shd w:val="clear" w:color="auto" w:fill="FFFFFF"/>
        </w:rPr>
        <w:t xml:space="preserve"> </w:t>
      </w:r>
      <w:r w:rsidRPr="6043F35D" w:rsidR="69D42293">
        <w:rPr>
          <w:color w:val="201F1E"/>
        </w:rPr>
        <w:t>Lifeline Association</w:t>
      </w:r>
      <w:r w:rsidRPr="6043F35D" w:rsidR="728DC358">
        <w:rPr>
          <w:color w:val="201F1E"/>
        </w:rPr>
        <w:t xml:space="preserve"> </w:t>
      </w:r>
      <w:r w:rsidRPr="6043F35D" w:rsidR="1CFA1DAA">
        <w:rPr>
          <w:color w:val="201F1E"/>
        </w:rPr>
        <w:t>(</w:t>
      </w:r>
      <w:r w:rsidRPr="6043F35D" w:rsidR="1CFA1DAA">
        <w:rPr>
          <w:color w:val="201F1E"/>
        </w:rPr>
        <w:t>NaLA</w:t>
      </w:r>
      <w:r w:rsidR="002362AD">
        <w:rPr>
          <w:color w:val="201F1E"/>
        </w:rPr>
        <w:t>)</w:t>
      </w:r>
      <w:r>
        <w:rPr>
          <w:rStyle w:val="FootnoteReference"/>
        </w:rPr>
        <w:footnoteReference w:id="4"/>
      </w:r>
      <w:r w:rsidR="000B07FA">
        <w:rPr>
          <w:color w:val="201F1E"/>
        </w:rPr>
        <w:t xml:space="preserve"> (collectively, the Petitioners)</w:t>
      </w:r>
      <w:r w:rsidRPr="6043F35D" w:rsidR="1AA16507">
        <w:rPr>
          <w:color w:val="201F1E"/>
        </w:rPr>
        <w:t xml:space="preserve"> </w:t>
      </w:r>
      <w:r w:rsidRPr="39E4C78B">
        <w:rPr>
          <w:snapToGrid/>
          <w:color w:val="201F1E"/>
          <w:kern w:val="0"/>
          <w:shd w:val="clear" w:color="auto" w:fill="FFFFFF"/>
        </w:rPr>
        <w:t>seeking an expedited grant of a limited waiver of the Emergency Broadband Benefit Program (EBB Program) reimbursement rules (Petition</w:t>
      </w:r>
      <w:r w:rsidRPr="2610F889" w:rsidR="00295AC7">
        <w:rPr>
          <w:color w:val="201F1E"/>
        </w:rPr>
        <w:t>s</w:t>
      </w:r>
      <w:r w:rsidRPr="39E4C78B">
        <w:rPr>
          <w:snapToGrid/>
          <w:color w:val="201F1E"/>
          <w:kern w:val="0"/>
          <w:shd w:val="clear" w:color="auto" w:fill="FFFFFF"/>
        </w:rPr>
        <w:t>)</w:t>
      </w:r>
      <w:r w:rsidRPr="39E4C78B" w:rsidR="003C4E84">
        <w:rPr>
          <w:snapToGrid/>
          <w:color w:val="201F1E"/>
          <w:kern w:val="0"/>
          <w:shd w:val="clear" w:color="auto" w:fill="FFFFFF"/>
        </w:rPr>
        <w:t xml:space="preserve"> as they apply to the connected device discount</w:t>
      </w:r>
      <w:bookmarkEnd w:id="0"/>
      <w:r w:rsidRPr="2610F889" w:rsidR="00E678C5">
        <w:rPr>
          <w:color w:val="201F1E"/>
        </w:rPr>
        <w:t>.</w:t>
      </w:r>
      <w:r w:rsidRPr="39E4C78B" w:rsidR="2B9F10B5">
        <w:rPr>
          <w:snapToGrid/>
          <w:color w:val="201F1E"/>
          <w:kern w:val="0"/>
          <w:shd w:val="clear" w:color="auto" w:fill="FFFFFF"/>
        </w:rPr>
        <w:t xml:space="preserve">  </w:t>
      </w:r>
      <w:r w:rsidRPr="39E4C78B">
        <w:rPr>
          <w:snapToGrid/>
          <w:color w:val="201F1E"/>
          <w:kern w:val="0"/>
          <w:shd w:val="clear" w:color="auto" w:fill="FFFFFF"/>
        </w:rPr>
        <w:t>The Petitioner</w:t>
      </w:r>
      <w:r w:rsidRPr="2610F889" w:rsidR="003223A2">
        <w:rPr>
          <w:color w:val="201F1E"/>
        </w:rPr>
        <w:t>s</w:t>
      </w:r>
      <w:r w:rsidRPr="39E4C78B">
        <w:rPr>
          <w:snapToGrid/>
          <w:color w:val="201F1E"/>
          <w:kern w:val="0"/>
          <w:shd w:val="clear" w:color="auto" w:fill="FFFFFF"/>
        </w:rPr>
        <w:t xml:space="preserve"> request a waiver of the </w:t>
      </w:r>
      <w:r w:rsidRPr="39E4C78B" w:rsidR="00AC1EE0">
        <w:rPr>
          <w:snapToGrid/>
          <w:color w:val="201F1E"/>
          <w:kern w:val="0"/>
          <w:shd w:val="clear" w:color="auto" w:fill="FFFFFF"/>
        </w:rPr>
        <w:t xml:space="preserve">rule that </w:t>
      </w:r>
      <w:r w:rsidRPr="39E4C78B" w:rsidR="005A5091">
        <w:rPr>
          <w:snapToGrid/>
          <w:color w:val="201F1E"/>
          <w:kern w:val="0"/>
          <w:shd w:val="clear" w:color="auto" w:fill="FFFFFF"/>
        </w:rPr>
        <w:t xml:space="preserve">prohibits a </w:t>
      </w:r>
      <w:r w:rsidRPr="39E4C78B" w:rsidR="003F0BAB">
        <w:rPr>
          <w:snapToGrid/>
          <w:color w:val="201F1E"/>
          <w:kern w:val="0"/>
          <w:shd w:val="clear" w:color="auto" w:fill="FFFFFF"/>
        </w:rPr>
        <w:t xml:space="preserve">provider </w:t>
      </w:r>
      <w:r w:rsidRPr="39E4C78B" w:rsidR="005A5091">
        <w:rPr>
          <w:snapToGrid/>
          <w:color w:val="201F1E"/>
          <w:kern w:val="0"/>
          <w:shd w:val="clear" w:color="auto" w:fill="FFFFFF"/>
        </w:rPr>
        <w:t xml:space="preserve">from </w:t>
      </w:r>
      <w:r w:rsidRPr="39E4C78B" w:rsidR="003F0BAB">
        <w:rPr>
          <w:snapToGrid/>
          <w:color w:val="201F1E"/>
          <w:kern w:val="0"/>
          <w:shd w:val="clear" w:color="auto" w:fill="FFFFFF"/>
        </w:rPr>
        <w:t>seek</w:t>
      </w:r>
      <w:r w:rsidRPr="39E4C78B" w:rsidR="005A5091">
        <w:rPr>
          <w:snapToGrid/>
          <w:color w:val="201F1E"/>
          <w:kern w:val="0"/>
          <w:shd w:val="clear" w:color="auto" w:fill="FFFFFF"/>
        </w:rPr>
        <w:t>ing</w:t>
      </w:r>
      <w:r w:rsidRPr="39E4C78B" w:rsidR="003F0BAB">
        <w:rPr>
          <w:snapToGrid/>
          <w:color w:val="201F1E"/>
          <w:kern w:val="0"/>
          <w:shd w:val="clear" w:color="auto" w:fill="FFFFFF"/>
        </w:rPr>
        <w:t xml:space="preserve"> a connected device reimbursement for hous</w:t>
      </w:r>
      <w:r w:rsidRPr="39E4C78B" w:rsidR="00B1288A">
        <w:rPr>
          <w:snapToGrid/>
          <w:color w:val="201F1E"/>
          <w:kern w:val="0"/>
          <w:shd w:val="clear" w:color="auto" w:fill="FFFFFF"/>
        </w:rPr>
        <w:t>e</w:t>
      </w:r>
      <w:r w:rsidRPr="39E4C78B" w:rsidR="003F0BAB">
        <w:rPr>
          <w:snapToGrid/>
          <w:color w:val="201F1E"/>
          <w:kern w:val="0"/>
          <w:shd w:val="clear" w:color="auto" w:fill="FFFFFF"/>
        </w:rPr>
        <w:t xml:space="preserve">holds that are not receiving EBB Program </w:t>
      </w:r>
      <w:r w:rsidRPr="39E4C78B" w:rsidR="00D94E3A">
        <w:rPr>
          <w:snapToGrid/>
          <w:color w:val="201F1E"/>
          <w:kern w:val="0"/>
          <w:shd w:val="clear" w:color="auto" w:fill="FFFFFF"/>
        </w:rPr>
        <w:t>supported service by the same provider</w:t>
      </w:r>
      <w:r w:rsidRPr="2610F889" w:rsidR="00E2643A">
        <w:rPr>
          <w:color w:val="201F1E"/>
        </w:rPr>
        <w:t>.</w:t>
      </w:r>
      <w:r>
        <w:rPr>
          <w:rStyle w:val="FootnoteReference"/>
          <w:snapToGrid/>
          <w:kern w:val="0"/>
          <w:sz w:val="22"/>
          <w:szCs w:val="22"/>
          <w:shd w:val="clear" w:color="auto" w:fill="FFFFFF"/>
        </w:rPr>
        <w:footnoteReference w:id="5"/>
      </w:r>
      <w:r w:rsidRPr="6043F35D">
        <w:rPr>
          <w:color w:val="201F1E"/>
        </w:rPr>
        <w:t xml:space="preserve">  </w:t>
      </w:r>
      <w:r w:rsidR="00126CF1">
        <w:rPr>
          <w:color w:val="201F1E"/>
        </w:rPr>
        <w:t>NaLA</w:t>
      </w:r>
      <w:r w:rsidR="00126CF1">
        <w:rPr>
          <w:color w:val="201F1E"/>
        </w:rPr>
        <w:t xml:space="preserve"> also </w:t>
      </w:r>
      <w:r w:rsidR="00E2532D">
        <w:rPr>
          <w:color w:val="201F1E"/>
        </w:rPr>
        <w:t xml:space="preserve">requests that the Commission direct the Universal Service Administrative Company (USAC) to </w:t>
      </w:r>
      <w:r w:rsidR="006B7F28">
        <w:rPr>
          <w:color w:val="201F1E"/>
        </w:rPr>
        <w:t>update the National Lifeline Accountability Database (NLAD)</w:t>
      </w:r>
      <w:r w:rsidR="00E2532D">
        <w:rPr>
          <w:color w:val="201F1E"/>
        </w:rPr>
        <w:t xml:space="preserve"> to allow providers to </w:t>
      </w:r>
      <w:r w:rsidR="006B7F28">
        <w:rPr>
          <w:color w:val="201F1E"/>
        </w:rPr>
        <w:t>view</w:t>
      </w:r>
      <w:r w:rsidR="00E2532D">
        <w:rPr>
          <w:color w:val="201F1E"/>
        </w:rPr>
        <w:t xml:space="preserve"> whether </w:t>
      </w:r>
      <w:r w:rsidR="006B7F28">
        <w:rPr>
          <w:color w:val="201F1E"/>
        </w:rPr>
        <w:t xml:space="preserve">another provider has enrolled </w:t>
      </w:r>
      <w:r w:rsidR="00A959F9">
        <w:rPr>
          <w:color w:val="201F1E"/>
        </w:rPr>
        <w:t xml:space="preserve">the </w:t>
      </w:r>
      <w:r w:rsidR="00413DCC">
        <w:rPr>
          <w:color w:val="201F1E"/>
        </w:rPr>
        <w:t>household with a connected device or if</w:t>
      </w:r>
      <w:r w:rsidR="00DC3A69">
        <w:rPr>
          <w:color w:val="201F1E"/>
        </w:rPr>
        <w:t xml:space="preserve"> there is a reimbursement claim for a connected device </w:t>
      </w:r>
      <w:r w:rsidR="00D4569D">
        <w:rPr>
          <w:color w:val="201F1E"/>
        </w:rPr>
        <w:t>associated with that household.</w:t>
      </w:r>
      <w:r>
        <w:rPr>
          <w:rStyle w:val="FootnoteReference"/>
        </w:rPr>
        <w:footnoteReference w:id="6"/>
      </w:r>
    </w:p>
    <w:p w:rsidR="00D71074" w:rsidRPr="004D3A48" w:rsidP="00D71074" w14:paraId="28C9A44C" w14:textId="0A53F4DA">
      <w:pPr>
        <w:pStyle w:val="ParaNum"/>
        <w:rPr>
          <w:snapToGrid/>
          <w:kern w:val="0"/>
          <w:szCs w:val="22"/>
        </w:rPr>
      </w:pPr>
      <w:r w:rsidRPr="004D3A48">
        <w:rPr>
          <w:snapToGrid/>
          <w:kern w:val="0"/>
          <w:szCs w:val="22"/>
        </w:rPr>
        <w:t>Based on the Commission’s established waiver standard, we grant the Petition</w:t>
      </w:r>
      <w:r w:rsidR="0078751B">
        <w:rPr>
          <w:snapToGrid/>
          <w:kern w:val="0"/>
          <w:szCs w:val="22"/>
        </w:rPr>
        <w:t>s</w:t>
      </w:r>
      <w:r w:rsidR="000129D1">
        <w:rPr>
          <w:snapToGrid/>
          <w:kern w:val="0"/>
          <w:szCs w:val="22"/>
        </w:rPr>
        <w:t xml:space="preserve"> and </w:t>
      </w:r>
      <w:r w:rsidR="00C5010F">
        <w:rPr>
          <w:snapToGrid/>
          <w:kern w:val="0"/>
          <w:szCs w:val="22"/>
        </w:rPr>
        <w:t xml:space="preserve">extend this waiver to </w:t>
      </w:r>
      <w:r w:rsidR="00607105">
        <w:rPr>
          <w:snapToGrid/>
          <w:kern w:val="0"/>
          <w:szCs w:val="22"/>
        </w:rPr>
        <w:t>the entire</w:t>
      </w:r>
      <w:r w:rsidR="00C5010F">
        <w:rPr>
          <w:snapToGrid/>
          <w:kern w:val="0"/>
          <w:szCs w:val="22"/>
        </w:rPr>
        <w:t xml:space="preserve"> EBB Program</w:t>
      </w:r>
      <w:r w:rsidR="00283FD8">
        <w:rPr>
          <w:snapToGrid/>
          <w:kern w:val="0"/>
          <w:szCs w:val="22"/>
        </w:rPr>
        <w:t xml:space="preserve">.  </w:t>
      </w:r>
      <w:r w:rsidR="00F707CB">
        <w:rPr>
          <w:snapToGrid/>
          <w:kern w:val="0"/>
          <w:szCs w:val="22"/>
        </w:rPr>
        <w:t>This waiver</w:t>
      </w:r>
      <w:r w:rsidR="00C5010F">
        <w:rPr>
          <w:snapToGrid/>
          <w:kern w:val="0"/>
          <w:szCs w:val="22"/>
        </w:rPr>
        <w:t xml:space="preserve"> </w:t>
      </w:r>
      <w:r w:rsidR="00541A85">
        <w:rPr>
          <w:snapToGrid/>
          <w:kern w:val="0"/>
          <w:szCs w:val="22"/>
        </w:rPr>
        <w:t>permit</w:t>
      </w:r>
      <w:r w:rsidR="008E51D2">
        <w:rPr>
          <w:snapToGrid/>
          <w:kern w:val="0"/>
          <w:szCs w:val="22"/>
        </w:rPr>
        <w:t>s</w:t>
      </w:r>
      <w:r w:rsidR="00541A85">
        <w:rPr>
          <w:snapToGrid/>
          <w:kern w:val="0"/>
          <w:szCs w:val="22"/>
        </w:rPr>
        <w:t xml:space="preserve"> all participating providers </w:t>
      </w:r>
      <w:r w:rsidR="00B1288A">
        <w:rPr>
          <w:snapToGrid/>
          <w:kern w:val="0"/>
          <w:szCs w:val="22"/>
        </w:rPr>
        <w:t xml:space="preserve">offering a connected device </w:t>
      </w:r>
      <w:r w:rsidR="00971CCF">
        <w:rPr>
          <w:snapToGrid/>
          <w:kern w:val="0"/>
          <w:szCs w:val="22"/>
        </w:rPr>
        <w:t xml:space="preserve">to submit a reimbursement claim for a connected device discount </w:t>
      </w:r>
      <w:r w:rsidR="00FB579A">
        <w:rPr>
          <w:snapToGrid/>
          <w:kern w:val="0"/>
          <w:szCs w:val="22"/>
        </w:rPr>
        <w:t xml:space="preserve">provided </w:t>
      </w:r>
      <w:r w:rsidR="00067967">
        <w:rPr>
          <w:snapToGrid/>
          <w:kern w:val="0"/>
          <w:szCs w:val="22"/>
        </w:rPr>
        <w:t xml:space="preserve">to </w:t>
      </w:r>
      <w:r w:rsidR="00971CCF">
        <w:rPr>
          <w:snapToGrid/>
          <w:kern w:val="0"/>
          <w:szCs w:val="22"/>
        </w:rPr>
        <w:t xml:space="preserve">a household that </w:t>
      </w:r>
      <w:r w:rsidR="005A5091">
        <w:rPr>
          <w:snapToGrid/>
          <w:kern w:val="0"/>
          <w:szCs w:val="22"/>
        </w:rPr>
        <w:t xml:space="preserve">had been </w:t>
      </w:r>
      <w:r w:rsidR="00454698">
        <w:rPr>
          <w:snapToGrid/>
          <w:kern w:val="0"/>
          <w:szCs w:val="22"/>
        </w:rPr>
        <w:t>receiving an EBB</w:t>
      </w:r>
      <w:r w:rsidR="00067967">
        <w:rPr>
          <w:snapToGrid/>
          <w:kern w:val="0"/>
          <w:szCs w:val="22"/>
        </w:rPr>
        <w:t>-</w:t>
      </w:r>
      <w:r w:rsidR="00454698">
        <w:rPr>
          <w:snapToGrid/>
          <w:kern w:val="0"/>
          <w:szCs w:val="22"/>
        </w:rPr>
        <w:t>supported service from th</w:t>
      </w:r>
      <w:r w:rsidR="00FB579A">
        <w:rPr>
          <w:snapToGrid/>
          <w:kern w:val="0"/>
          <w:szCs w:val="22"/>
        </w:rPr>
        <w:t>at</w:t>
      </w:r>
      <w:r w:rsidR="00454698">
        <w:rPr>
          <w:snapToGrid/>
          <w:kern w:val="0"/>
          <w:szCs w:val="22"/>
        </w:rPr>
        <w:t xml:space="preserve"> provider a</w:t>
      </w:r>
      <w:r w:rsidR="007676AA">
        <w:rPr>
          <w:snapToGrid/>
          <w:kern w:val="0"/>
          <w:szCs w:val="22"/>
        </w:rPr>
        <w:t>t</w:t>
      </w:r>
      <w:r w:rsidR="00454698">
        <w:rPr>
          <w:snapToGrid/>
          <w:kern w:val="0"/>
          <w:szCs w:val="22"/>
        </w:rPr>
        <w:t xml:space="preserve"> the time the device was </w:t>
      </w:r>
      <w:r w:rsidR="001F55BC">
        <w:rPr>
          <w:snapToGrid/>
          <w:kern w:val="0"/>
          <w:szCs w:val="22"/>
        </w:rPr>
        <w:t>supplied</w:t>
      </w:r>
      <w:r w:rsidR="00454698">
        <w:rPr>
          <w:snapToGrid/>
          <w:kern w:val="0"/>
          <w:szCs w:val="22"/>
        </w:rPr>
        <w:t xml:space="preserve"> to the household</w:t>
      </w:r>
      <w:r w:rsidR="001F55BC">
        <w:rPr>
          <w:snapToGrid/>
          <w:kern w:val="0"/>
          <w:szCs w:val="22"/>
        </w:rPr>
        <w:t>,</w:t>
      </w:r>
      <w:r w:rsidR="003E5CDD">
        <w:rPr>
          <w:snapToGrid/>
          <w:kern w:val="0"/>
          <w:szCs w:val="22"/>
        </w:rPr>
        <w:t xml:space="preserve"> even if the household subsequently transferred its benefit to another provider </w:t>
      </w:r>
      <w:r w:rsidR="001B3E02">
        <w:rPr>
          <w:snapToGrid/>
          <w:kern w:val="0"/>
          <w:szCs w:val="22"/>
        </w:rPr>
        <w:t>prior to the snapshot date</w:t>
      </w:r>
      <w:r w:rsidRPr="004D3A48">
        <w:rPr>
          <w:snapToGrid/>
          <w:kern w:val="0"/>
          <w:szCs w:val="22"/>
        </w:rPr>
        <w:t xml:space="preserve">.  </w:t>
      </w:r>
      <w:r w:rsidR="00695535">
        <w:rPr>
          <w:snapToGrid/>
          <w:kern w:val="0"/>
          <w:szCs w:val="22"/>
        </w:rPr>
        <w:t xml:space="preserve">We grant this waiver to remove a disincentive </w:t>
      </w:r>
      <w:r w:rsidR="008A25D4">
        <w:rPr>
          <w:snapToGrid/>
          <w:kern w:val="0"/>
          <w:szCs w:val="22"/>
        </w:rPr>
        <w:t xml:space="preserve">that could </w:t>
      </w:r>
      <w:r w:rsidR="00695535">
        <w:rPr>
          <w:snapToGrid/>
          <w:kern w:val="0"/>
          <w:szCs w:val="22"/>
        </w:rPr>
        <w:t>discourag</w:t>
      </w:r>
      <w:r w:rsidR="008A25D4">
        <w:rPr>
          <w:snapToGrid/>
          <w:kern w:val="0"/>
          <w:szCs w:val="22"/>
        </w:rPr>
        <w:t>e</w:t>
      </w:r>
      <w:r w:rsidR="00695535">
        <w:rPr>
          <w:snapToGrid/>
          <w:kern w:val="0"/>
          <w:szCs w:val="22"/>
        </w:rPr>
        <w:t xml:space="preserve"> </w:t>
      </w:r>
      <w:r w:rsidR="00695535">
        <w:rPr>
          <w:snapToGrid/>
          <w:kern w:val="0"/>
          <w:szCs w:val="22"/>
        </w:rPr>
        <w:t>participating providers from offering connected devices to eligible households</w:t>
      </w:r>
      <w:r w:rsidR="00F4271C">
        <w:rPr>
          <w:snapToGrid/>
          <w:kern w:val="0"/>
          <w:szCs w:val="22"/>
        </w:rPr>
        <w:t xml:space="preserve"> by </w:t>
      </w:r>
      <w:r w:rsidR="008A25D4">
        <w:rPr>
          <w:snapToGrid/>
          <w:kern w:val="0"/>
          <w:szCs w:val="22"/>
        </w:rPr>
        <w:t xml:space="preserve">providing </w:t>
      </w:r>
      <w:r w:rsidR="00F4271C">
        <w:rPr>
          <w:snapToGrid/>
          <w:kern w:val="0"/>
          <w:szCs w:val="22"/>
        </w:rPr>
        <w:t xml:space="preserve">certainty </w:t>
      </w:r>
      <w:r w:rsidR="00B97F0B">
        <w:rPr>
          <w:snapToGrid/>
          <w:kern w:val="0"/>
          <w:szCs w:val="22"/>
        </w:rPr>
        <w:t>as to whether</w:t>
      </w:r>
      <w:r w:rsidR="00F4271C">
        <w:rPr>
          <w:snapToGrid/>
          <w:kern w:val="0"/>
          <w:szCs w:val="22"/>
        </w:rPr>
        <w:t xml:space="preserve"> they will be able to claim reimbursement for </w:t>
      </w:r>
      <w:r w:rsidR="00B97F0B">
        <w:rPr>
          <w:snapToGrid/>
          <w:kern w:val="0"/>
          <w:szCs w:val="22"/>
        </w:rPr>
        <w:t>providing a subscriber with a</w:t>
      </w:r>
      <w:r w:rsidR="00F4271C">
        <w:rPr>
          <w:snapToGrid/>
          <w:kern w:val="0"/>
          <w:szCs w:val="22"/>
        </w:rPr>
        <w:t xml:space="preserve"> discounted connected device</w:t>
      </w:r>
      <w:r w:rsidR="00695535">
        <w:rPr>
          <w:snapToGrid/>
          <w:kern w:val="0"/>
          <w:szCs w:val="22"/>
        </w:rPr>
        <w:t xml:space="preserve">.  </w:t>
      </w:r>
      <w:r w:rsidRPr="004D3A48">
        <w:rPr>
          <w:snapToGrid/>
          <w:kern w:val="0"/>
          <w:szCs w:val="22"/>
        </w:rPr>
        <w:t>We conclude that the Petitioners</w:t>
      </w:r>
      <w:r w:rsidR="002C5C88">
        <w:rPr>
          <w:snapToGrid/>
          <w:kern w:val="0"/>
          <w:szCs w:val="22"/>
        </w:rPr>
        <w:t>’</w:t>
      </w:r>
      <w:r w:rsidRPr="004D3A48">
        <w:rPr>
          <w:snapToGrid/>
          <w:kern w:val="0"/>
          <w:szCs w:val="22"/>
        </w:rPr>
        <w:t xml:space="preserve"> requested limited waiver</w:t>
      </w:r>
      <w:r w:rsidR="00CB5A10">
        <w:rPr>
          <w:snapToGrid/>
          <w:kern w:val="0"/>
          <w:szCs w:val="22"/>
        </w:rPr>
        <w:t xml:space="preserve"> and its application to all EBB Program providers</w:t>
      </w:r>
      <w:r w:rsidRPr="004D3A48">
        <w:rPr>
          <w:snapToGrid/>
          <w:kern w:val="0"/>
          <w:szCs w:val="22"/>
        </w:rPr>
        <w:t xml:space="preserve"> </w:t>
      </w:r>
      <w:r w:rsidR="00843E40">
        <w:rPr>
          <w:snapToGrid/>
          <w:kern w:val="0"/>
          <w:szCs w:val="22"/>
        </w:rPr>
        <w:t xml:space="preserve">is consistent with </w:t>
      </w:r>
      <w:r w:rsidR="00E85FCD">
        <w:rPr>
          <w:snapToGrid/>
          <w:kern w:val="0"/>
          <w:szCs w:val="22"/>
        </w:rPr>
        <w:t xml:space="preserve">the Program’s statutory </w:t>
      </w:r>
      <w:r w:rsidR="005A5091">
        <w:rPr>
          <w:snapToGrid/>
          <w:kern w:val="0"/>
          <w:szCs w:val="22"/>
        </w:rPr>
        <w:t xml:space="preserve">requirements </w:t>
      </w:r>
      <w:r w:rsidR="00042400">
        <w:rPr>
          <w:snapToGrid/>
          <w:kern w:val="0"/>
          <w:szCs w:val="22"/>
        </w:rPr>
        <w:t xml:space="preserve">and will serve the </w:t>
      </w:r>
      <w:r w:rsidRPr="004D3A48">
        <w:rPr>
          <w:snapToGrid/>
          <w:kern w:val="0"/>
          <w:szCs w:val="22"/>
        </w:rPr>
        <w:t>public interest</w:t>
      </w:r>
      <w:r w:rsidRPr="004D3A48">
        <w:rPr>
          <w:szCs w:val="22"/>
        </w:rPr>
        <w:t>.</w:t>
      </w:r>
      <w:r w:rsidRPr="004D3A48">
        <w:rPr>
          <w:snapToGrid/>
          <w:kern w:val="0"/>
          <w:szCs w:val="22"/>
        </w:rPr>
        <w:t xml:space="preserve"> </w:t>
      </w:r>
    </w:p>
    <w:p w:rsidR="00D71074" w:rsidRPr="004D3A48" w:rsidP="00D71074" w14:paraId="5AB0C29C" w14:textId="77777777">
      <w:pPr>
        <w:pStyle w:val="Heading1"/>
        <w:rPr>
          <w:rFonts w:ascii="Times New Roman" w:hAnsi="Times New Roman"/>
          <w:snapToGrid/>
          <w:color w:val="201F1E"/>
          <w:kern w:val="0"/>
          <w:szCs w:val="22"/>
          <w:shd w:val="clear" w:color="auto" w:fill="FFFFFF"/>
        </w:rPr>
      </w:pPr>
      <w:r w:rsidRPr="004D3A48">
        <w:rPr>
          <w:rFonts w:ascii="Times New Roman" w:hAnsi="Times New Roman"/>
          <w:snapToGrid/>
          <w:color w:val="201F1E"/>
          <w:kern w:val="0"/>
          <w:szCs w:val="22"/>
          <w:shd w:val="clear" w:color="auto" w:fill="FFFFFF"/>
        </w:rPr>
        <w:t xml:space="preserve">BACKGROUND </w:t>
      </w:r>
    </w:p>
    <w:p w:rsidR="00D71074" w:rsidRPr="004D3A48" w:rsidP="00D71074" w14:paraId="4A26D40E" w14:textId="20ADD05F">
      <w:pPr>
        <w:pStyle w:val="ParaNum"/>
      </w:pPr>
      <w:r w:rsidRPr="05EB61F6">
        <w:rPr>
          <w:snapToGrid/>
        </w:rPr>
        <w:t>On December 27, 2020, the Consolidated Appropriations Act of 2021 (Consolidated Appropriations Act) became law</w:t>
      </w:r>
      <w:r>
        <w:rPr>
          <w:rStyle w:val="FootnoteReference"/>
          <w:snapToGrid/>
          <w:sz w:val="22"/>
          <w:szCs w:val="22"/>
        </w:rPr>
        <w:footnoteReference w:id="7"/>
      </w:r>
      <w:r w:rsidRPr="05EB61F6">
        <w:rPr>
          <w:snapToGrid/>
        </w:rPr>
        <w:t xml:space="preserve"> and established an Emergency Broadband Connectivity Fund of $3.2 billion in the United States Treasury to help Americans afford Internet service during the COVID-19 pandemic.</w:t>
      </w:r>
      <w:r>
        <w:rPr>
          <w:rStyle w:val="FootnoteReference"/>
          <w:snapToGrid/>
          <w:sz w:val="22"/>
          <w:szCs w:val="22"/>
        </w:rPr>
        <w:footnoteReference w:id="8"/>
      </w:r>
      <w:r w:rsidRPr="05EB61F6">
        <w:rPr>
          <w:snapToGrid/>
        </w:rPr>
        <w:t xml:space="preserve">  The Act directed the Federal</w:t>
      </w:r>
      <w:r w:rsidRPr="004D3A48">
        <w:rPr>
          <w:szCs w:val="22"/>
        </w:rPr>
        <w:t xml:space="preserve"> </w:t>
      </w:r>
      <w:r w:rsidRPr="05EB61F6">
        <w:rPr>
          <w:snapToGrid/>
        </w:rPr>
        <w:t xml:space="preserve">Communications Commission (Commission) to use that fund to establish </w:t>
      </w:r>
      <w:r w:rsidRPr="05EB61F6" w:rsidR="00CC2559">
        <w:rPr>
          <w:snapToGrid/>
        </w:rPr>
        <w:t>the</w:t>
      </w:r>
      <w:r w:rsidRPr="05EB61F6">
        <w:rPr>
          <w:snapToGrid/>
        </w:rPr>
        <w:t xml:space="preserve"> EBB Program, under which eligible households may receive a discount off the cost of broadband </w:t>
      </w:r>
      <w:r w:rsidRPr="05EB61F6">
        <w:rPr>
          <w:snapToGrid/>
          <w:kern w:val="0"/>
        </w:rPr>
        <w:t>service and certain connected devices during an emergency period relating to the COVID-19 pandemic, and participating providers can receive a reimbursement for providing such discounts.</w:t>
      </w:r>
      <w:r>
        <w:rPr>
          <w:rStyle w:val="FootnoteReference"/>
          <w:snapToGrid/>
          <w:kern w:val="0"/>
          <w:sz w:val="22"/>
          <w:szCs w:val="22"/>
        </w:rPr>
        <w:footnoteReference w:id="9"/>
      </w:r>
      <w:r w:rsidRPr="05EB61F6">
        <w:rPr>
          <w:snapToGrid/>
          <w:kern w:val="0"/>
        </w:rPr>
        <w:t xml:space="preserve">  The EBB Program will conclude when the fund is expended or six months after the end of the public health emergency.</w:t>
      </w:r>
      <w:r>
        <w:rPr>
          <w:rStyle w:val="FootnoteReference"/>
          <w:snapToGrid/>
          <w:kern w:val="0"/>
          <w:sz w:val="22"/>
          <w:szCs w:val="22"/>
        </w:rPr>
        <w:footnoteReference w:id="10"/>
      </w:r>
      <w:r w:rsidRPr="004D3A48">
        <w:rPr>
          <w:snapToGrid/>
          <w:kern w:val="0"/>
          <w:szCs w:val="22"/>
        </w:rPr>
        <w:t xml:space="preserve">  </w:t>
      </w:r>
      <w:r w:rsidRPr="05EB61F6">
        <w:t>On January 4, 2021, the Bureau sought comment on how the Commission should implement the EBB Program.</w:t>
      </w:r>
      <w:r>
        <w:rPr>
          <w:rStyle w:val="FootnoteReference"/>
          <w:sz w:val="22"/>
          <w:szCs w:val="22"/>
        </w:rPr>
        <w:footnoteReference w:id="11"/>
      </w:r>
    </w:p>
    <w:p w:rsidR="00D71074" w:rsidP="00D71074" w14:paraId="4EA200D1" w14:textId="5D571840">
      <w:pPr>
        <w:pStyle w:val="ParaNum"/>
      </w:pPr>
      <w:r w:rsidRPr="05EB61F6">
        <w:t xml:space="preserve">On February 25, 2021, the Commission adopted rules and policies creating and governing the EBB Program pursuant to the </w:t>
      </w:r>
      <w:r w:rsidRPr="05EB61F6">
        <w:rPr>
          <w:snapToGrid/>
        </w:rPr>
        <w:t xml:space="preserve">Consolidated Appropriations </w:t>
      </w:r>
      <w:r w:rsidRPr="05EB61F6">
        <w:t xml:space="preserve">Act in the </w:t>
      </w:r>
      <w:r w:rsidRPr="05EB61F6">
        <w:rPr>
          <w:i/>
          <w:iCs/>
        </w:rPr>
        <w:t>EBB Program Order</w:t>
      </w:r>
      <w:r w:rsidRPr="004D3A48">
        <w:rPr>
          <w:szCs w:val="22"/>
        </w:rPr>
        <w:t>.</w:t>
      </w:r>
      <w:r>
        <w:rPr>
          <w:rStyle w:val="FootnoteReference"/>
          <w:sz w:val="22"/>
          <w:szCs w:val="22"/>
        </w:rPr>
        <w:footnoteReference w:id="12"/>
      </w:r>
      <w:r w:rsidRPr="05EB61F6">
        <w:t xml:space="preserve">  The EBB Program uses available funding from the Emergency Broadband Connectivity Fund to provide funding for broadband service and connected devices for low-income households during the COVID-19 pandemic.</w:t>
      </w:r>
      <w:r>
        <w:rPr>
          <w:rStyle w:val="FootnoteReference"/>
          <w:sz w:val="22"/>
          <w:szCs w:val="22"/>
        </w:rPr>
        <w:footnoteReference w:id="13"/>
      </w:r>
      <w:r w:rsidRPr="05EB61F6">
        <w:t xml:space="preserve">  To participate in the Program, a broadband </w:t>
      </w:r>
      <w:r>
        <w:t>provider must elect to do so and either be designated as an eligible telecommunications carrier (ETC) or be approved by the Commission.</w:t>
      </w:r>
      <w:r>
        <w:rPr>
          <w:rStyle w:val="FootnoteReference"/>
        </w:rPr>
        <w:footnoteReference w:id="14"/>
      </w:r>
      <w:r>
        <w:t xml:space="preserve">  Participating providers will make available to eligible households a monthly discount off the standard rate for an Internet service offering and associated equipment, up to $50.00 per month.</w:t>
      </w:r>
      <w:r>
        <w:rPr>
          <w:rStyle w:val="FootnoteReference"/>
        </w:rPr>
        <w:footnoteReference w:id="15"/>
      </w:r>
      <w:r>
        <w:t xml:space="preserve">  On Tribal lands, the monthly discount may be up to $75.00 per month.</w:t>
      </w:r>
      <w:r>
        <w:rPr>
          <w:rStyle w:val="FootnoteReference"/>
        </w:rPr>
        <w:footnoteReference w:id="16"/>
      </w:r>
      <w:r>
        <w:t xml:space="preserve">  Participating providers will receive reimbursement from the EBB Program for the discounts </w:t>
      </w:r>
      <w:r w:rsidR="00F93162">
        <w:t xml:space="preserve">passed through to </w:t>
      </w:r>
      <w:r w:rsidR="00C33A57">
        <w:t>eligible households</w:t>
      </w:r>
      <w:r>
        <w:t>.</w:t>
      </w:r>
      <w:r>
        <w:rPr>
          <w:rStyle w:val="FootnoteReference"/>
        </w:rPr>
        <w:footnoteReference w:id="17"/>
      </w:r>
      <w:r>
        <w:t xml:space="preserve">  Participating providers that also supply an eligible household with a connected device, defined in the </w:t>
      </w:r>
      <w:r w:rsidRPr="001304AF">
        <w:rPr>
          <w:snapToGrid/>
        </w:rPr>
        <w:t xml:space="preserve">Consolidated Appropriations </w:t>
      </w:r>
      <w:r w:rsidRPr="00607EF6">
        <w:t>Act</w:t>
      </w:r>
      <w:r>
        <w:t xml:space="preserve"> as a laptop, desktop computer, or tablet, for use during the emergency period may receive a single reimbursement of up to $100.00 for the connected device, if the charge to the eligible </w:t>
      </w:r>
      <w:r>
        <w:t>household for that device is more than $10.00 but less than $50.00.</w:t>
      </w:r>
      <w:r>
        <w:rPr>
          <w:rStyle w:val="FootnoteReference"/>
        </w:rPr>
        <w:footnoteReference w:id="18"/>
      </w:r>
      <w:r>
        <w:t xml:space="preserve">  A participating provider may receive reimbursement for only one supported device per eligible household</w:t>
      </w:r>
      <w:r>
        <w:rPr>
          <w:rStyle w:val="FootnoteReference"/>
        </w:rPr>
        <w:footnoteReference w:id="19"/>
      </w:r>
      <w:r>
        <w:t xml:space="preserve"> and must submit certain certifications to the Commission to receive reimbursement.</w:t>
      </w:r>
      <w:r>
        <w:rPr>
          <w:rStyle w:val="FootnoteReference"/>
        </w:rPr>
        <w:footnoteReference w:id="20"/>
      </w:r>
    </w:p>
    <w:p w:rsidR="00484270" w:rsidRPr="00144AC2" w:rsidP="00F91A53" w14:paraId="6A67F940" w14:textId="70AD9C04">
      <w:pPr>
        <w:pStyle w:val="ParaNum"/>
        <w:widowControl/>
      </w:pPr>
      <w:r>
        <w:t xml:space="preserve">Reimbursement claims for the EBB Program will be based on the number of Program subscribers enrolled with each provider in the </w:t>
      </w:r>
      <w:r w:rsidR="00852A00">
        <w:t xml:space="preserve">NLAD </w:t>
      </w:r>
      <w:r>
        <w:t>as of the first day of each month.</w:t>
      </w:r>
      <w:r>
        <w:rPr>
          <w:rStyle w:val="FootnoteReference"/>
        </w:rPr>
        <w:footnoteReference w:id="21"/>
      </w:r>
      <w:r>
        <w:t xml:space="preserve"> </w:t>
      </w:r>
      <w:r w:rsidR="005E0775">
        <w:t xml:space="preserve"> </w:t>
      </w:r>
      <w:r>
        <w:t>I</w:t>
      </w:r>
      <w:r w:rsidRPr="05EB61F6">
        <w:rPr>
          <w:snapToGrid/>
          <w:color w:val="000000"/>
        </w:rPr>
        <w:t xml:space="preserve">n order to receive reimbursement, </w:t>
      </w:r>
      <w:r>
        <w:t xml:space="preserve">providers must then submit certified </w:t>
      </w:r>
      <w:r w:rsidRPr="05EB61F6">
        <w:rPr>
          <w:snapToGrid/>
          <w:color w:val="000000"/>
        </w:rPr>
        <w:t>reimbursement claims through the Lifeline Claims System by the 15</w:t>
      </w:r>
      <w:r w:rsidRPr="05EB61F6">
        <w:rPr>
          <w:snapToGrid/>
          <w:color w:val="000000"/>
          <w:vertAlign w:val="superscript"/>
        </w:rPr>
        <w:t>th</w:t>
      </w:r>
      <w:r w:rsidRPr="05EB61F6">
        <w:rPr>
          <w:snapToGrid/>
          <w:color w:val="000000"/>
        </w:rPr>
        <w:t xml:space="preserve"> of each month, or the following business day in the event the 15</w:t>
      </w:r>
      <w:r w:rsidRPr="05EB61F6">
        <w:rPr>
          <w:snapToGrid/>
          <w:color w:val="000000"/>
          <w:vertAlign w:val="superscript"/>
        </w:rPr>
        <w:t>th</w:t>
      </w:r>
      <w:r w:rsidRPr="05EB61F6">
        <w:rPr>
          <w:snapToGrid/>
          <w:color w:val="000000"/>
        </w:rPr>
        <w:t xml:space="preserve"> is a holiday or falls on a weekend.</w:t>
      </w:r>
      <w:r>
        <w:rPr>
          <w:rStyle w:val="FootnoteReference"/>
          <w:snapToGrid/>
        </w:rPr>
        <w:footnoteReference w:id="22"/>
      </w:r>
      <w:r w:rsidRPr="05EB61F6">
        <w:rPr>
          <w:snapToGrid/>
          <w:color w:val="000000"/>
        </w:rPr>
        <w:t xml:space="preserve">  </w:t>
      </w:r>
      <w:r w:rsidRPr="05EB61F6" w:rsidR="004E1DB4">
        <w:rPr>
          <w:snapToGrid/>
          <w:color w:val="000000"/>
        </w:rPr>
        <w:t xml:space="preserve">Claims for </w:t>
      </w:r>
      <w:r w:rsidRPr="05EB61F6" w:rsidR="00D20E65">
        <w:rPr>
          <w:snapToGrid/>
          <w:color w:val="000000"/>
        </w:rPr>
        <w:t>reimbursement of the connected device discount are limited to</w:t>
      </w:r>
      <w:r w:rsidRPr="05EB61F6" w:rsidR="0007613C">
        <w:rPr>
          <w:snapToGrid/>
          <w:color w:val="000000"/>
        </w:rPr>
        <w:t xml:space="preserve"> those providers that are </w:t>
      </w:r>
      <w:r w:rsidRPr="05EB61F6" w:rsidR="00127CBF">
        <w:rPr>
          <w:snapToGrid/>
          <w:color w:val="000000"/>
        </w:rPr>
        <w:t xml:space="preserve">providing EBB </w:t>
      </w:r>
      <w:r w:rsidRPr="05EB61F6" w:rsidR="0004550F">
        <w:rPr>
          <w:snapToGrid/>
          <w:color w:val="000000"/>
        </w:rPr>
        <w:t>service to the household</w:t>
      </w:r>
      <w:r w:rsidRPr="05EB61F6" w:rsidR="00FE5A84">
        <w:rPr>
          <w:snapToGrid/>
          <w:color w:val="000000"/>
        </w:rPr>
        <w:t>.</w:t>
      </w:r>
      <w:r>
        <w:rPr>
          <w:rStyle w:val="FootnoteReference"/>
          <w:snapToGrid/>
        </w:rPr>
        <w:footnoteReference w:id="23"/>
      </w:r>
      <w:r w:rsidRPr="05EB61F6" w:rsidR="00FE5A84">
        <w:rPr>
          <w:snapToGrid/>
          <w:color w:val="000000"/>
        </w:rPr>
        <w:t xml:space="preserve"> </w:t>
      </w:r>
      <w:r w:rsidRPr="05EB61F6" w:rsidR="00F36AAE">
        <w:rPr>
          <w:snapToGrid/>
          <w:color w:val="000000"/>
        </w:rPr>
        <w:t xml:space="preserve"> </w:t>
      </w:r>
      <w:r w:rsidRPr="05EB61F6" w:rsidR="0069587D">
        <w:rPr>
          <w:snapToGrid/>
          <w:color w:val="000000"/>
        </w:rPr>
        <w:t xml:space="preserve">The </w:t>
      </w:r>
      <w:r w:rsidRPr="05EB61F6" w:rsidR="0069587D">
        <w:rPr>
          <w:i/>
          <w:iCs/>
          <w:snapToGrid/>
          <w:color w:val="000000"/>
        </w:rPr>
        <w:t>EBB Program Order</w:t>
      </w:r>
      <w:r w:rsidRPr="05EB61F6" w:rsidR="0069587D">
        <w:rPr>
          <w:snapToGrid/>
          <w:color w:val="000000"/>
        </w:rPr>
        <w:t xml:space="preserve"> specifi</w:t>
      </w:r>
      <w:r w:rsidRPr="05EB61F6" w:rsidR="00C644BA">
        <w:rPr>
          <w:snapToGrid/>
          <w:color w:val="000000"/>
        </w:rPr>
        <w:t xml:space="preserve">es that providers submitting claims for connected devices must do so </w:t>
      </w:r>
      <w:r w:rsidRPr="05EB61F6" w:rsidR="00F97FF7">
        <w:rPr>
          <w:snapToGrid/>
          <w:color w:val="000000"/>
        </w:rPr>
        <w:t xml:space="preserve">concurrent with or after the provider’s first reimbursement claim for service support passed through to that </w:t>
      </w:r>
      <w:r w:rsidRPr="05EB61F6" w:rsidR="00D83AC1">
        <w:rPr>
          <w:snapToGrid/>
          <w:color w:val="000000"/>
        </w:rPr>
        <w:t>household.</w:t>
      </w:r>
      <w:r>
        <w:rPr>
          <w:rStyle w:val="FootnoteReference"/>
          <w:snapToGrid/>
        </w:rPr>
        <w:footnoteReference w:id="24"/>
      </w:r>
      <w:r w:rsidRPr="05EB61F6" w:rsidR="00FE5A84">
        <w:rPr>
          <w:snapToGrid/>
          <w:color w:val="000000"/>
        </w:rPr>
        <w:t xml:space="preserve"> </w:t>
      </w:r>
      <w:r w:rsidRPr="05EB61F6" w:rsidR="00F36AAE">
        <w:rPr>
          <w:snapToGrid/>
          <w:color w:val="000000"/>
        </w:rPr>
        <w:t xml:space="preserve"> </w:t>
      </w:r>
      <w:r w:rsidRPr="05EB61F6" w:rsidR="000445AB">
        <w:rPr>
          <w:snapToGrid/>
          <w:color w:val="000000"/>
        </w:rPr>
        <w:t xml:space="preserve">Before submitting a reimbursement claim, providers are required </w:t>
      </w:r>
      <w:r w:rsidRPr="05EB61F6" w:rsidR="00852A00">
        <w:rPr>
          <w:color w:val="000000" w:themeColor="text1"/>
        </w:rPr>
        <w:t xml:space="preserve">to </w:t>
      </w:r>
      <w:r w:rsidRPr="05EB61F6" w:rsidR="003F6D92">
        <w:rPr>
          <w:snapToGrid/>
          <w:color w:val="000000"/>
        </w:rPr>
        <w:t xml:space="preserve">confirm in </w:t>
      </w:r>
      <w:r w:rsidRPr="05EB61F6" w:rsidR="00510637">
        <w:rPr>
          <w:snapToGrid/>
          <w:color w:val="000000"/>
        </w:rPr>
        <w:t xml:space="preserve">the NLAD that </w:t>
      </w:r>
      <w:r w:rsidRPr="05EB61F6" w:rsidR="00AE4A90">
        <w:rPr>
          <w:snapToGrid/>
          <w:color w:val="000000"/>
        </w:rPr>
        <w:t xml:space="preserve">no </w:t>
      </w:r>
      <w:r w:rsidRPr="05EB61F6" w:rsidR="00333232">
        <w:rPr>
          <w:snapToGrid/>
          <w:color w:val="000000"/>
        </w:rPr>
        <w:t>reimbursement claim has been made for a connected device for the</w:t>
      </w:r>
      <w:r w:rsidRPr="05EB61F6" w:rsidR="00803FDE">
        <w:rPr>
          <w:snapToGrid/>
          <w:color w:val="000000"/>
        </w:rPr>
        <w:t xml:space="preserve"> household</w:t>
      </w:r>
      <w:r w:rsidRPr="05EB61F6" w:rsidR="00852A00">
        <w:rPr>
          <w:color w:val="000000" w:themeColor="text1"/>
        </w:rPr>
        <w:t>,</w:t>
      </w:r>
      <w:r>
        <w:rPr>
          <w:rStyle w:val="FootnoteReference"/>
          <w:snapToGrid/>
        </w:rPr>
        <w:footnoteReference w:id="25"/>
      </w:r>
      <w:r w:rsidRPr="05EB61F6" w:rsidR="00803FDE">
        <w:rPr>
          <w:snapToGrid/>
          <w:color w:val="000000"/>
        </w:rPr>
        <w:t xml:space="preserve"> and </w:t>
      </w:r>
      <w:r w:rsidRPr="05EB61F6" w:rsidR="000445AB">
        <w:rPr>
          <w:snapToGrid/>
          <w:color w:val="000000"/>
        </w:rPr>
        <w:t>to</w:t>
      </w:r>
      <w:r w:rsidRPr="05EB61F6" w:rsidR="00575B02">
        <w:rPr>
          <w:snapToGrid/>
          <w:color w:val="000000"/>
        </w:rPr>
        <w:t xml:space="preserve"> certify to the accuracy </w:t>
      </w:r>
      <w:r w:rsidRPr="05EB61F6" w:rsidR="00FE4E50">
        <w:rPr>
          <w:snapToGrid/>
          <w:color w:val="000000"/>
        </w:rPr>
        <w:t xml:space="preserve">of their claim </w:t>
      </w:r>
      <w:r w:rsidRPr="05EB61F6" w:rsidR="0097119A">
        <w:rPr>
          <w:snapToGrid/>
          <w:color w:val="000000"/>
        </w:rPr>
        <w:t>and compliance with EBB Program rules.</w:t>
      </w:r>
      <w:r>
        <w:rPr>
          <w:rStyle w:val="FootnoteReference"/>
          <w:snapToGrid/>
        </w:rPr>
        <w:footnoteReference w:id="26"/>
      </w:r>
      <w:r w:rsidRPr="05EB61F6" w:rsidR="00D04290">
        <w:rPr>
          <w:snapToGrid/>
          <w:color w:val="000000"/>
        </w:rPr>
        <w:t xml:space="preserve">  With respect to connected device claims, a provider </w:t>
      </w:r>
      <w:r w:rsidRPr="05EB61F6" w:rsidR="00852A00">
        <w:rPr>
          <w:color w:val="000000" w:themeColor="text1"/>
        </w:rPr>
        <w:t xml:space="preserve">must </w:t>
      </w:r>
      <w:r w:rsidRPr="05EB61F6" w:rsidR="00767E99">
        <w:rPr>
          <w:snapToGrid/>
          <w:color w:val="000000"/>
        </w:rPr>
        <w:t xml:space="preserve">certify that each eligible household </w:t>
      </w:r>
      <w:r w:rsidRPr="05EB61F6" w:rsidR="008D78A6">
        <w:rPr>
          <w:snapToGrid/>
          <w:color w:val="000000"/>
        </w:rPr>
        <w:t xml:space="preserve">for which the provider is seeking reimbursement for supplying a connected device </w:t>
      </w:r>
      <w:r w:rsidRPr="05EB61F6" w:rsidR="009B53D8">
        <w:rPr>
          <w:snapToGrid/>
          <w:color w:val="000000"/>
        </w:rPr>
        <w:t>was cha</w:t>
      </w:r>
      <w:r w:rsidRPr="05EB61F6" w:rsidR="000329C1">
        <w:rPr>
          <w:snapToGrid/>
          <w:color w:val="000000"/>
        </w:rPr>
        <w:t>r</w:t>
      </w:r>
      <w:r w:rsidRPr="05EB61F6" w:rsidR="009B53D8">
        <w:rPr>
          <w:snapToGrid/>
          <w:color w:val="000000"/>
        </w:rPr>
        <w:t>ged by the provider a co-pay of more than $10.00 but less than $50.00 for the device</w:t>
      </w:r>
      <w:r w:rsidR="00BA0A67">
        <w:rPr>
          <w:snapToGrid/>
          <w:color w:val="000000"/>
        </w:rPr>
        <w:t>.</w:t>
      </w:r>
      <w:r w:rsidR="00A75D7B">
        <w:rPr>
          <w:snapToGrid/>
          <w:color w:val="000000"/>
        </w:rPr>
        <w:t xml:space="preserve"> </w:t>
      </w:r>
      <w:r>
        <w:rPr>
          <w:rStyle w:val="FootnoteReference"/>
          <w:snapToGrid/>
        </w:rPr>
        <w:footnoteReference w:id="27"/>
      </w:r>
      <w:r w:rsidRPr="05EB61F6" w:rsidR="00BF3333">
        <w:rPr>
          <w:snapToGrid/>
          <w:color w:val="000000"/>
        </w:rPr>
        <w:t xml:space="preserve"> </w:t>
      </w:r>
      <w:r w:rsidR="00BA0A67">
        <w:rPr>
          <w:snapToGrid/>
          <w:color w:val="000000"/>
        </w:rPr>
        <w:t xml:space="preserve"> The provider must further certify </w:t>
      </w:r>
      <w:r w:rsidR="00A75D7B">
        <w:rPr>
          <w:snapToGrid/>
          <w:color w:val="000000"/>
        </w:rPr>
        <w:t>t</w:t>
      </w:r>
      <w:r w:rsidR="005F47F0">
        <w:rPr>
          <w:snapToGrid/>
          <w:color w:val="000000"/>
        </w:rPr>
        <w:t>hat</w:t>
      </w:r>
      <w:r w:rsidR="00BA0A67">
        <w:rPr>
          <w:snapToGrid/>
          <w:color w:val="000000"/>
        </w:rPr>
        <w:t>:</w:t>
      </w:r>
      <w:r w:rsidR="0073629B">
        <w:rPr>
          <w:snapToGrid/>
          <w:color w:val="000000"/>
        </w:rPr>
        <w:t xml:space="preserve"> </w:t>
      </w:r>
      <w:r w:rsidRPr="0073629B" w:rsidR="0073629B">
        <w:rPr>
          <w:snapToGrid/>
          <w:color w:val="000000"/>
        </w:rPr>
        <w:t>no such household had already received a reimbursable connected device from the participating provider or any other participating provider when the connected device was distributed to the household</w:t>
      </w:r>
      <w:r w:rsidR="00BA0A67">
        <w:rPr>
          <w:snapToGrid/>
          <w:color w:val="000000"/>
        </w:rPr>
        <w:t>;</w:t>
      </w:r>
      <w:r>
        <w:rPr>
          <w:rStyle w:val="FootnoteReference"/>
          <w:snapToGrid/>
        </w:rPr>
        <w:footnoteReference w:id="28"/>
      </w:r>
      <w:r w:rsidRPr="05EB61F6" w:rsidR="00F17374">
        <w:rPr>
          <w:snapToGrid/>
          <w:color w:val="000000"/>
        </w:rPr>
        <w:t xml:space="preserve"> the device meets </w:t>
      </w:r>
      <w:r w:rsidRPr="05EB61F6" w:rsidR="005F74FC">
        <w:rPr>
          <w:snapToGrid/>
          <w:color w:val="000000"/>
        </w:rPr>
        <w:t>the Commission’s requirements</w:t>
      </w:r>
      <w:r w:rsidR="00BA0A67">
        <w:rPr>
          <w:snapToGrid/>
          <w:color w:val="000000"/>
        </w:rPr>
        <w:t>;</w:t>
      </w:r>
      <w:r w:rsidRPr="05EB61F6" w:rsidR="005F74FC">
        <w:rPr>
          <w:snapToGrid/>
          <w:color w:val="000000"/>
        </w:rPr>
        <w:t xml:space="preserve"> the amount claimed reflects the market value of the device</w:t>
      </w:r>
      <w:r w:rsidR="00BA0A67">
        <w:rPr>
          <w:snapToGrid/>
          <w:color w:val="000000"/>
        </w:rPr>
        <w:t>;</w:t>
      </w:r>
      <w:r w:rsidRPr="05EB61F6" w:rsidR="001947A6">
        <w:rPr>
          <w:snapToGrid/>
          <w:color w:val="000000"/>
        </w:rPr>
        <w:t xml:space="preserve"> </w:t>
      </w:r>
      <w:r w:rsidRPr="05EB61F6" w:rsidR="005F74FC">
        <w:rPr>
          <w:snapToGrid/>
          <w:color w:val="000000"/>
        </w:rPr>
        <w:t>and</w:t>
      </w:r>
      <w:r w:rsidR="00BA0A67">
        <w:rPr>
          <w:snapToGrid/>
          <w:color w:val="000000"/>
        </w:rPr>
        <w:t>,</w:t>
      </w:r>
      <w:r w:rsidRPr="05EB61F6" w:rsidR="005F74FC">
        <w:rPr>
          <w:snapToGrid/>
          <w:color w:val="000000"/>
        </w:rPr>
        <w:t xml:space="preserve"> the device has been delivered to the household.</w:t>
      </w:r>
      <w:r>
        <w:rPr>
          <w:rStyle w:val="FootnoteReference"/>
          <w:snapToGrid/>
        </w:rPr>
        <w:footnoteReference w:id="29"/>
      </w:r>
      <w:r w:rsidRPr="05EB61F6" w:rsidR="00944EE6">
        <w:rPr>
          <w:snapToGrid/>
          <w:color w:val="000000"/>
        </w:rPr>
        <w:t xml:space="preserve">  </w:t>
      </w:r>
      <w:r w:rsidR="00BA0A67">
        <w:rPr>
          <w:snapToGrid/>
          <w:color w:val="000000"/>
        </w:rPr>
        <w:t>Additionally, the</w:t>
      </w:r>
      <w:r w:rsidRPr="05EB61F6" w:rsidR="00DF46AA">
        <w:rPr>
          <w:snapToGrid/>
          <w:color w:val="000000"/>
        </w:rPr>
        <w:t xml:space="preserve"> p</w:t>
      </w:r>
      <w:r w:rsidRPr="05EB61F6" w:rsidR="00E67869">
        <w:rPr>
          <w:snapToGrid/>
          <w:color w:val="000000"/>
        </w:rPr>
        <w:t xml:space="preserve">rovider must </w:t>
      </w:r>
      <w:r w:rsidRPr="05EB61F6" w:rsidR="00DF46AA">
        <w:rPr>
          <w:snapToGrid/>
          <w:color w:val="000000"/>
        </w:rPr>
        <w:t xml:space="preserve">certify that </w:t>
      </w:r>
      <w:r w:rsidRPr="05EB61F6" w:rsidR="00CB5017">
        <w:rPr>
          <w:snapToGrid/>
          <w:color w:val="000000"/>
        </w:rPr>
        <w:t>it has</w:t>
      </w:r>
      <w:r w:rsidRPr="05EB61F6" w:rsidR="00DF46AA">
        <w:rPr>
          <w:snapToGrid/>
          <w:color w:val="000000"/>
        </w:rPr>
        <w:t xml:space="preserve"> retained the relevant supporting documents that demonstrate the connected devices </w:t>
      </w:r>
      <w:r w:rsidRPr="05EB61F6" w:rsidR="00852A00">
        <w:rPr>
          <w:color w:val="000000" w:themeColor="text1"/>
        </w:rPr>
        <w:t xml:space="preserve">for which it seeks reimbursement </w:t>
      </w:r>
      <w:r w:rsidRPr="05EB61F6" w:rsidR="00DF46AA">
        <w:rPr>
          <w:snapToGrid/>
          <w:color w:val="000000"/>
        </w:rPr>
        <w:t>are eligible for reimbursement.</w:t>
      </w:r>
      <w:r>
        <w:rPr>
          <w:rStyle w:val="FootnoteReference"/>
          <w:snapToGrid/>
        </w:rPr>
        <w:footnoteReference w:id="30"/>
      </w:r>
      <w:r w:rsidRPr="05EB61F6" w:rsidR="00E67869">
        <w:rPr>
          <w:snapToGrid/>
          <w:color w:val="000000"/>
        </w:rPr>
        <w:t xml:space="preserve"> </w:t>
      </w:r>
      <w:r w:rsidRPr="05EB61F6" w:rsidR="00C67882">
        <w:rPr>
          <w:snapToGrid/>
          <w:color w:val="000000"/>
        </w:rPr>
        <w:t xml:space="preserve"> </w:t>
      </w:r>
      <w:r w:rsidR="00BA0A67">
        <w:rPr>
          <w:snapToGrid/>
          <w:color w:val="000000"/>
        </w:rPr>
        <w:t>H</w:t>
      </w:r>
      <w:r w:rsidRPr="05EB61F6" w:rsidR="00475C1D">
        <w:rPr>
          <w:snapToGrid/>
          <w:color w:val="000000"/>
        </w:rPr>
        <w:t>ousehold</w:t>
      </w:r>
      <w:r w:rsidRPr="05EB61F6" w:rsidR="00D50894">
        <w:rPr>
          <w:snapToGrid/>
          <w:color w:val="000000"/>
        </w:rPr>
        <w:t>s completing the EBB Program Application</w:t>
      </w:r>
      <w:r w:rsidRPr="05EB61F6" w:rsidR="00A10F89">
        <w:rPr>
          <w:snapToGrid/>
          <w:color w:val="000000"/>
        </w:rPr>
        <w:t xml:space="preserve"> </w:t>
      </w:r>
      <w:r w:rsidR="00BA0A67">
        <w:rPr>
          <w:snapToGrid/>
          <w:color w:val="000000"/>
        </w:rPr>
        <w:t xml:space="preserve">also </w:t>
      </w:r>
      <w:r w:rsidRPr="05EB61F6" w:rsidR="00A10F89">
        <w:rPr>
          <w:snapToGrid/>
          <w:color w:val="000000"/>
        </w:rPr>
        <w:t xml:space="preserve">must certify that they </w:t>
      </w:r>
      <w:r w:rsidRPr="05EB61F6" w:rsidR="00F46DBE">
        <w:rPr>
          <w:snapToGrid/>
          <w:color w:val="000000"/>
        </w:rPr>
        <w:t xml:space="preserve">know their household may receive only one Emergency Broadband Benefit </w:t>
      </w:r>
      <w:r w:rsidRPr="05EB61F6" w:rsidR="004329C5">
        <w:rPr>
          <w:snapToGrid/>
          <w:color w:val="000000"/>
        </w:rPr>
        <w:t>and that they understand that they can receive only one connected device through the EBB Program, even if they switch</w:t>
      </w:r>
      <w:r w:rsidRPr="05EB61F6" w:rsidR="0043784D">
        <w:rPr>
          <w:snapToGrid/>
          <w:color w:val="000000"/>
        </w:rPr>
        <w:t xml:space="preserve"> EBB</w:t>
      </w:r>
      <w:r w:rsidRPr="05EB61F6" w:rsidR="004329C5">
        <w:rPr>
          <w:snapToGrid/>
          <w:color w:val="000000"/>
        </w:rPr>
        <w:t xml:space="preserve"> providers.</w:t>
      </w:r>
      <w:r>
        <w:rPr>
          <w:rStyle w:val="FootnoteReference"/>
          <w:snapToGrid/>
        </w:rPr>
        <w:footnoteReference w:id="31"/>
      </w:r>
    </w:p>
    <w:p w:rsidR="00D71074" w:rsidP="00F91A53" w14:paraId="380622B3" w14:textId="159A56E0">
      <w:pPr>
        <w:pStyle w:val="ParaNum"/>
        <w:widowControl/>
      </w:pPr>
      <w:r w:rsidRPr="05EB61F6">
        <w:rPr>
          <w:snapToGrid/>
          <w:color w:val="000000"/>
        </w:rPr>
        <w:t xml:space="preserve">Pursuant to EBB Program rules, providers </w:t>
      </w:r>
      <w:r w:rsidRPr="05EB61F6" w:rsidR="00B36F4B">
        <w:rPr>
          <w:snapToGrid/>
          <w:color w:val="000000"/>
        </w:rPr>
        <w:t xml:space="preserve">seeking to receive the connected device benefit </w:t>
      </w:r>
      <w:r w:rsidRPr="05EB61F6">
        <w:rPr>
          <w:snapToGrid/>
          <w:color w:val="000000"/>
        </w:rPr>
        <w:t>must also</w:t>
      </w:r>
      <w:r w:rsidRPr="05EB61F6" w:rsidR="00462967">
        <w:rPr>
          <w:snapToGrid/>
          <w:color w:val="000000"/>
        </w:rPr>
        <w:t xml:space="preserve"> </w:t>
      </w:r>
      <w:r w:rsidRPr="05EB61F6">
        <w:rPr>
          <w:snapToGrid/>
          <w:color w:val="000000"/>
        </w:rPr>
        <w:t xml:space="preserve">query the NLAD to determine </w:t>
      </w:r>
      <w:r w:rsidRPr="05EB61F6" w:rsidR="0095101F">
        <w:rPr>
          <w:snapToGrid/>
          <w:color w:val="000000"/>
        </w:rPr>
        <w:t xml:space="preserve">whether </w:t>
      </w:r>
      <w:r w:rsidRPr="05EB61F6" w:rsidR="00D27DA7">
        <w:rPr>
          <w:snapToGrid/>
          <w:color w:val="000000"/>
        </w:rPr>
        <w:t>a household has received a connected device benefit</w:t>
      </w:r>
      <w:r w:rsidRPr="05EB61F6" w:rsidR="00462967">
        <w:rPr>
          <w:snapToGrid/>
          <w:color w:val="000000"/>
        </w:rPr>
        <w:t xml:space="preserve">, and if the NLAD indicates that the subscriber has received a connected device benefit, the provider </w:t>
      </w:r>
      <w:r w:rsidRPr="05EB61F6" w:rsidR="00852A00">
        <w:rPr>
          <w:color w:val="000000" w:themeColor="text1"/>
        </w:rPr>
        <w:t>can</w:t>
      </w:r>
      <w:r w:rsidRPr="05EB61F6" w:rsidR="00462967">
        <w:rPr>
          <w:snapToGrid/>
          <w:color w:val="000000"/>
        </w:rPr>
        <w:t>not seek a connected device</w:t>
      </w:r>
      <w:r w:rsidRPr="05EB61F6" w:rsidR="0088363C">
        <w:rPr>
          <w:snapToGrid/>
          <w:color w:val="000000"/>
        </w:rPr>
        <w:t xml:space="preserve"> reimbursement for that household.</w:t>
      </w:r>
      <w:r>
        <w:rPr>
          <w:rStyle w:val="FootnoteReference"/>
          <w:snapToGrid/>
        </w:rPr>
        <w:footnoteReference w:id="32"/>
      </w:r>
      <w:r w:rsidRPr="05EB61F6" w:rsidR="00B6029B">
        <w:rPr>
          <w:snapToGrid/>
          <w:color w:val="000000"/>
        </w:rPr>
        <w:t xml:space="preserve"> </w:t>
      </w:r>
      <w:r w:rsidRPr="05EB61F6" w:rsidR="00CD731B">
        <w:rPr>
          <w:snapToGrid/>
          <w:color w:val="000000"/>
        </w:rPr>
        <w:t xml:space="preserve"> </w:t>
      </w:r>
      <w:r w:rsidRPr="05EB61F6" w:rsidR="00247273">
        <w:rPr>
          <w:snapToGrid/>
          <w:color w:val="000000"/>
        </w:rPr>
        <w:t xml:space="preserve">Program rules further provide that where two or more providers submit a reimbursement claim for a connected device discount for the same household, the provider whose information was first received and processed by the NLAD </w:t>
      </w:r>
      <w:r w:rsidRPr="05EB61F6" w:rsidR="00F444F9">
        <w:rPr>
          <w:snapToGrid/>
          <w:color w:val="000000"/>
        </w:rPr>
        <w:t>or the Lifeline Claims System, as determin</w:t>
      </w:r>
      <w:r w:rsidRPr="05EB61F6" w:rsidR="00887A09">
        <w:rPr>
          <w:snapToGrid/>
          <w:color w:val="000000"/>
        </w:rPr>
        <w:t>ed</w:t>
      </w:r>
      <w:r w:rsidRPr="05EB61F6" w:rsidR="00F444F9">
        <w:rPr>
          <w:snapToGrid/>
          <w:color w:val="000000"/>
        </w:rPr>
        <w:t xml:space="preserve"> by USAC</w:t>
      </w:r>
      <w:r w:rsidRPr="05EB61F6" w:rsidR="00852A00">
        <w:rPr>
          <w:color w:val="000000" w:themeColor="text1"/>
        </w:rPr>
        <w:t>,</w:t>
      </w:r>
      <w:r w:rsidRPr="05EB61F6" w:rsidR="00887A09">
        <w:rPr>
          <w:snapToGrid/>
          <w:color w:val="000000"/>
        </w:rPr>
        <w:t xml:space="preserve"> will be entitled to receive the connected device reimbursement for that household.</w:t>
      </w:r>
      <w:r>
        <w:rPr>
          <w:rStyle w:val="FootnoteReference"/>
          <w:snapToGrid/>
        </w:rPr>
        <w:footnoteReference w:id="33"/>
      </w:r>
      <w:r w:rsidRPr="05EB61F6" w:rsidR="00B6029B">
        <w:rPr>
          <w:snapToGrid/>
          <w:color w:val="000000"/>
        </w:rPr>
        <w:t xml:space="preserve"> </w:t>
      </w:r>
      <w:r w:rsidRPr="05EB61F6" w:rsidR="00767855">
        <w:rPr>
          <w:snapToGrid/>
          <w:color w:val="000000"/>
        </w:rPr>
        <w:t xml:space="preserve"> </w:t>
      </w:r>
      <w:r w:rsidRPr="05EB61F6" w:rsidR="007B34B8">
        <w:rPr>
          <w:snapToGrid/>
          <w:color w:val="000000"/>
        </w:rPr>
        <w:t xml:space="preserve">Moreover, providers must </w:t>
      </w:r>
      <w:r w:rsidRPr="05EB61F6" w:rsidR="00232F08">
        <w:rPr>
          <w:snapToGrid/>
          <w:color w:val="000000"/>
        </w:rPr>
        <w:t xml:space="preserve">obtain the subscriber’s consent </w:t>
      </w:r>
      <w:r w:rsidRPr="05EB61F6" w:rsidR="00875D6D">
        <w:rPr>
          <w:snapToGrid/>
          <w:color w:val="000000"/>
        </w:rPr>
        <w:t xml:space="preserve">before querying a subscriber’s information in </w:t>
      </w:r>
      <w:r w:rsidRPr="05EB61F6" w:rsidR="00A04A7D">
        <w:rPr>
          <w:color w:val="000000" w:themeColor="text1"/>
        </w:rPr>
        <w:t xml:space="preserve">the </w:t>
      </w:r>
      <w:r w:rsidRPr="05EB61F6" w:rsidR="00875D6D">
        <w:rPr>
          <w:snapToGrid/>
          <w:color w:val="000000"/>
        </w:rPr>
        <w:t>NLAD</w:t>
      </w:r>
      <w:r w:rsidRPr="05EB61F6" w:rsidR="008C3BD8">
        <w:rPr>
          <w:snapToGrid/>
          <w:color w:val="000000"/>
        </w:rPr>
        <w:t>.</w:t>
      </w:r>
      <w:r>
        <w:rPr>
          <w:rStyle w:val="FootnoteReference"/>
          <w:snapToGrid/>
        </w:rPr>
        <w:footnoteReference w:id="34"/>
      </w:r>
    </w:p>
    <w:p w:rsidR="00D71074" w:rsidRPr="008F7817" w:rsidP="00D71074" w14:paraId="5E6DFF86" w14:textId="77777777">
      <w:pPr>
        <w:pStyle w:val="Heading1"/>
        <w:rPr>
          <w:rFonts w:ascii="Times New Roman" w:hAnsi="Times New Roman"/>
          <w:snapToGrid/>
          <w:color w:val="201F1E"/>
          <w:kern w:val="0"/>
          <w:szCs w:val="22"/>
          <w:shd w:val="clear" w:color="auto" w:fill="FFFFFF"/>
        </w:rPr>
      </w:pPr>
      <w:r w:rsidRPr="008F7817">
        <w:rPr>
          <w:rFonts w:ascii="Times New Roman" w:hAnsi="Times New Roman"/>
          <w:snapToGrid/>
          <w:color w:val="201F1E"/>
          <w:kern w:val="0"/>
          <w:szCs w:val="22"/>
          <w:shd w:val="clear" w:color="auto" w:fill="FFFFFF"/>
        </w:rPr>
        <w:t>DISCUSSION</w:t>
      </w:r>
    </w:p>
    <w:p w:rsidR="00A04A7D" w:rsidRPr="00D934C3" w:rsidP="001636DF" w14:paraId="544C678A" w14:textId="571A47CA">
      <w:pPr>
        <w:pStyle w:val="ParaNum"/>
        <w:rPr>
          <w:snapToGrid/>
          <w:kern w:val="0"/>
          <w:szCs w:val="22"/>
        </w:rPr>
      </w:pPr>
      <w:r w:rsidRPr="005D5F81">
        <w:rPr>
          <w:szCs w:val="22"/>
        </w:rPr>
        <w:t xml:space="preserve">We </w:t>
      </w:r>
      <w:r>
        <w:rPr>
          <w:szCs w:val="22"/>
        </w:rPr>
        <w:t>grant the limited waiver request</w:t>
      </w:r>
      <w:r w:rsidR="00B93DCA">
        <w:rPr>
          <w:szCs w:val="22"/>
        </w:rPr>
        <w:t>s</w:t>
      </w:r>
      <w:r>
        <w:rPr>
          <w:szCs w:val="22"/>
        </w:rPr>
        <w:t xml:space="preserve"> and allow </w:t>
      </w:r>
      <w:r w:rsidR="001F4C6E">
        <w:rPr>
          <w:szCs w:val="22"/>
        </w:rPr>
        <w:t xml:space="preserve">Cox </w:t>
      </w:r>
      <w:r w:rsidR="00A7076B">
        <w:rPr>
          <w:szCs w:val="22"/>
        </w:rPr>
        <w:t xml:space="preserve">and all </w:t>
      </w:r>
      <w:r w:rsidR="008D0968">
        <w:rPr>
          <w:szCs w:val="22"/>
        </w:rPr>
        <w:t>participating providers</w:t>
      </w:r>
      <w:r w:rsidR="000A23B4">
        <w:rPr>
          <w:szCs w:val="22"/>
        </w:rPr>
        <w:t xml:space="preserve"> </w:t>
      </w:r>
      <w:r w:rsidR="001F4C6E">
        <w:rPr>
          <w:szCs w:val="22"/>
        </w:rPr>
        <w:t>to submit claim</w:t>
      </w:r>
      <w:r w:rsidR="00B60619">
        <w:rPr>
          <w:szCs w:val="22"/>
        </w:rPr>
        <w:t>s for connected devices</w:t>
      </w:r>
      <w:r w:rsidR="00AE3B89">
        <w:rPr>
          <w:szCs w:val="22"/>
        </w:rPr>
        <w:t xml:space="preserve"> for households that received a device from </w:t>
      </w:r>
      <w:r w:rsidR="00DB729E">
        <w:rPr>
          <w:szCs w:val="22"/>
        </w:rPr>
        <w:t xml:space="preserve">the first provider </w:t>
      </w:r>
      <w:r w:rsidR="00AE3B89">
        <w:rPr>
          <w:szCs w:val="22"/>
        </w:rPr>
        <w:t xml:space="preserve">but subsequently transferred their </w:t>
      </w:r>
      <w:r w:rsidR="00B31283">
        <w:rPr>
          <w:szCs w:val="22"/>
        </w:rPr>
        <w:t xml:space="preserve">monthly service </w:t>
      </w:r>
      <w:r w:rsidR="00AE3B89">
        <w:rPr>
          <w:szCs w:val="22"/>
        </w:rPr>
        <w:t xml:space="preserve">benefit to a different provider before the first of the month, </w:t>
      </w:r>
      <w:r w:rsidR="00C727F7">
        <w:rPr>
          <w:szCs w:val="22"/>
        </w:rPr>
        <w:t xml:space="preserve">thus preventing </w:t>
      </w:r>
      <w:r w:rsidR="005540F5">
        <w:rPr>
          <w:szCs w:val="22"/>
        </w:rPr>
        <w:t xml:space="preserve">the first provider </w:t>
      </w:r>
      <w:r w:rsidR="00C727F7">
        <w:rPr>
          <w:szCs w:val="22"/>
        </w:rPr>
        <w:t xml:space="preserve">from claiming for reimbursement any service support </w:t>
      </w:r>
      <w:r>
        <w:rPr>
          <w:szCs w:val="22"/>
        </w:rPr>
        <w:t xml:space="preserve">provided </w:t>
      </w:r>
      <w:r w:rsidR="00C727F7">
        <w:rPr>
          <w:szCs w:val="22"/>
        </w:rPr>
        <w:t xml:space="preserve">to the household during that service month.  </w:t>
      </w:r>
      <w:r w:rsidR="00E0579C">
        <w:rPr>
          <w:szCs w:val="22"/>
        </w:rPr>
        <w:t xml:space="preserve">In response to </w:t>
      </w:r>
      <w:r w:rsidR="00E0579C">
        <w:rPr>
          <w:szCs w:val="22"/>
        </w:rPr>
        <w:t>NaLA’s</w:t>
      </w:r>
      <w:r w:rsidR="00E0579C">
        <w:rPr>
          <w:szCs w:val="22"/>
        </w:rPr>
        <w:t xml:space="preserve"> </w:t>
      </w:r>
      <w:r w:rsidR="00BF014E">
        <w:rPr>
          <w:szCs w:val="22"/>
        </w:rPr>
        <w:t xml:space="preserve">petition, </w:t>
      </w:r>
      <w:r w:rsidR="00A82D40">
        <w:rPr>
          <w:szCs w:val="22"/>
        </w:rPr>
        <w:t>we extend this waiver to all EBB Program pr</w:t>
      </w:r>
      <w:r w:rsidR="00F17CBA">
        <w:rPr>
          <w:szCs w:val="22"/>
        </w:rPr>
        <w:t xml:space="preserve">oviders offering a connected device through the EBB Program.  </w:t>
      </w:r>
    </w:p>
    <w:p w:rsidR="001636DF" w:rsidRPr="001636DF" w:rsidP="001636DF" w14:paraId="3CF090FF" w14:textId="3C9A243D">
      <w:pPr>
        <w:pStyle w:val="ParaNum"/>
        <w:rPr>
          <w:snapToGrid/>
          <w:kern w:val="0"/>
        </w:rPr>
      </w:pPr>
      <w:r w:rsidRPr="05EB61F6">
        <w:t>As a general matter, “an agency must adhere to its own rules and regulations.”</w:t>
      </w:r>
      <w:r>
        <w:rPr>
          <w:rStyle w:val="FootnoteReference"/>
          <w:sz w:val="22"/>
          <w:szCs w:val="22"/>
        </w:rPr>
        <w:footnoteReference w:id="35"/>
      </w:r>
      <w:r w:rsidRPr="05EB61F6">
        <w:t xml:space="preserve">  Although strict application of a rule may be justified “to preserve incentives for compliance and to realize the benefits of easy administration that the rule was designed to achieve,”</w:t>
      </w:r>
      <w:r>
        <w:rPr>
          <w:rStyle w:val="FootnoteReference"/>
        </w:rPr>
        <w:footnoteReference w:id="36"/>
      </w:r>
      <w:r>
        <w:rPr>
          <w:szCs w:val="22"/>
        </w:rPr>
        <w:t xml:space="preserve"> </w:t>
      </w:r>
      <w:r w:rsidRPr="05EB61F6">
        <w:t>the Commission’s rules may be waived for “good cause shown.”</w:t>
      </w:r>
      <w:r>
        <w:rPr>
          <w:rStyle w:val="FootnoteReference"/>
        </w:rPr>
        <w:footnoteReference w:id="37"/>
      </w:r>
      <w:r w:rsidRPr="05EB61F6">
        <w:t xml:space="preserve">  The Commission may exercise its discretion to waive a rule where special circumstances warrant a deviation from the general rule, and such deviation will serve the public interest.</w:t>
      </w:r>
      <w:r>
        <w:rPr>
          <w:rStyle w:val="FootnoteReference"/>
        </w:rPr>
        <w:footnoteReference w:id="38"/>
      </w:r>
      <w:r w:rsidRPr="05EB61F6">
        <w:t xml:space="preserve">  The Commission may take into account considerations of hardship, equity, or more effective implementation of policy on an overall basis</w:t>
      </w:r>
      <w:r>
        <w:rPr>
          <w:szCs w:val="22"/>
        </w:rPr>
        <w:t>.</w:t>
      </w:r>
      <w:r>
        <w:rPr>
          <w:rStyle w:val="FootnoteReference"/>
        </w:rPr>
        <w:footnoteReference w:id="39"/>
      </w:r>
      <w:r>
        <w:rPr>
          <w:szCs w:val="22"/>
        </w:rPr>
        <w:t xml:space="preserve">  </w:t>
      </w:r>
      <w:r w:rsidRPr="05EB61F6">
        <w:t>The Bureau, under delegated authority, may act on requests for waiver of rules.</w:t>
      </w:r>
      <w:r>
        <w:rPr>
          <w:rStyle w:val="FootnoteReference"/>
        </w:rPr>
        <w:footnoteReference w:id="40"/>
      </w:r>
    </w:p>
    <w:p w:rsidR="00E959BF" w:rsidRPr="00E93756" w:rsidP="001636DF" w14:paraId="350D5831" w14:textId="214FCFE5">
      <w:pPr>
        <w:pStyle w:val="ParaNum"/>
        <w:rPr>
          <w:snapToGrid/>
          <w:kern w:val="0"/>
        </w:rPr>
      </w:pPr>
      <w:r w:rsidRPr="05EB61F6">
        <w:t xml:space="preserve">In </w:t>
      </w:r>
      <w:r w:rsidR="00DA032F">
        <w:t>their</w:t>
      </w:r>
      <w:r w:rsidRPr="05EB61F6" w:rsidR="00DA032F">
        <w:t xml:space="preserve"> </w:t>
      </w:r>
      <w:r w:rsidRPr="05EB61F6">
        <w:t>Petition</w:t>
      </w:r>
      <w:r w:rsidR="00DA032F">
        <w:t>s</w:t>
      </w:r>
      <w:r w:rsidRPr="05EB61F6">
        <w:t xml:space="preserve">, </w:t>
      </w:r>
      <w:r w:rsidRPr="05EB61F6" w:rsidR="00F97B49">
        <w:t>Cox</w:t>
      </w:r>
      <w:r w:rsidRPr="05EB61F6">
        <w:t xml:space="preserve"> </w:t>
      </w:r>
      <w:r w:rsidR="00DA032F">
        <w:t xml:space="preserve">and </w:t>
      </w:r>
      <w:r w:rsidR="00DA032F">
        <w:t>NaLA</w:t>
      </w:r>
      <w:r w:rsidR="00DA032F">
        <w:t xml:space="preserve"> </w:t>
      </w:r>
      <w:r w:rsidRPr="05EB61F6">
        <w:t xml:space="preserve">request a waiver </w:t>
      </w:r>
      <w:r w:rsidRPr="05EB61F6">
        <w:rPr>
          <w:snapToGrid/>
          <w:color w:val="201F1E"/>
          <w:kern w:val="0"/>
          <w:shd w:val="clear" w:color="auto" w:fill="FFFFFF"/>
        </w:rPr>
        <w:t xml:space="preserve">of the </w:t>
      </w:r>
      <w:r w:rsidRPr="05EB61F6" w:rsidR="00907A95">
        <w:rPr>
          <w:snapToGrid/>
          <w:color w:val="201F1E"/>
          <w:kern w:val="0"/>
          <w:shd w:val="clear" w:color="auto" w:fill="FFFFFF"/>
        </w:rPr>
        <w:t xml:space="preserve">requirement that </w:t>
      </w:r>
      <w:r w:rsidRPr="05EB61F6" w:rsidR="008528A2">
        <w:rPr>
          <w:snapToGrid/>
          <w:color w:val="201F1E"/>
          <w:kern w:val="0"/>
          <w:shd w:val="clear" w:color="auto" w:fill="FFFFFF"/>
        </w:rPr>
        <w:t>a pr</w:t>
      </w:r>
      <w:r w:rsidRPr="05EB61F6" w:rsidR="00502A99">
        <w:rPr>
          <w:snapToGrid/>
          <w:color w:val="201F1E"/>
          <w:kern w:val="0"/>
          <w:shd w:val="clear" w:color="auto" w:fill="FFFFFF"/>
        </w:rPr>
        <w:t xml:space="preserve">ovider </w:t>
      </w:r>
      <w:r w:rsidRPr="05EB61F6" w:rsidR="002E315D">
        <w:rPr>
          <w:snapToGrid/>
          <w:color w:val="201F1E"/>
          <w:kern w:val="0"/>
          <w:shd w:val="clear" w:color="auto" w:fill="FFFFFF"/>
        </w:rPr>
        <w:t>cannot</w:t>
      </w:r>
      <w:r w:rsidRPr="05EB61F6" w:rsidR="00502A99">
        <w:rPr>
          <w:snapToGrid/>
          <w:color w:val="201F1E"/>
          <w:kern w:val="0"/>
          <w:shd w:val="clear" w:color="auto" w:fill="FFFFFF"/>
        </w:rPr>
        <w:t xml:space="preserve"> claim a reimbursement of the connected device discount for subscribers that are </w:t>
      </w:r>
      <w:r w:rsidRPr="05EB61F6" w:rsidR="002E315D">
        <w:rPr>
          <w:snapToGrid/>
          <w:color w:val="201F1E"/>
          <w:kern w:val="0"/>
          <w:shd w:val="clear" w:color="auto" w:fill="FFFFFF"/>
        </w:rPr>
        <w:t xml:space="preserve">not </w:t>
      </w:r>
      <w:r w:rsidRPr="05EB61F6" w:rsidR="00502A99">
        <w:rPr>
          <w:snapToGrid/>
          <w:color w:val="201F1E"/>
          <w:kern w:val="0"/>
          <w:shd w:val="clear" w:color="auto" w:fill="FFFFFF"/>
        </w:rPr>
        <w:t xml:space="preserve">receiving </w:t>
      </w:r>
      <w:r w:rsidRPr="05EB61F6" w:rsidR="00FB6C05">
        <w:rPr>
          <w:snapToGrid/>
          <w:color w:val="201F1E"/>
          <w:kern w:val="0"/>
          <w:shd w:val="clear" w:color="auto" w:fill="FFFFFF"/>
        </w:rPr>
        <w:t>the Emergency Broadband Benefit for the EBB-supported service provided by</w:t>
      </w:r>
      <w:r w:rsidRPr="05EB61F6" w:rsidR="002E315D">
        <w:rPr>
          <w:snapToGrid/>
          <w:color w:val="201F1E"/>
          <w:kern w:val="0"/>
          <w:shd w:val="clear" w:color="auto" w:fill="FFFFFF"/>
        </w:rPr>
        <w:t xml:space="preserve"> the provider</w:t>
      </w:r>
      <w:r w:rsidRPr="05EB61F6" w:rsidR="00767D9B">
        <w:rPr>
          <w:snapToGrid/>
          <w:color w:val="201F1E"/>
          <w:kern w:val="0"/>
          <w:shd w:val="clear" w:color="auto" w:fill="FFFFFF"/>
        </w:rPr>
        <w:t xml:space="preserve"> at the time of the snapshot</w:t>
      </w:r>
      <w:r w:rsidRPr="05EB61F6" w:rsidR="002E315D">
        <w:rPr>
          <w:snapToGrid/>
          <w:color w:val="201F1E"/>
          <w:kern w:val="0"/>
          <w:shd w:val="clear" w:color="auto" w:fill="FFFFFF"/>
        </w:rPr>
        <w:t>.</w:t>
      </w:r>
      <w:r>
        <w:rPr>
          <w:rStyle w:val="FootnoteReference"/>
          <w:snapToGrid/>
          <w:kern w:val="0"/>
          <w:shd w:val="clear" w:color="auto" w:fill="FFFFFF"/>
        </w:rPr>
        <w:footnoteReference w:id="41"/>
      </w:r>
      <w:r w:rsidRPr="05EB61F6" w:rsidR="00FB6C05">
        <w:rPr>
          <w:snapToGrid/>
          <w:color w:val="201F1E"/>
          <w:kern w:val="0"/>
          <w:shd w:val="clear" w:color="auto" w:fill="FFFFFF"/>
        </w:rPr>
        <w:t xml:space="preserve">  </w:t>
      </w:r>
      <w:r w:rsidRPr="05EB61F6" w:rsidR="00511326">
        <w:rPr>
          <w:snapToGrid/>
          <w:color w:val="201F1E"/>
          <w:kern w:val="0"/>
          <w:shd w:val="clear" w:color="auto" w:fill="FFFFFF"/>
        </w:rPr>
        <w:t xml:space="preserve">Cox </w:t>
      </w:r>
      <w:r w:rsidRPr="05EB61F6" w:rsidR="008B105D">
        <w:rPr>
          <w:snapToGrid/>
          <w:color w:val="201F1E"/>
          <w:kern w:val="0"/>
          <w:shd w:val="clear" w:color="auto" w:fill="FFFFFF"/>
        </w:rPr>
        <w:t xml:space="preserve">contends that without this waiver it will be unable to claim reimbursement for a device </w:t>
      </w:r>
      <w:r w:rsidRPr="05EB61F6" w:rsidR="00260211">
        <w:rPr>
          <w:snapToGrid/>
          <w:color w:val="201F1E"/>
          <w:kern w:val="0"/>
          <w:shd w:val="clear" w:color="auto" w:fill="FFFFFF"/>
        </w:rPr>
        <w:t>delivered to a household if, as a result of the household transferring its benefit</w:t>
      </w:r>
      <w:r w:rsidRPr="05EB61F6" w:rsidR="00B31283">
        <w:rPr>
          <w:snapToGrid/>
          <w:color w:val="201F1E"/>
          <w:kern w:val="0"/>
          <w:shd w:val="clear" w:color="auto" w:fill="FFFFFF"/>
        </w:rPr>
        <w:t xml:space="preserve"> to another provider</w:t>
      </w:r>
      <w:r w:rsidRPr="05EB61F6" w:rsidR="00260211">
        <w:rPr>
          <w:snapToGrid/>
          <w:color w:val="201F1E"/>
          <w:kern w:val="0"/>
          <w:shd w:val="clear" w:color="auto" w:fill="FFFFFF"/>
        </w:rPr>
        <w:t xml:space="preserve">, the household </w:t>
      </w:r>
      <w:r w:rsidRPr="05EB61F6" w:rsidR="00B31283">
        <w:rPr>
          <w:snapToGrid/>
          <w:color w:val="201F1E"/>
          <w:kern w:val="0"/>
          <w:shd w:val="clear" w:color="auto" w:fill="FFFFFF"/>
        </w:rPr>
        <w:t xml:space="preserve">no longer receives the supported service from Cox and </w:t>
      </w:r>
      <w:r w:rsidRPr="05EB61F6" w:rsidR="00260211">
        <w:rPr>
          <w:snapToGrid/>
          <w:color w:val="201F1E"/>
          <w:kern w:val="0"/>
          <w:shd w:val="clear" w:color="auto" w:fill="FFFFFF"/>
        </w:rPr>
        <w:t xml:space="preserve">does not appear on Cox’s snapshot report </w:t>
      </w:r>
      <w:r w:rsidRPr="05EB61F6" w:rsidR="00F840F8">
        <w:rPr>
          <w:snapToGrid/>
          <w:color w:val="201F1E"/>
          <w:kern w:val="0"/>
          <w:shd w:val="clear" w:color="auto" w:fill="FFFFFF"/>
        </w:rPr>
        <w:t>of enrolled subscribers in the service month.</w:t>
      </w:r>
      <w:r>
        <w:rPr>
          <w:rStyle w:val="FootnoteReference"/>
          <w:snapToGrid/>
          <w:kern w:val="0"/>
          <w:shd w:val="clear" w:color="auto" w:fill="FFFFFF"/>
        </w:rPr>
        <w:footnoteReference w:id="42"/>
      </w:r>
      <w:r w:rsidRPr="05EB61F6" w:rsidR="00F840F8">
        <w:rPr>
          <w:snapToGrid/>
          <w:color w:val="201F1E"/>
          <w:kern w:val="0"/>
          <w:shd w:val="clear" w:color="auto" w:fill="FFFFFF"/>
        </w:rPr>
        <w:t xml:space="preserve"> </w:t>
      </w:r>
      <w:r w:rsidRPr="05EB61F6" w:rsidR="008B105D">
        <w:rPr>
          <w:snapToGrid/>
          <w:color w:val="201F1E"/>
          <w:kern w:val="0"/>
          <w:shd w:val="clear" w:color="auto" w:fill="FFFFFF"/>
        </w:rPr>
        <w:t xml:space="preserve"> </w:t>
      </w:r>
      <w:r w:rsidRPr="05EB61F6" w:rsidR="00A95045">
        <w:rPr>
          <w:snapToGrid/>
          <w:color w:val="201F1E"/>
          <w:kern w:val="0"/>
          <w:shd w:val="clear" w:color="auto" w:fill="FFFFFF"/>
        </w:rPr>
        <w:t>As Cox argues, because a</w:t>
      </w:r>
      <w:r w:rsidRPr="05EB61F6" w:rsidR="002C7C2B">
        <w:rPr>
          <w:snapToGrid/>
          <w:color w:val="201F1E"/>
          <w:kern w:val="0"/>
          <w:shd w:val="clear" w:color="auto" w:fill="FFFFFF"/>
        </w:rPr>
        <w:t xml:space="preserve"> household in the EBB Program may transfer their benefit to another participating provider at any time</w:t>
      </w:r>
      <w:r w:rsidRPr="05EB61F6" w:rsidR="0048082A">
        <w:rPr>
          <w:snapToGrid/>
          <w:color w:val="201F1E"/>
          <w:kern w:val="0"/>
          <w:shd w:val="clear" w:color="auto" w:fill="FFFFFF"/>
        </w:rPr>
        <w:t xml:space="preserve">, </w:t>
      </w:r>
      <w:r w:rsidRPr="05EB61F6" w:rsidR="00712FC8">
        <w:rPr>
          <w:snapToGrid/>
          <w:color w:val="201F1E"/>
          <w:kern w:val="0"/>
          <w:shd w:val="clear" w:color="auto" w:fill="FFFFFF"/>
        </w:rPr>
        <w:t xml:space="preserve">there is a financial risk to Cox that it may offer a discount on a device </w:t>
      </w:r>
      <w:r w:rsidRPr="05EB61F6" w:rsidR="00950118">
        <w:rPr>
          <w:snapToGrid/>
          <w:color w:val="201F1E"/>
          <w:kern w:val="0"/>
          <w:shd w:val="clear" w:color="auto" w:fill="FFFFFF"/>
        </w:rPr>
        <w:t xml:space="preserve">for which </w:t>
      </w:r>
      <w:r w:rsidRPr="05EB61F6" w:rsidR="005B2113">
        <w:rPr>
          <w:snapToGrid/>
          <w:color w:val="201F1E"/>
          <w:kern w:val="0"/>
          <w:shd w:val="clear" w:color="auto" w:fill="FFFFFF"/>
        </w:rPr>
        <w:t>Cox</w:t>
      </w:r>
      <w:r w:rsidRPr="05EB61F6" w:rsidR="00712FC8">
        <w:rPr>
          <w:snapToGrid/>
          <w:color w:val="201F1E"/>
          <w:kern w:val="0"/>
          <w:shd w:val="clear" w:color="auto" w:fill="FFFFFF"/>
        </w:rPr>
        <w:t xml:space="preserve"> subsequently could not </w:t>
      </w:r>
      <w:r w:rsidRPr="05EB61F6" w:rsidR="0032669F">
        <w:rPr>
          <w:snapToGrid/>
          <w:color w:val="201F1E"/>
          <w:kern w:val="0"/>
          <w:shd w:val="clear" w:color="auto" w:fill="FFFFFF"/>
        </w:rPr>
        <w:t>seek reimbursement</w:t>
      </w:r>
      <w:r w:rsidRPr="05EB61F6" w:rsidR="00950118">
        <w:rPr>
          <w:snapToGrid/>
          <w:color w:val="201F1E"/>
          <w:kern w:val="0"/>
          <w:shd w:val="clear" w:color="auto" w:fill="FFFFFF"/>
        </w:rPr>
        <w:t>,</w:t>
      </w:r>
      <w:r w:rsidRPr="05EB61F6" w:rsidR="0032669F">
        <w:rPr>
          <w:snapToGrid/>
          <w:color w:val="201F1E"/>
          <w:kern w:val="0"/>
          <w:shd w:val="clear" w:color="auto" w:fill="FFFFFF"/>
        </w:rPr>
        <w:t xml:space="preserve"> if </w:t>
      </w:r>
      <w:r w:rsidRPr="05EB61F6" w:rsidR="00D15428">
        <w:rPr>
          <w:snapToGrid/>
          <w:color w:val="201F1E"/>
          <w:kern w:val="0"/>
          <w:shd w:val="clear" w:color="auto" w:fill="FFFFFF"/>
        </w:rPr>
        <w:t xml:space="preserve">the </w:t>
      </w:r>
      <w:r w:rsidRPr="05EB61F6" w:rsidR="00E529A8">
        <w:rPr>
          <w:snapToGrid/>
          <w:color w:val="201F1E"/>
          <w:kern w:val="0"/>
          <w:shd w:val="clear" w:color="auto" w:fill="FFFFFF"/>
        </w:rPr>
        <w:t xml:space="preserve">household is not served by the </w:t>
      </w:r>
      <w:r w:rsidRPr="05EB61F6" w:rsidR="00D15428">
        <w:rPr>
          <w:snapToGrid/>
          <w:color w:val="201F1E"/>
          <w:kern w:val="0"/>
          <w:shd w:val="clear" w:color="auto" w:fill="FFFFFF"/>
        </w:rPr>
        <w:t>Cox</w:t>
      </w:r>
      <w:r w:rsidRPr="05EB61F6" w:rsidR="00E8071C">
        <w:rPr>
          <w:snapToGrid/>
          <w:color w:val="201F1E"/>
          <w:kern w:val="0"/>
          <w:shd w:val="clear" w:color="auto" w:fill="FFFFFF"/>
        </w:rPr>
        <w:t xml:space="preserve"> at the time of the snapshot report on the first </w:t>
      </w:r>
      <w:r w:rsidRPr="05EB61F6" w:rsidR="00B31283">
        <w:rPr>
          <w:snapToGrid/>
          <w:color w:val="201F1E"/>
          <w:kern w:val="0"/>
          <w:shd w:val="clear" w:color="auto" w:fill="FFFFFF"/>
        </w:rPr>
        <w:t xml:space="preserve">day </w:t>
      </w:r>
      <w:r w:rsidRPr="05EB61F6" w:rsidR="00E8071C">
        <w:rPr>
          <w:snapToGrid/>
          <w:color w:val="201F1E"/>
          <w:kern w:val="0"/>
          <w:shd w:val="clear" w:color="auto" w:fill="FFFFFF"/>
        </w:rPr>
        <w:t xml:space="preserve">of the </w:t>
      </w:r>
      <w:r w:rsidRPr="05EB61F6" w:rsidR="00B31283">
        <w:rPr>
          <w:snapToGrid/>
          <w:color w:val="201F1E"/>
          <w:kern w:val="0"/>
          <w:shd w:val="clear" w:color="auto" w:fill="FFFFFF"/>
        </w:rPr>
        <w:t xml:space="preserve">following </w:t>
      </w:r>
      <w:r w:rsidRPr="05EB61F6" w:rsidR="00E8071C">
        <w:rPr>
          <w:snapToGrid/>
          <w:color w:val="201F1E"/>
          <w:kern w:val="0"/>
          <w:shd w:val="clear" w:color="auto" w:fill="FFFFFF"/>
        </w:rPr>
        <w:t>mo</w:t>
      </w:r>
      <w:r w:rsidRPr="05EB61F6" w:rsidR="00967D9F">
        <w:rPr>
          <w:snapToGrid/>
          <w:color w:val="201F1E"/>
          <w:kern w:val="0"/>
          <w:shd w:val="clear" w:color="auto" w:fill="FFFFFF"/>
        </w:rPr>
        <w:t>nth.</w:t>
      </w:r>
      <w:r>
        <w:rPr>
          <w:rStyle w:val="FootnoteReference"/>
          <w:snapToGrid/>
          <w:kern w:val="0"/>
          <w:shd w:val="clear" w:color="auto" w:fill="FFFFFF"/>
        </w:rPr>
        <w:footnoteReference w:id="43"/>
      </w:r>
      <w:r w:rsidRPr="05EB61F6" w:rsidR="00D916D3">
        <w:rPr>
          <w:snapToGrid/>
          <w:color w:val="201F1E"/>
          <w:kern w:val="0"/>
          <w:shd w:val="clear" w:color="auto" w:fill="FFFFFF"/>
        </w:rPr>
        <w:t xml:space="preserve"> </w:t>
      </w:r>
      <w:r w:rsidRPr="05EB61F6" w:rsidR="005551FB">
        <w:rPr>
          <w:snapToGrid/>
          <w:color w:val="201F1E"/>
          <w:kern w:val="0"/>
          <w:shd w:val="clear" w:color="auto" w:fill="FFFFFF"/>
        </w:rPr>
        <w:t xml:space="preserve"> </w:t>
      </w:r>
      <w:r w:rsidRPr="05EB61F6" w:rsidR="00D916D3">
        <w:rPr>
          <w:snapToGrid/>
          <w:color w:val="201F1E"/>
          <w:kern w:val="0"/>
          <w:shd w:val="clear" w:color="auto" w:fill="FFFFFF"/>
        </w:rPr>
        <w:t xml:space="preserve">Cox adds that where </w:t>
      </w:r>
      <w:r w:rsidRPr="05EB61F6" w:rsidR="00117545">
        <w:rPr>
          <w:snapToGrid/>
          <w:color w:val="201F1E"/>
          <w:kern w:val="0"/>
          <w:shd w:val="clear" w:color="auto" w:fill="FFFFFF"/>
        </w:rPr>
        <w:t>it is</w:t>
      </w:r>
      <w:r w:rsidRPr="05EB61F6" w:rsidR="00D916D3">
        <w:rPr>
          <w:snapToGrid/>
          <w:color w:val="201F1E"/>
          <w:kern w:val="0"/>
          <w:shd w:val="clear" w:color="auto" w:fill="FFFFFF"/>
        </w:rPr>
        <w:t xml:space="preserve"> unable to seek reimbursement for the connected device due to the household’s transfer to another provider, Cox would </w:t>
      </w:r>
      <w:r w:rsidRPr="05EB61F6" w:rsidR="00B31283">
        <w:rPr>
          <w:snapToGrid/>
          <w:color w:val="201F1E"/>
          <w:kern w:val="0"/>
          <w:shd w:val="clear" w:color="auto" w:fill="FFFFFF"/>
        </w:rPr>
        <w:t xml:space="preserve">be forced to </w:t>
      </w:r>
      <w:r w:rsidRPr="05EB61F6" w:rsidR="00D916D3">
        <w:rPr>
          <w:snapToGrid/>
          <w:color w:val="201F1E"/>
          <w:kern w:val="0"/>
          <w:shd w:val="clear" w:color="auto" w:fill="FFFFFF"/>
        </w:rPr>
        <w:t xml:space="preserve">attempt to </w:t>
      </w:r>
      <w:r w:rsidRPr="05EB61F6" w:rsidR="00C74424">
        <w:rPr>
          <w:snapToGrid/>
          <w:color w:val="201F1E"/>
          <w:kern w:val="0"/>
          <w:shd w:val="clear" w:color="auto" w:fill="FFFFFF"/>
        </w:rPr>
        <w:t>collect the connected device discount from the former subscriber.</w:t>
      </w:r>
      <w:r>
        <w:rPr>
          <w:rStyle w:val="FootnoteReference"/>
          <w:snapToGrid/>
          <w:kern w:val="0"/>
          <w:shd w:val="clear" w:color="auto" w:fill="FFFFFF"/>
        </w:rPr>
        <w:footnoteReference w:id="44"/>
      </w:r>
      <w:r w:rsidRPr="2610F889" w:rsidR="00E21DB0">
        <w:rPr>
          <w:color w:val="201F1E"/>
        </w:rPr>
        <w:t xml:space="preserve"> </w:t>
      </w:r>
      <w:r w:rsidRPr="05EB61F6" w:rsidR="00D916D3">
        <w:rPr>
          <w:snapToGrid/>
          <w:color w:val="201F1E"/>
          <w:kern w:val="0"/>
          <w:shd w:val="clear" w:color="auto" w:fill="FFFFFF"/>
        </w:rPr>
        <w:t xml:space="preserve"> </w:t>
      </w:r>
      <w:r w:rsidRPr="2610F889" w:rsidR="00847406">
        <w:rPr>
          <w:color w:val="201F1E"/>
        </w:rPr>
        <w:t>NaLA</w:t>
      </w:r>
      <w:r w:rsidRPr="2610F889" w:rsidR="00847406">
        <w:rPr>
          <w:color w:val="201F1E"/>
        </w:rPr>
        <w:t xml:space="preserve"> adds that </w:t>
      </w:r>
      <w:r w:rsidRPr="2610F889" w:rsidR="00031AB2">
        <w:rPr>
          <w:color w:val="201F1E"/>
        </w:rPr>
        <w:t xml:space="preserve">the reimbursement rules for connected devices </w:t>
      </w:r>
      <w:r w:rsidRPr="2610F889" w:rsidR="00B67DA5">
        <w:rPr>
          <w:color w:val="201F1E"/>
        </w:rPr>
        <w:t>“</w:t>
      </w:r>
      <w:r w:rsidRPr="2610F889" w:rsidR="00031AB2">
        <w:rPr>
          <w:color w:val="201F1E"/>
        </w:rPr>
        <w:t>unfairly penalize providers that sell a discounted connected device to a subscriber who decides</w:t>
      </w:r>
      <w:r w:rsidRPr="2610F889" w:rsidR="00B67DA5">
        <w:rPr>
          <w:color w:val="201F1E"/>
        </w:rPr>
        <w:t xml:space="preserve"> </w:t>
      </w:r>
      <w:r w:rsidRPr="2610F889" w:rsidR="00031AB2">
        <w:rPr>
          <w:color w:val="201F1E"/>
        </w:rPr>
        <w:t>to de-enroll from the EBB program or change to a different EBB service provider</w:t>
      </w:r>
      <w:r w:rsidRPr="2610F889" w:rsidR="00B67DA5">
        <w:rPr>
          <w:color w:val="201F1E"/>
        </w:rPr>
        <w:t xml:space="preserve"> </w:t>
      </w:r>
      <w:r w:rsidRPr="2610F889" w:rsidR="00031AB2">
        <w:rPr>
          <w:color w:val="201F1E"/>
        </w:rPr>
        <w:t>at any time prior to the next snapshot date</w:t>
      </w:r>
      <w:r w:rsidRPr="2610F889" w:rsidR="00B67DA5">
        <w:rPr>
          <w:color w:val="201F1E"/>
        </w:rPr>
        <w:t>.”</w:t>
      </w:r>
      <w:r>
        <w:rPr>
          <w:rStyle w:val="FootnoteReference"/>
          <w:snapToGrid/>
          <w:kern w:val="0"/>
          <w:shd w:val="clear" w:color="auto" w:fill="FFFFFF"/>
        </w:rPr>
        <w:footnoteReference w:id="45"/>
      </w:r>
    </w:p>
    <w:p w:rsidR="00E93756" w:rsidRPr="00E15E3C" w:rsidP="001636DF" w14:paraId="7278461D" w14:textId="451C97A0">
      <w:pPr>
        <w:pStyle w:val="ParaNum"/>
        <w:rPr>
          <w:snapToGrid/>
          <w:kern w:val="0"/>
        </w:rPr>
      </w:pPr>
      <w:r w:rsidRPr="05EB61F6">
        <w:rPr>
          <w:snapToGrid/>
          <w:color w:val="201F1E"/>
          <w:kern w:val="0"/>
          <w:shd w:val="clear" w:color="auto" w:fill="FFFFFF"/>
        </w:rPr>
        <w:t xml:space="preserve">Because </w:t>
      </w:r>
      <w:r w:rsidRPr="05EB61F6" w:rsidR="00DF42C9">
        <w:rPr>
          <w:snapToGrid/>
          <w:color w:val="201F1E"/>
          <w:kern w:val="0"/>
          <w:shd w:val="clear" w:color="auto" w:fill="FFFFFF"/>
        </w:rPr>
        <w:t>the household would not appear on the snapshot report if the household transfer</w:t>
      </w:r>
      <w:r w:rsidRPr="05EB61F6" w:rsidR="00D15428">
        <w:rPr>
          <w:snapToGrid/>
          <w:color w:val="201F1E"/>
          <w:kern w:val="0"/>
          <w:shd w:val="clear" w:color="auto" w:fill="FFFFFF"/>
        </w:rPr>
        <w:t>s its benefit</w:t>
      </w:r>
      <w:r w:rsidRPr="05EB61F6" w:rsidR="00DF42C9">
        <w:rPr>
          <w:snapToGrid/>
          <w:color w:val="201F1E"/>
          <w:kern w:val="0"/>
          <w:shd w:val="clear" w:color="auto" w:fill="FFFFFF"/>
        </w:rPr>
        <w:t xml:space="preserve"> prior to the first </w:t>
      </w:r>
      <w:r w:rsidRPr="05EB61F6" w:rsidR="00B31283">
        <w:rPr>
          <w:snapToGrid/>
          <w:color w:val="201F1E"/>
          <w:kern w:val="0"/>
          <w:shd w:val="clear" w:color="auto" w:fill="FFFFFF"/>
        </w:rPr>
        <w:t xml:space="preserve">day </w:t>
      </w:r>
      <w:r w:rsidRPr="05EB61F6" w:rsidR="00DF42C9">
        <w:rPr>
          <w:snapToGrid/>
          <w:color w:val="201F1E"/>
          <w:kern w:val="0"/>
          <w:shd w:val="clear" w:color="auto" w:fill="FFFFFF"/>
        </w:rPr>
        <w:t xml:space="preserve">of the </w:t>
      </w:r>
      <w:r w:rsidRPr="05EB61F6" w:rsidR="00B31283">
        <w:rPr>
          <w:snapToGrid/>
          <w:color w:val="201F1E"/>
          <w:kern w:val="0"/>
          <w:shd w:val="clear" w:color="auto" w:fill="FFFFFF"/>
        </w:rPr>
        <w:t xml:space="preserve">following </w:t>
      </w:r>
      <w:r w:rsidRPr="05EB61F6" w:rsidR="00DF42C9">
        <w:rPr>
          <w:snapToGrid/>
          <w:color w:val="201F1E"/>
          <w:kern w:val="0"/>
          <w:shd w:val="clear" w:color="auto" w:fill="FFFFFF"/>
        </w:rPr>
        <w:t xml:space="preserve">month, Cox is requesting the ability to submit </w:t>
      </w:r>
      <w:r w:rsidRPr="05EB61F6" w:rsidR="00CB3BFC">
        <w:rPr>
          <w:snapToGrid/>
          <w:color w:val="201F1E"/>
          <w:kern w:val="0"/>
          <w:shd w:val="clear" w:color="auto" w:fill="FFFFFF"/>
        </w:rPr>
        <w:t xml:space="preserve">reimbursement claims for connected devices </w:t>
      </w:r>
      <w:r w:rsidRPr="05EB61F6" w:rsidR="00825B66">
        <w:rPr>
          <w:snapToGrid/>
          <w:color w:val="201F1E"/>
          <w:kern w:val="0"/>
          <w:shd w:val="clear" w:color="auto" w:fill="FFFFFF"/>
        </w:rPr>
        <w:t>supplied</w:t>
      </w:r>
      <w:r w:rsidRPr="05EB61F6" w:rsidR="00F677BB">
        <w:rPr>
          <w:snapToGrid/>
          <w:color w:val="201F1E"/>
          <w:kern w:val="0"/>
          <w:shd w:val="clear" w:color="auto" w:fill="FFFFFF"/>
        </w:rPr>
        <w:t xml:space="preserve"> to their former customers</w:t>
      </w:r>
      <w:r w:rsidRPr="00163D33" w:rsidR="00163D33">
        <w:t xml:space="preserve"> </w:t>
      </w:r>
      <w:r w:rsidRPr="05EB61F6" w:rsidR="00163D33">
        <w:rPr>
          <w:snapToGrid/>
          <w:color w:val="201F1E"/>
          <w:kern w:val="0"/>
          <w:shd w:val="clear" w:color="auto" w:fill="FFFFFF"/>
        </w:rPr>
        <w:t xml:space="preserve">if </w:t>
      </w:r>
      <w:r w:rsidRPr="05EB61F6" w:rsidR="00EB3A8A">
        <w:rPr>
          <w:snapToGrid/>
          <w:color w:val="201F1E"/>
          <w:kern w:val="0"/>
          <w:shd w:val="clear" w:color="auto" w:fill="FFFFFF"/>
        </w:rPr>
        <w:t xml:space="preserve">it </w:t>
      </w:r>
      <w:r w:rsidRPr="05EB61F6" w:rsidR="00163D33">
        <w:rPr>
          <w:snapToGrid/>
          <w:color w:val="201F1E"/>
          <w:kern w:val="0"/>
          <w:shd w:val="clear" w:color="auto" w:fill="FFFFFF"/>
        </w:rPr>
        <w:t xml:space="preserve">certifies </w:t>
      </w:r>
      <w:r w:rsidRPr="05EB61F6" w:rsidR="00223D5F">
        <w:rPr>
          <w:snapToGrid/>
          <w:color w:val="201F1E"/>
          <w:kern w:val="0"/>
          <w:shd w:val="clear" w:color="auto" w:fill="FFFFFF"/>
        </w:rPr>
        <w:t>that the</w:t>
      </w:r>
      <w:r w:rsidRPr="05EB61F6" w:rsidR="00163D33">
        <w:rPr>
          <w:snapToGrid/>
          <w:color w:val="201F1E"/>
          <w:kern w:val="0"/>
          <w:shd w:val="clear" w:color="auto" w:fill="FFFFFF"/>
        </w:rPr>
        <w:t xml:space="preserve"> </w:t>
      </w:r>
      <w:r w:rsidRPr="05EB61F6" w:rsidR="00223D5F">
        <w:rPr>
          <w:snapToGrid/>
          <w:color w:val="201F1E"/>
          <w:kern w:val="0"/>
          <w:shd w:val="clear" w:color="auto" w:fill="FFFFFF"/>
        </w:rPr>
        <w:t>“</w:t>
      </w:r>
      <w:r w:rsidRPr="05EB61F6" w:rsidR="00163D33">
        <w:rPr>
          <w:snapToGrid/>
          <w:color w:val="201F1E"/>
          <w:kern w:val="0"/>
          <w:shd w:val="clear" w:color="auto" w:fill="FFFFFF"/>
        </w:rPr>
        <w:t>subscribers were enrolled with Cox and the NLAD did not indicate that the eligible subscribers already received discounted connected devices when the connected devices were sold and certifies that it submitted modifications to NLAD to reflect the sales of the connected devices.</w:t>
      </w:r>
      <w:r w:rsidRPr="05EB61F6" w:rsidR="00223D5F">
        <w:rPr>
          <w:snapToGrid/>
          <w:color w:val="201F1E"/>
          <w:kern w:val="0"/>
          <w:shd w:val="clear" w:color="auto" w:fill="FFFFFF"/>
        </w:rPr>
        <w:t>”</w:t>
      </w:r>
      <w:r>
        <w:rPr>
          <w:rStyle w:val="FootnoteReference"/>
          <w:snapToGrid/>
          <w:kern w:val="0"/>
          <w:shd w:val="clear" w:color="auto" w:fill="FFFFFF"/>
        </w:rPr>
        <w:footnoteReference w:id="46"/>
      </w:r>
      <w:r w:rsidRPr="05EB61F6" w:rsidR="00AA4EA2">
        <w:rPr>
          <w:snapToGrid/>
          <w:color w:val="201F1E"/>
          <w:kern w:val="0"/>
          <w:shd w:val="clear" w:color="auto" w:fill="FFFFFF"/>
        </w:rPr>
        <w:t xml:space="preserve">  Cox argues that if its waiver request is not granted, it, as one of the </w:t>
      </w:r>
      <w:r w:rsidRPr="05EB61F6" w:rsidR="00463543">
        <w:rPr>
          <w:snapToGrid/>
          <w:color w:val="201F1E"/>
          <w:kern w:val="0"/>
          <w:shd w:val="clear" w:color="auto" w:fill="FFFFFF"/>
        </w:rPr>
        <w:t>largest fixed providers offering a connected device throu</w:t>
      </w:r>
      <w:r w:rsidRPr="05EB61F6" w:rsidR="004D6637">
        <w:rPr>
          <w:snapToGrid/>
          <w:color w:val="201F1E"/>
          <w:kern w:val="0"/>
          <w:shd w:val="clear" w:color="auto" w:fill="FFFFFF"/>
        </w:rPr>
        <w:t>gh the EBB Program</w:t>
      </w:r>
      <w:r w:rsidRPr="05EB61F6" w:rsidR="00C32415">
        <w:rPr>
          <w:snapToGrid/>
          <w:color w:val="201F1E"/>
          <w:kern w:val="0"/>
          <w:shd w:val="clear" w:color="auto" w:fill="FFFFFF"/>
        </w:rPr>
        <w:t>, would need to reconsider its decision to offer a connected device</w:t>
      </w:r>
      <w:r w:rsidRPr="05EB61F6" w:rsidR="005728DB">
        <w:rPr>
          <w:snapToGrid/>
          <w:color w:val="201F1E"/>
          <w:kern w:val="0"/>
          <w:shd w:val="clear" w:color="auto" w:fill="FFFFFF"/>
        </w:rPr>
        <w:t xml:space="preserve">, but also adds that </w:t>
      </w:r>
      <w:r w:rsidRPr="05EB61F6" w:rsidR="00BC34CF">
        <w:rPr>
          <w:snapToGrid/>
          <w:color w:val="201F1E"/>
          <w:kern w:val="0"/>
          <w:shd w:val="clear" w:color="auto" w:fill="FFFFFF"/>
        </w:rPr>
        <w:t xml:space="preserve">it is </w:t>
      </w:r>
      <w:r w:rsidRPr="05EB61F6" w:rsidR="0073423A">
        <w:rPr>
          <w:snapToGrid/>
          <w:color w:val="201F1E"/>
          <w:kern w:val="0"/>
          <w:shd w:val="clear" w:color="auto" w:fill="FFFFFF"/>
        </w:rPr>
        <w:t>not known</w:t>
      </w:r>
      <w:r w:rsidRPr="05EB61F6" w:rsidR="00BC34CF">
        <w:rPr>
          <w:snapToGrid/>
          <w:color w:val="201F1E"/>
          <w:kern w:val="0"/>
          <w:shd w:val="clear" w:color="auto" w:fill="FFFFFF"/>
        </w:rPr>
        <w:t xml:space="preserve"> how </w:t>
      </w:r>
      <w:r w:rsidRPr="05EB61F6" w:rsidR="0073423A">
        <w:rPr>
          <w:snapToGrid/>
          <w:color w:val="201F1E"/>
          <w:kern w:val="0"/>
          <w:shd w:val="clear" w:color="auto" w:fill="FFFFFF"/>
        </w:rPr>
        <w:t>many subscribers</w:t>
      </w:r>
      <w:r w:rsidRPr="05EB61F6" w:rsidR="00BC34CF">
        <w:rPr>
          <w:snapToGrid/>
          <w:color w:val="201F1E"/>
          <w:kern w:val="0"/>
          <w:shd w:val="clear" w:color="auto" w:fill="FFFFFF"/>
        </w:rPr>
        <w:t>, if any, will potentially switch to another EBB provider after purchasing a discounted connected device from Co</w:t>
      </w:r>
      <w:r w:rsidRPr="05EB61F6" w:rsidR="0073423A">
        <w:rPr>
          <w:snapToGrid/>
          <w:color w:val="201F1E"/>
          <w:kern w:val="0"/>
          <w:shd w:val="clear" w:color="auto" w:fill="FFFFFF"/>
        </w:rPr>
        <w:t>x.</w:t>
      </w:r>
      <w:r>
        <w:rPr>
          <w:rStyle w:val="FootnoteReference"/>
          <w:snapToGrid/>
          <w:kern w:val="0"/>
          <w:shd w:val="clear" w:color="auto" w:fill="FFFFFF"/>
        </w:rPr>
        <w:footnoteReference w:id="47"/>
      </w:r>
      <w:r w:rsidRPr="2610F889" w:rsidR="000E033A">
        <w:rPr>
          <w:color w:val="201F1E"/>
        </w:rPr>
        <w:t xml:space="preserve"> </w:t>
      </w:r>
      <w:r w:rsidRPr="2610F889" w:rsidR="000213D0">
        <w:rPr>
          <w:color w:val="201F1E"/>
        </w:rPr>
        <w:t xml:space="preserve"> </w:t>
      </w:r>
      <w:r w:rsidRPr="2610F889" w:rsidR="001F6806">
        <w:rPr>
          <w:color w:val="201F1E"/>
        </w:rPr>
        <w:t>NaLA</w:t>
      </w:r>
      <w:r w:rsidRPr="2610F889" w:rsidR="001F6806">
        <w:rPr>
          <w:color w:val="201F1E"/>
        </w:rPr>
        <w:t xml:space="preserve"> </w:t>
      </w:r>
      <w:r w:rsidRPr="2610F889" w:rsidR="004E2576">
        <w:rPr>
          <w:color w:val="201F1E"/>
        </w:rPr>
        <w:t xml:space="preserve">argues that </w:t>
      </w:r>
      <w:r w:rsidRPr="2610F889" w:rsidR="00FE6646">
        <w:rPr>
          <w:color w:val="201F1E"/>
        </w:rPr>
        <w:t xml:space="preserve">Cox’s description of the issue is applicable to all </w:t>
      </w:r>
      <w:r w:rsidRPr="2610F889" w:rsidR="00A61BBB">
        <w:rPr>
          <w:color w:val="201F1E"/>
        </w:rPr>
        <w:t xml:space="preserve">participating providers offering </w:t>
      </w:r>
      <w:r w:rsidRPr="2610F889" w:rsidR="00E9522A">
        <w:rPr>
          <w:color w:val="201F1E"/>
        </w:rPr>
        <w:t xml:space="preserve">a connected device through the EBB Program and requests </w:t>
      </w:r>
      <w:r w:rsidRPr="2610F889" w:rsidR="00B17E28">
        <w:rPr>
          <w:color w:val="201F1E"/>
        </w:rPr>
        <w:t xml:space="preserve">that the waiver </w:t>
      </w:r>
      <w:r w:rsidRPr="2610F889" w:rsidR="00FA68DB">
        <w:rPr>
          <w:color w:val="201F1E"/>
        </w:rPr>
        <w:t>apply to all providers.</w:t>
      </w:r>
      <w:r>
        <w:rPr>
          <w:rStyle w:val="FootnoteReference"/>
          <w:snapToGrid/>
          <w:kern w:val="0"/>
          <w:shd w:val="clear" w:color="auto" w:fill="FFFFFF"/>
        </w:rPr>
        <w:footnoteReference w:id="48"/>
      </w:r>
      <w:r w:rsidRPr="2610F889" w:rsidR="00FA68DB">
        <w:rPr>
          <w:color w:val="201F1E"/>
        </w:rPr>
        <w:t xml:space="preserve">  </w:t>
      </w:r>
      <w:r w:rsidRPr="2610F889" w:rsidR="001F6806">
        <w:rPr>
          <w:color w:val="201F1E"/>
        </w:rPr>
        <w:t xml:space="preserve"> </w:t>
      </w:r>
      <w:r w:rsidRPr="2610F889" w:rsidR="000E033A">
        <w:rPr>
          <w:color w:val="201F1E"/>
        </w:rPr>
        <w:t xml:space="preserve"> </w:t>
      </w:r>
    </w:p>
    <w:p w:rsidR="00367D35" w:rsidRPr="00367D35" w:rsidP="001636DF" w14:paraId="4E286E86" w14:textId="5116BAFA">
      <w:pPr>
        <w:pStyle w:val="ParaNum"/>
        <w:rPr>
          <w:snapToGrid/>
          <w:kern w:val="0"/>
        </w:rPr>
      </w:pPr>
      <w:r w:rsidRPr="05EB61F6">
        <w:t xml:space="preserve">Based on the record before us, the Bureau finds that good cause exists to waive the requirement </w:t>
      </w:r>
      <w:r w:rsidRPr="05EB61F6" w:rsidR="002A706B">
        <w:t xml:space="preserve">of </w:t>
      </w:r>
      <w:r w:rsidR="008A0DD4">
        <w:t xml:space="preserve">section </w:t>
      </w:r>
      <w:r w:rsidRPr="05EB61F6" w:rsidR="002A706B">
        <w:t>54.1606(e)(3)</w:t>
      </w:r>
      <w:r w:rsidR="008A0DD4">
        <w:t xml:space="preserve"> of our rules</w:t>
      </w:r>
      <w:r w:rsidR="002855D5">
        <w:rPr>
          <w:szCs w:val="22"/>
        </w:rPr>
        <w:t>,</w:t>
      </w:r>
      <w:r>
        <w:rPr>
          <w:rStyle w:val="FootnoteReference"/>
          <w:szCs w:val="22"/>
        </w:rPr>
        <w:footnoteReference w:id="49"/>
      </w:r>
      <w:r w:rsidR="002A706B">
        <w:rPr>
          <w:szCs w:val="22"/>
        </w:rPr>
        <w:t xml:space="preserve"> </w:t>
      </w:r>
      <w:r w:rsidRPr="05EB61F6" w:rsidR="002855D5">
        <w:t xml:space="preserve">which </w:t>
      </w:r>
      <w:r w:rsidRPr="05EB61F6" w:rsidR="002A706B">
        <w:t xml:space="preserve">prohibits a provider from seeking reimbursement for a connected device if </w:t>
      </w:r>
      <w:r w:rsidRPr="05EB61F6" w:rsidR="00F80C48">
        <w:t xml:space="preserve">the provider is </w:t>
      </w:r>
      <w:r w:rsidRPr="05EB61F6" w:rsidR="004D2A5D">
        <w:t>not providing EBB-supported service to that household</w:t>
      </w:r>
      <w:r w:rsidR="002855D5">
        <w:rPr>
          <w:szCs w:val="22"/>
        </w:rPr>
        <w:t>,</w:t>
      </w:r>
      <w:r w:rsidRPr="05EB61F6" w:rsidR="000D5E0B">
        <w:t xml:space="preserve"> in instances where the household, at the time the connected device was supplied, was receiving EBB-supported service from the provider but </w:t>
      </w:r>
      <w:r w:rsidRPr="05EB61F6" w:rsidR="00EC5241">
        <w:t xml:space="preserve">later </w:t>
      </w:r>
      <w:r w:rsidRPr="05EB61F6" w:rsidR="000D5E0B">
        <w:t xml:space="preserve">transfers </w:t>
      </w:r>
      <w:r w:rsidRPr="05EB61F6" w:rsidR="00A9583E">
        <w:t>their benefit to another provider before the snapshot date for that service month</w:t>
      </w:r>
      <w:r w:rsidR="00A524AD">
        <w:rPr>
          <w:szCs w:val="22"/>
        </w:rPr>
        <w:t xml:space="preserve">.  </w:t>
      </w:r>
      <w:r w:rsidR="00AA7AB9">
        <w:t xml:space="preserve">Similarly, the Bureau waives </w:t>
      </w:r>
      <w:r w:rsidR="00766CDF">
        <w:t xml:space="preserve">the requirement of </w:t>
      </w:r>
      <w:r w:rsidR="008A0DD4">
        <w:t xml:space="preserve">section </w:t>
      </w:r>
      <w:r w:rsidR="00766CDF">
        <w:t>54.1608(d)</w:t>
      </w:r>
      <w:r>
        <w:rPr>
          <w:rStyle w:val="FootnoteReference"/>
          <w:szCs w:val="22"/>
        </w:rPr>
        <w:footnoteReference w:id="50"/>
      </w:r>
      <w:r w:rsidR="00766CDF">
        <w:t xml:space="preserve"> to the extent it requires a </w:t>
      </w:r>
      <w:r w:rsidR="00140941">
        <w:t>provider to claim a connected device for a household if the household is receiving monthly support from the provider at the time of the snapshot date.</w:t>
      </w:r>
      <w:r w:rsidR="00E62024">
        <w:t xml:space="preserve"> </w:t>
      </w:r>
      <w:r w:rsidR="00140941">
        <w:t xml:space="preserve"> </w:t>
      </w:r>
      <w:r w:rsidRPr="05EB61F6" w:rsidR="0087282C">
        <w:t xml:space="preserve">The Consolidated Appropriations Act </w:t>
      </w:r>
      <w:r w:rsidRPr="05EB61F6" w:rsidR="00A524AD">
        <w:t>provides</w:t>
      </w:r>
      <w:r w:rsidR="0087282C">
        <w:rPr>
          <w:szCs w:val="22"/>
        </w:rPr>
        <w:t xml:space="preserve"> </w:t>
      </w:r>
      <w:r w:rsidRPr="05EB61F6" w:rsidR="00606B77">
        <w:t>that</w:t>
      </w:r>
      <w:r w:rsidRPr="05EB61F6" w:rsidR="00EF327A">
        <w:t xml:space="preserve"> a</w:t>
      </w:r>
      <w:r w:rsidRPr="05EB61F6" w:rsidR="00423CF4">
        <w:t xml:space="preserve"> participating provider that, </w:t>
      </w:r>
      <w:r w:rsidR="00EF327A">
        <w:rPr>
          <w:szCs w:val="22"/>
        </w:rPr>
        <w:t>“</w:t>
      </w:r>
      <w:r w:rsidRPr="05EB61F6" w:rsidR="00423CF4">
        <w:t>in addition to providing the emergency broadband benefit to an eligible household, supplies such household with a connected device may be reimbursed up to $100 from the Emergency Broadband Connectivity Fund</w:t>
      </w:r>
      <w:r w:rsidR="008A0DD4">
        <w:t xml:space="preserve"> </w:t>
      </w:r>
      <w:r w:rsidR="001B077A">
        <w:rPr>
          <w:szCs w:val="22"/>
        </w:rPr>
        <w:t>.</w:t>
      </w:r>
      <w:r w:rsidR="008A0DD4">
        <w:t xml:space="preserve"> </w:t>
      </w:r>
      <w:r w:rsidR="001B077A">
        <w:rPr>
          <w:szCs w:val="22"/>
        </w:rPr>
        <w:t>.</w:t>
      </w:r>
      <w:r w:rsidR="008A0DD4">
        <w:t xml:space="preserve"> </w:t>
      </w:r>
      <w:r w:rsidR="001B077A">
        <w:rPr>
          <w:szCs w:val="22"/>
        </w:rPr>
        <w:t>.</w:t>
      </w:r>
      <w:r w:rsidR="008A0DD4">
        <w:t xml:space="preserve"> .</w:t>
      </w:r>
      <w:r w:rsidR="001B077A">
        <w:rPr>
          <w:szCs w:val="22"/>
        </w:rPr>
        <w:t>”</w:t>
      </w:r>
      <w:r>
        <w:rPr>
          <w:rStyle w:val="FootnoteReference"/>
        </w:rPr>
        <w:footnoteReference w:id="51"/>
      </w:r>
      <w:r w:rsidRPr="05EB61F6" w:rsidR="00244D6C">
        <w:t xml:space="preserve">  We find that this waiver </w:t>
      </w:r>
      <w:r w:rsidRPr="05EB61F6" w:rsidR="00705221">
        <w:t xml:space="preserve">does not disturb the </w:t>
      </w:r>
      <w:r w:rsidRPr="05EB61F6" w:rsidR="00EC5241">
        <w:t xml:space="preserve">statutory </w:t>
      </w:r>
      <w:r w:rsidRPr="05EB61F6" w:rsidR="00705221">
        <w:t xml:space="preserve">requirement that the connected device </w:t>
      </w:r>
      <w:r w:rsidRPr="05EB61F6" w:rsidR="00F47626">
        <w:t xml:space="preserve">discount </w:t>
      </w:r>
      <w:r w:rsidRPr="05EB61F6" w:rsidR="007A0BE0">
        <w:t xml:space="preserve">only </w:t>
      </w:r>
      <w:r w:rsidRPr="05EB61F6" w:rsidR="00F47626">
        <w:t xml:space="preserve">be provided to households that </w:t>
      </w:r>
      <w:r w:rsidRPr="05EB61F6" w:rsidR="00204563">
        <w:t>were</w:t>
      </w:r>
      <w:r w:rsidRPr="05EB61F6" w:rsidR="00F47626">
        <w:t xml:space="preserve"> receiving </w:t>
      </w:r>
      <w:r w:rsidRPr="05EB61F6" w:rsidR="0038408E">
        <w:t xml:space="preserve">the </w:t>
      </w:r>
      <w:r w:rsidRPr="05EB61F6" w:rsidR="00F47626">
        <w:t>EBB service from the provider at the time the</w:t>
      </w:r>
      <w:r w:rsidRPr="05EB61F6" w:rsidR="00204563">
        <w:t xml:space="preserve"> connected</w:t>
      </w:r>
      <w:r w:rsidRPr="05EB61F6" w:rsidR="00F47626">
        <w:t xml:space="preserve"> device was supplied.  </w:t>
      </w:r>
    </w:p>
    <w:p w:rsidR="003C5068" w:rsidP="001636DF" w14:paraId="2AD9BAF4" w14:textId="28039890">
      <w:pPr>
        <w:pStyle w:val="ParaNum"/>
        <w:rPr>
          <w:snapToGrid/>
          <w:kern w:val="0"/>
        </w:rPr>
      </w:pPr>
      <w:r w:rsidRPr="05EB61F6">
        <w:rPr>
          <w:snapToGrid/>
          <w:kern w:val="0"/>
        </w:rPr>
        <w:t>We are also convinced that</w:t>
      </w:r>
      <w:r w:rsidRPr="05EB61F6" w:rsidR="00E47BAD">
        <w:rPr>
          <w:snapToGrid/>
          <w:kern w:val="0"/>
        </w:rPr>
        <w:t xml:space="preserve"> preventing providers from seeking reimbursement for connected devices provided to households that subsequently transfer their benefit before the provider can claim </w:t>
      </w:r>
      <w:r w:rsidRPr="05EB61F6" w:rsidR="00911FE3">
        <w:rPr>
          <w:snapToGrid/>
          <w:kern w:val="0"/>
        </w:rPr>
        <w:t>reimbursement poses a substantial hardship for Cox and all other EBB Program participating providers that have elected to offer a connected device.</w:t>
      </w:r>
      <w:r w:rsidR="00C52EA4">
        <w:rPr>
          <w:snapToGrid/>
          <w:kern w:val="0"/>
          <w:szCs w:val="22"/>
        </w:rPr>
        <w:t xml:space="preserve">  </w:t>
      </w:r>
      <w:r w:rsidRPr="05EB61F6" w:rsidR="00EC5241">
        <w:rPr>
          <w:snapToGrid/>
          <w:kern w:val="0"/>
        </w:rPr>
        <w:t>W</w:t>
      </w:r>
      <w:r w:rsidRPr="05EB61F6" w:rsidR="00821499">
        <w:rPr>
          <w:snapToGrid/>
          <w:kern w:val="0"/>
        </w:rPr>
        <w:t xml:space="preserve">e find </w:t>
      </w:r>
      <w:r w:rsidRPr="05EB61F6" w:rsidR="00AB6837">
        <w:rPr>
          <w:snapToGrid/>
          <w:kern w:val="0"/>
        </w:rPr>
        <w:t xml:space="preserve">this waiver </w:t>
      </w:r>
      <w:r w:rsidRPr="05EB61F6" w:rsidR="003612BD">
        <w:rPr>
          <w:snapToGrid/>
          <w:kern w:val="0"/>
        </w:rPr>
        <w:t xml:space="preserve">is </w:t>
      </w:r>
      <w:r w:rsidRPr="05EB61F6" w:rsidR="004712E5">
        <w:rPr>
          <w:snapToGrid/>
          <w:kern w:val="0"/>
        </w:rPr>
        <w:t xml:space="preserve">in the public interest </w:t>
      </w:r>
      <w:r w:rsidRPr="05EB61F6">
        <w:rPr>
          <w:snapToGrid/>
          <w:kern w:val="0"/>
        </w:rPr>
        <w:t>b</w:t>
      </w:r>
      <w:r w:rsidRPr="05EB61F6" w:rsidR="00EC5241">
        <w:rPr>
          <w:snapToGrid/>
          <w:kern w:val="0"/>
        </w:rPr>
        <w:t xml:space="preserve">ecause it will allow a household’s first provider to seek reimbursement for the connected device that </w:t>
      </w:r>
      <w:r w:rsidRPr="05EB61F6" w:rsidR="00EC5241">
        <w:rPr>
          <w:snapToGrid/>
          <w:kern w:val="0"/>
        </w:rPr>
        <w:t xml:space="preserve">initially helped the household obtain the supported connectivity.  The waiver also </w:t>
      </w:r>
      <w:r w:rsidRPr="05EB61F6">
        <w:rPr>
          <w:snapToGrid/>
          <w:kern w:val="0"/>
        </w:rPr>
        <w:t>remov</w:t>
      </w:r>
      <w:r w:rsidRPr="05EB61F6" w:rsidR="00EC5241">
        <w:rPr>
          <w:snapToGrid/>
          <w:kern w:val="0"/>
        </w:rPr>
        <w:t>es</w:t>
      </w:r>
      <w:r w:rsidRPr="05EB61F6" w:rsidR="00AB6837">
        <w:rPr>
          <w:snapToGrid/>
          <w:kern w:val="0"/>
        </w:rPr>
        <w:t xml:space="preserve"> a financial disincentive </w:t>
      </w:r>
      <w:r w:rsidRPr="05EB61F6" w:rsidR="00EC5241">
        <w:rPr>
          <w:snapToGrid/>
          <w:kern w:val="0"/>
        </w:rPr>
        <w:t xml:space="preserve">that could discourage providers from offering the connected device.  In particular, without this waiver, </w:t>
      </w:r>
      <w:r w:rsidRPr="05EB61F6" w:rsidR="00E6716D">
        <w:rPr>
          <w:snapToGrid/>
          <w:kern w:val="0"/>
        </w:rPr>
        <w:t xml:space="preserve">providers </w:t>
      </w:r>
      <w:r w:rsidRPr="05EB61F6" w:rsidR="00EC5241">
        <w:rPr>
          <w:snapToGrid/>
          <w:kern w:val="0"/>
        </w:rPr>
        <w:t xml:space="preserve">would be unable to seek reimbursement for </w:t>
      </w:r>
      <w:r w:rsidRPr="05EB61F6" w:rsidR="00417059">
        <w:rPr>
          <w:snapToGrid/>
          <w:kern w:val="0"/>
        </w:rPr>
        <w:t>a connected device through the Program</w:t>
      </w:r>
      <w:r w:rsidRPr="05EB61F6" w:rsidR="00EC5241">
        <w:rPr>
          <w:snapToGrid/>
          <w:kern w:val="0"/>
        </w:rPr>
        <w:t xml:space="preserve"> if the household transferred its benefit to another provider</w:t>
      </w:r>
      <w:r>
        <w:rPr>
          <w:snapToGrid/>
          <w:kern w:val="0"/>
          <w:szCs w:val="22"/>
        </w:rPr>
        <w:t>.</w:t>
      </w:r>
      <w:r>
        <w:rPr>
          <w:rStyle w:val="FootnoteReference"/>
          <w:snapToGrid/>
          <w:kern w:val="0"/>
        </w:rPr>
        <w:footnoteReference w:id="52"/>
      </w:r>
      <w:r w:rsidR="004712E5">
        <w:rPr>
          <w:snapToGrid/>
          <w:kern w:val="0"/>
          <w:szCs w:val="22"/>
        </w:rPr>
        <w:t xml:space="preserve"> </w:t>
      </w:r>
      <w:r w:rsidR="00E52EC4">
        <w:t xml:space="preserve"> </w:t>
      </w:r>
      <w:r w:rsidRPr="05EB61F6" w:rsidR="00BD32C7">
        <w:rPr>
          <w:snapToGrid/>
          <w:kern w:val="0"/>
        </w:rPr>
        <w:t xml:space="preserve">By removing uncertainty regarding a provider’s ability to </w:t>
      </w:r>
      <w:r w:rsidRPr="05EB61F6" w:rsidR="00037FC3">
        <w:rPr>
          <w:snapToGrid/>
          <w:kern w:val="0"/>
        </w:rPr>
        <w:t xml:space="preserve">seek reimbursement for a device where the household subsequently transfers its benefit, </w:t>
      </w:r>
      <w:r w:rsidRPr="05EB61F6" w:rsidR="00894860">
        <w:rPr>
          <w:snapToGrid/>
          <w:kern w:val="0"/>
        </w:rPr>
        <w:t xml:space="preserve">the </w:t>
      </w:r>
      <w:r w:rsidRPr="05EB61F6" w:rsidR="00237ADC">
        <w:rPr>
          <w:snapToGrid/>
          <w:kern w:val="0"/>
        </w:rPr>
        <w:t xml:space="preserve">Bureau </w:t>
      </w:r>
      <w:r w:rsidRPr="05EB61F6" w:rsidR="00C67882">
        <w:rPr>
          <w:snapToGrid/>
          <w:kern w:val="0"/>
        </w:rPr>
        <w:t>expects</w:t>
      </w:r>
      <w:r w:rsidRPr="05EB61F6" w:rsidR="00237ADC">
        <w:rPr>
          <w:snapToGrid/>
          <w:kern w:val="0"/>
        </w:rPr>
        <w:t xml:space="preserve"> this waiver will encourage providers to offer a connected device through the EBB Program</w:t>
      </w:r>
      <w:r w:rsidR="00894860">
        <w:rPr>
          <w:snapToGrid/>
          <w:kern w:val="0"/>
          <w:szCs w:val="22"/>
        </w:rPr>
        <w:t>.</w:t>
      </w:r>
      <w:r w:rsidR="00237ADC">
        <w:rPr>
          <w:snapToGrid/>
          <w:kern w:val="0"/>
          <w:szCs w:val="22"/>
        </w:rPr>
        <w:t xml:space="preserve"> </w:t>
      </w:r>
      <w:r w:rsidR="004712E5">
        <w:rPr>
          <w:snapToGrid/>
          <w:kern w:val="0"/>
          <w:szCs w:val="22"/>
        </w:rPr>
        <w:t xml:space="preserve"> </w:t>
      </w:r>
      <w:r w:rsidRPr="05EB61F6" w:rsidR="00692AEB">
        <w:rPr>
          <w:snapToGrid/>
          <w:kern w:val="0"/>
        </w:rPr>
        <w:t xml:space="preserve">Providers are not required to offer a connected device through the EBB Program, but those that </w:t>
      </w:r>
      <w:r w:rsidR="00E52EC4">
        <w:t xml:space="preserve">do </w:t>
      </w:r>
      <w:r w:rsidRPr="05EB61F6" w:rsidR="00D15E16">
        <w:rPr>
          <w:snapToGrid/>
          <w:kern w:val="0"/>
        </w:rPr>
        <w:t>are giving households the opportunity to maximi</w:t>
      </w:r>
      <w:r w:rsidRPr="05EB61F6" w:rsidR="0036448E">
        <w:rPr>
          <w:snapToGrid/>
          <w:kern w:val="0"/>
        </w:rPr>
        <w:t xml:space="preserve">ze their monthly </w:t>
      </w:r>
      <w:r w:rsidRPr="05EB61F6" w:rsidR="00B20F92">
        <w:rPr>
          <w:snapToGrid/>
          <w:kern w:val="0"/>
        </w:rPr>
        <w:t xml:space="preserve">broadband service </w:t>
      </w:r>
      <w:r w:rsidRPr="05EB61F6" w:rsidR="0036448E">
        <w:rPr>
          <w:snapToGrid/>
          <w:kern w:val="0"/>
        </w:rPr>
        <w:t>benefit</w:t>
      </w:r>
      <w:r w:rsidRPr="05EB61F6" w:rsidR="005F5FA4">
        <w:rPr>
          <w:snapToGrid/>
          <w:kern w:val="0"/>
        </w:rPr>
        <w:t xml:space="preserve"> by obtaining a device that allows them to contact employers, </w:t>
      </w:r>
      <w:r w:rsidRPr="05EB61F6" w:rsidR="002C00CF">
        <w:rPr>
          <w:snapToGrid/>
          <w:kern w:val="0"/>
        </w:rPr>
        <w:t>participate in school</w:t>
      </w:r>
      <w:r w:rsidR="00023572">
        <w:rPr>
          <w:snapToGrid/>
          <w:kern w:val="0"/>
          <w:szCs w:val="22"/>
        </w:rPr>
        <w:t xml:space="preserve">, </w:t>
      </w:r>
      <w:r w:rsidRPr="05EB61F6" w:rsidR="00BC6952">
        <w:rPr>
          <w:snapToGrid/>
          <w:kern w:val="0"/>
        </w:rPr>
        <w:t>check</w:t>
      </w:r>
      <w:r w:rsidR="0098359B">
        <w:rPr>
          <w:snapToGrid/>
          <w:kern w:val="0"/>
          <w:szCs w:val="22"/>
        </w:rPr>
        <w:t xml:space="preserve"> </w:t>
      </w:r>
      <w:r w:rsidRPr="05EB61F6" w:rsidR="00BC6952">
        <w:rPr>
          <w:snapToGrid/>
          <w:kern w:val="0"/>
        </w:rPr>
        <w:t>in</w:t>
      </w:r>
      <w:r w:rsidRPr="05EB61F6" w:rsidR="002C00CF">
        <w:rPr>
          <w:snapToGrid/>
          <w:kern w:val="0"/>
        </w:rPr>
        <w:t xml:space="preserve"> with medical providers</w:t>
      </w:r>
      <w:r w:rsidR="007E398F">
        <w:rPr>
          <w:snapToGrid/>
          <w:kern w:val="0"/>
          <w:szCs w:val="22"/>
        </w:rPr>
        <w:t>,</w:t>
      </w:r>
      <w:r w:rsidR="00CF20B2">
        <w:rPr>
          <w:snapToGrid/>
          <w:kern w:val="0"/>
          <w:szCs w:val="22"/>
        </w:rPr>
        <w:t xml:space="preserve"> </w:t>
      </w:r>
      <w:r w:rsidRPr="05EB61F6" w:rsidR="00BC6952">
        <w:rPr>
          <w:snapToGrid/>
          <w:kern w:val="0"/>
        </w:rPr>
        <w:t>and connect with family</w:t>
      </w:r>
      <w:r w:rsidR="002C00CF">
        <w:rPr>
          <w:snapToGrid/>
          <w:kern w:val="0"/>
          <w:szCs w:val="22"/>
        </w:rPr>
        <w:t>.</w:t>
      </w:r>
      <w:r>
        <w:rPr>
          <w:rStyle w:val="FootnoteReference"/>
          <w:snapToGrid/>
          <w:kern w:val="0"/>
        </w:rPr>
        <w:footnoteReference w:id="53"/>
      </w:r>
      <w:r w:rsidR="002C00CF">
        <w:rPr>
          <w:snapToGrid/>
          <w:kern w:val="0"/>
          <w:szCs w:val="22"/>
        </w:rPr>
        <w:t xml:space="preserve"> </w:t>
      </w:r>
      <w:r w:rsidRPr="05EB61F6" w:rsidR="00894860">
        <w:rPr>
          <w:snapToGrid/>
          <w:kern w:val="0"/>
        </w:rPr>
        <w:t xml:space="preserve"> We hope that this </w:t>
      </w:r>
      <w:r w:rsidRPr="05EB61F6" w:rsidR="00BF58EA">
        <w:rPr>
          <w:snapToGrid/>
          <w:kern w:val="0"/>
        </w:rPr>
        <w:t>waiver</w:t>
      </w:r>
      <w:r w:rsidRPr="05EB61F6" w:rsidR="008E4DAD">
        <w:rPr>
          <w:snapToGrid/>
          <w:kern w:val="0"/>
        </w:rPr>
        <w:t xml:space="preserve"> not only</w:t>
      </w:r>
      <w:r w:rsidRPr="05EB61F6" w:rsidR="00F20A30">
        <w:rPr>
          <w:snapToGrid/>
          <w:kern w:val="0"/>
        </w:rPr>
        <w:t xml:space="preserve"> encourages providers to continue offering connected devices but </w:t>
      </w:r>
      <w:r w:rsidRPr="05EB61F6" w:rsidR="002B74F4">
        <w:rPr>
          <w:snapToGrid/>
          <w:kern w:val="0"/>
        </w:rPr>
        <w:t xml:space="preserve">motivates </w:t>
      </w:r>
      <w:r w:rsidR="006F2A60">
        <w:t xml:space="preserve">other </w:t>
      </w:r>
      <w:r w:rsidRPr="05EB61F6" w:rsidR="00A660F7">
        <w:rPr>
          <w:snapToGrid/>
          <w:kern w:val="0"/>
        </w:rPr>
        <w:t>participating providers</w:t>
      </w:r>
      <w:r w:rsidRPr="05EB61F6" w:rsidR="002B74F4">
        <w:rPr>
          <w:snapToGrid/>
          <w:kern w:val="0"/>
        </w:rPr>
        <w:t xml:space="preserve"> to </w:t>
      </w:r>
      <w:r w:rsidRPr="05EB61F6" w:rsidR="00DA4B3C">
        <w:rPr>
          <w:snapToGrid/>
          <w:kern w:val="0"/>
        </w:rPr>
        <w:t xml:space="preserve">elect to offer connected devices as well.  </w:t>
      </w:r>
      <w:r w:rsidR="002C00CF">
        <w:rPr>
          <w:snapToGrid/>
          <w:kern w:val="0"/>
          <w:szCs w:val="22"/>
        </w:rPr>
        <w:t xml:space="preserve"> </w:t>
      </w:r>
    </w:p>
    <w:p w:rsidR="003B53E6" w:rsidP="001636DF" w14:paraId="5B441FE2" w14:textId="32E176B7">
      <w:pPr>
        <w:pStyle w:val="ParaNum"/>
        <w:rPr>
          <w:snapToGrid/>
          <w:kern w:val="0"/>
        </w:rPr>
      </w:pPr>
      <w:r w:rsidRPr="05EB61F6">
        <w:rPr>
          <w:snapToGrid/>
          <w:kern w:val="0"/>
        </w:rPr>
        <w:t xml:space="preserve">We also find that granting this waiver to Cox and extending it to all participating providers </w:t>
      </w:r>
      <w:r w:rsidRPr="05EB61F6" w:rsidR="00773F73">
        <w:rPr>
          <w:snapToGrid/>
          <w:kern w:val="0"/>
        </w:rPr>
        <w:t>should</w:t>
      </w:r>
      <w:r w:rsidRPr="05EB61F6">
        <w:rPr>
          <w:snapToGrid/>
          <w:kern w:val="0"/>
        </w:rPr>
        <w:t xml:space="preserve"> not undermine </w:t>
      </w:r>
      <w:r w:rsidRPr="05EB61F6" w:rsidR="00773F73">
        <w:rPr>
          <w:snapToGrid/>
          <w:kern w:val="0"/>
        </w:rPr>
        <w:t xml:space="preserve">any program integrity controls and invite waste, fraud, and abuse.  First, </w:t>
      </w:r>
      <w:r w:rsidRPr="05EB61F6" w:rsidR="008434E3">
        <w:rPr>
          <w:snapToGrid/>
          <w:kern w:val="0"/>
        </w:rPr>
        <w:t xml:space="preserve">providers submitting a reimbursement claim for connected devices </w:t>
      </w:r>
      <w:r w:rsidRPr="05EB61F6" w:rsidR="00CF2A51">
        <w:rPr>
          <w:snapToGrid/>
          <w:kern w:val="0"/>
        </w:rPr>
        <w:t xml:space="preserve">supplied to </w:t>
      </w:r>
      <w:r w:rsidRPr="05EB61F6" w:rsidR="0044650B">
        <w:rPr>
          <w:snapToGrid/>
          <w:kern w:val="0"/>
        </w:rPr>
        <w:t xml:space="preserve">households that have since transferred their benefit must still make the certifications required in </w:t>
      </w:r>
      <w:r w:rsidR="006F2A60">
        <w:t xml:space="preserve">section </w:t>
      </w:r>
      <w:r w:rsidRPr="05EB61F6" w:rsidR="002811DC">
        <w:rPr>
          <w:snapToGrid/>
          <w:kern w:val="0"/>
        </w:rPr>
        <w:t>54</w:t>
      </w:r>
      <w:r w:rsidRPr="05EB61F6" w:rsidR="0044650B">
        <w:rPr>
          <w:snapToGrid/>
          <w:kern w:val="0"/>
        </w:rPr>
        <w:t>.160</w:t>
      </w:r>
      <w:r w:rsidRPr="05EB61F6" w:rsidR="002811DC">
        <w:rPr>
          <w:snapToGrid/>
          <w:kern w:val="0"/>
        </w:rPr>
        <w:t>8</w:t>
      </w:r>
      <w:r w:rsidR="006F2A60">
        <w:t xml:space="preserve"> of the Commission’s rules</w:t>
      </w:r>
      <w:r w:rsidR="002811DC">
        <w:rPr>
          <w:snapToGrid/>
          <w:kern w:val="0"/>
          <w:szCs w:val="22"/>
        </w:rPr>
        <w:t>.</w:t>
      </w:r>
      <w:r>
        <w:rPr>
          <w:rStyle w:val="FootnoteReference"/>
          <w:snapToGrid/>
          <w:kern w:val="0"/>
          <w:szCs w:val="22"/>
        </w:rPr>
        <w:footnoteReference w:id="54"/>
      </w:r>
      <w:r w:rsidRPr="05EB61F6" w:rsidR="002811DC">
        <w:rPr>
          <w:snapToGrid/>
          <w:kern w:val="0"/>
        </w:rPr>
        <w:t xml:space="preserve">  Second, </w:t>
      </w:r>
      <w:r w:rsidRPr="05EB61F6" w:rsidR="00791F2F">
        <w:rPr>
          <w:snapToGrid/>
          <w:kern w:val="0"/>
        </w:rPr>
        <w:t xml:space="preserve">USAC will be able to confirm that the household for which the connected device reimbursement is claimed was </w:t>
      </w:r>
      <w:r w:rsidRPr="05EB61F6" w:rsidR="00FD1475">
        <w:rPr>
          <w:snapToGrid/>
          <w:kern w:val="0"/>
        </w:rPr>
        <w:t>enrolled with the provider during the service month</w:t>
      </w:r>
      <w:r w:rsidRPr="05EB61F6" w:rsidR="00E5054F">
        <w:rPr>
          <w:snapToGrid/>
          <w:kern w:val="0"/>
        </w:rPr>
        <w:t xml:space="preserve">.  Third, </w:t>
      </w:r>
      <w:r w:rsidRPr="05EB61F6" w:rsidR="00222899">
        <w:rPr>
          <w:snapToGrid/>
          <w:kern w:val="0"/>
        </w:rPr>
        <w:t>this waiver does not alter the</w:t>
      </w:r>
      <w:r w:rsidRPr="05EB61F6" w:rsidR="00132F92">
        <w:rPr>
          <w:snapToGrid/>
          <w:kern w:val="0"/>
        </w:rPr>
        <w:t xml:space="preserve"> requirement </w:t>
      </w:r>
      <w:r w:rsidRPr="05EB61F6" w:rsidR="00222899">
        <w:rPr>
          <w:snapToGrid/>
          <w:kern w:val="0"/>
        </w:rPr>
        <w:t xml:space="preserve">that </w:t>
      </w:r>
      <w:r w:rsidRPr="05EB61F6" w:rsidR="00132F92">
        <w:rPr>
          <w:snapToGrid/>
          <w:kern w:val="0"/>
        </w:rPr>
        <w:t xml:space="preserve">the first provider to transmit information about </w:t>
      </w:r>
      <w:r w:rsidRPr="05EB61F6" w:rsidR="002E487D">
        <w:rPr>
          <w:snapToGrid/>
          <w:kern w:val="0"/>
        </w:rPr>
        <w:t xml:space="preserve">a connected device for the household pursuant to </w:t>
      </w:r>
      <w:r w:rsidR="006F2A60">
        <w:t xml:space="preserve">section </w:t>
      </w:r>
      <w:r w:rsidRPr="05EB61F6" w:rsidR="002E487D">
        <w:rPr>
          <w:snapToGrid/>
          <w:kern w:val="0"/>
        </w:rPr>
        <w:t>54.1606(e)(4) will be entitled to claim the connected device reimbursement for that household.</w:t>
      </w:r>
      <w:r>
        <w:rPr>
          <w:rStyle w:val="FootnoteReference"/>
          <w:snapToGrid/>
          <w:kern w:val="0"/>
          <w:szCs w:val="22"/>
        </w:rPr>
        <w:footnoteReference w:id="55"/>
      </w:r>
      <w:r w:rsidR="002E487D">
        <w:rPr>
          <w:snapToGrid/>
          <w:kern w:val="0"/>
          <w:szCs w:val="22"/>
        </w:rPr>
        <w:t xml:space="preserve"> </w:t>
      </w:r>
      <w:r w:rsidR="00132F92">
        <w:rPr>
          <w:snapToGrid/>
          <w:kern w:val="0"/>
          <w:szCs w:val="22"/>
        </w:rPr>
        <w:t xml:space="preserve"> </w:t>
      </w:r>
      <w:r w:rsidRPr="05EB61F6" w:rsidR="00012C57">
        <w:rPr>
          <w:snapToGrid/>
          <w:kern w:val="0"/>
        </w:rPr>
        <w:t>To support this waiver, the</w:t>
      </w:r>
      <w:r w:rsidRPr="05EB61F6" w:rsidR="00A14585">
        <w:rPr>
          <w:snapToGrid/>
          <w:kern w:val="0"/>
        </w:rPr>
        <w:t xml:space="preserve"> NLAD </w:t>
      </w:r>
      <w:r w:rsidRPr="05EB61F6" w:rsidR="00012C57">
        <w:rPr>
          <w:snapToGrid/>
          <w:kern w:val="0"/>
        </w:rPr>
        <w:t>will begin</w:t>
      </w:r>
      <w:r w:rsidRPr="05EB61F6" w:rsidR="00AE6D2A">
        <w:rPr>
          <w:snapToGrid/>
          <w:kern w:val="0"/>
        </w:rPr>
        <w:t xml:space="preserve"> to</w:t>
      </w:r>
      <w:r w:rsidRPr="05EB61F6" w:rsidR="00012C57">
        <w:rPr>
          <w:snapToGrid/>
          <w:kern w:val="0"/>
        </w:rPr>
        <w:t xml:space="preserve"> issue a </w:t>
      </w:r>
      <w:r w:rsidRPr="05EB61F6" w:rsidR="00A14585">
        <w:rPr>
          <w:snapToGrid/>
          <w:kern w:val="0"/>
        </w:rPr>
        <w:t xml:space="preserve">warning </w:t>
      </w:r>
      <w:r w:rsidRPr="05EB61F6" w:rsidR="00012C57">
        <w:rPr>
          <w:snapToGrid/>
          <w:kern w:val="0"/>
        </w:rPr>
        <w:t xml:space="preserve">to </w:t>
      </w:r>
      <w:r w:rsidRPr="05EB61F6" w:rsidR="00A14585">
        <w:rPr>
          <w:snapToGrid/>
          <w:kern w:val="0"/>
        </w:rPr>
        <w:t>providers</w:t>
      </w:r>
      <w:r w:rsidR="00A14585">
        <w:rPr>
          <w:snapToGrid/>
          <w:kern w:val="0"/>
          <w:szCs w:val="22"/>
        </w:rPr>
        <w:t xml:space="preserve"> </w:t>
      </w:r>
      <w:r w:rsidRPr="05EB61F6" w:rsidR="00012C57">
        <w:rPr>
          <w:snapToGrid/>
          <w:kern w:val="0"/>
        </w:rPr>
        <w:t>that</w:t>
      </w:r>
      <w:r w:rsidR="00A14585">
        <w:rPr>
          <w:snapToGrid/>
          <w:kern w:val="0"/>
          <w:szCs w:val="22"/>
        </w:rPr>
        <w:t xml:space="preserve"> </w:t>
      </w:r>
      <w:r w:rsidRPr="05EB61F6" w:rsidR="00AE4BB6">
        <w:rPr>
          <w:snapToGrid/>
          <w:kern w:val="0"/>
        </w:rPr>
        <w:t>a</w:t>
      </w:r>
      <w:r w:rsidRPr="05EB61F6" w:rsidR="00A14585">
        <w:rPr>
          <w:snapToGrid/>
          <w:kern w:val="0"/>
        </w:rPr>
        <w:t xml:space="preserve">ttempt to enroll a </w:t>
      </w:r>
      <w:r w:rsidRPr="05EB61F6" w:rsidR="00695535">
        <w:rPr>
          <w:snapToGrid/>
          <w:kern w:val="0"/>
        </w:rPr>
        <w:t>household</w:t>
      </w:r>
      <w:r w:rsidRPr="00A14585" w:rsidR="00695535">
        <w:rPr>
          <w:snapToGrid/>
          <w:kern w:val="0"/>
          <w:szCs w:val="22"/>
        </w:rPr>
        <w:t xml:space="preserve"> </w:t>
      </w:r>
      <w:r w:rsidRPr="05EB61F6" w:rsidR="00A14585">
        <w:rPr>
          <w:snapToGrid/>
          <w:kern w:val="0"/>
        </w:rPr>
        <w:t xml:space="preserve">if that </w:t>
      </w:r>
      <w:r w:rsidRPr="05EB61F6" w:rsidR="00695535">
        <w:rPr>
          <w:snapToGrid/>
          <w:kern w:val="0"/>
        </w:rPr>
        <w:t>household</w:t>
      </w:r>
      <w:r w:rsidRPr="00A14585" w:rsidR="00695535">
        <w:rPr>
          <w:snapToGrid/>
          <w:kern w:val="0"/>
          <w:szCs w:val="22"/>
        </w:rPr>
        <w:t xml:space="preserve"> </w:t>
      </w:r>
      <w:r w:rsidRPr="05EB61F6" w:rsidR="00A14585">
        <w:rPr>
          <w:snapToGrid/>
          <w:kern w:val="0"/>
        </w:rPr>
        <w:t>has already been enrolled for a connected device in the NLAD.</w:t>
      </w:r>
      <w:r>
        <w:rPr>
          <w:rStyle w:val="FootnoteReference"/>
          <w:snapToGrid/>
          <w:kern w:val="0"/>
        </w:rPr>
        <w:footnoteReference w:id="56"/>
      </w:r>
      <w:r w:rsidR="00A75095">
        <w:rPr>
          <w:snapToGrid/>
          <w:kern w:val="0"/>
          <w:szCs w:val="22"/>
        </w:rPr>
        <w:t xml:space="preserve">  </w:t>
      </w:r>
      <w:r w:rsidRPr="05EB61F6" w:rsidR="003A7EF1">
        <w:rPr>
          <w:snapToGrid/>
          <w:kern w:val="0"/>
        </w:rPr>
        <w:t>The</w:t>
      </w:r>
      <w:r w:rsidR="00A75095">
        <w:rPr>
          <w:snapToGrid/>
          <w:kern w:val="0"/>
          <w:szCs w:val="22"/>
        </w:rPr>
        <w:t xml:space="preserve"> </w:t>
      </w:r>
      <w:r w:rsidRPr="05EB61F6" w:rsidR="006B1412">
        <w:rPr>
          <w:snapToGrid/>
          <w:kern w:val="0"/>
        </w:rPr>
        <w:t xml:space="preserve">NLAD will also block connected device enrollments for a household if </w:t>
      </w:r>
      <w:r w:rsidRPr="05EB61F6" w:rsidR="00134A0F">
        <w:rPr>
          <w:snapToGrid/>
          <w:kern w:val="0"/>
        </w:rPr>
        <w:t>USAC has already processed a</w:t>
      </w:r>
      <w:r w:rsidRPr="05EB61F6" w:rsidR="00741656">
        <w:rPr>
          <w:snapToGrid/>
          <w:kern w:val="0"/>
        </w:rPr>
        <w:t xml:space="preserve"> reimbursement claim for the connected device benefit for that</w:t>
      </w:r>
      <w:r w:rsidRPr="05EB61F6" w:rsidR="006B1412">
        <w:rPr>
          <w:snapToGrid/>
          <w:kern w:val="0"/>
        </w:rPr>
        <w:t xml:space="preserve"> household</w:t>
      </w:r>
      <w:r w:rsidR="00741656">
        <w:rPr>
          <w:snapToGrid/>
          <w:kern w:val="0"/>
          <w:szCs w:val="22"/>
        </w:rPr>
        <w:t xml:space="preserve">. </w:t>
      </w:r>
      <w:r w:rsidR="006B1412">
        <w:rPr>
          <w:snapToGrid/>
          <w:kern w:val="0"/>
          <w:szCs w:val="22"/>
        </w:rPr>
        <w:t xml:space="preserve"> </w:t>
      </w:r>
      <w:r w:rsidRPr="05EB61F6" w:rsidR="00741656">
        <w:rPr>
          <w:snapToGrid/>
          <w:kern w:val="0"/>
        </w:rPr>
        <w:t xml:space="preserve">These safeguards </w:t>
      </w:r>
      <w:r w:rsidR="006F2A60">
        <w:t xml:space="preserve">will </w:t>
      </w:r>
      <w:r w:rsidRPr="05EB61F6" w:rsidR="00741656">
        <w:rPr>
          <w:snapToGrid/>
          <w:kern w:val="0"/>
        </w:rPr>
        <w:t xml:space="preserve">help </w:t>
      </w:r>
      <w:r w:rsidR="00BA0A67">
        <w:t xml:space="preserve">to </w:t>
      </w:r>
      <w:r w:rsidRPr="05EB61F6" w:rsidR="00A1540C">
        <w:rPr>
          <w:snapToGrid/>
          <w:kern w:val="0"/>
        </w:rPr>
        <w:t xml:space="preserve">ensure that reimbursement claims for connected devices comply with EBB Program rules and to </w:t>
      </w:r>
      <w:r w:rsidRPr="05EB61F6" w:rsidR="00B80D0C">
        <w:rPr>
          <w:snapToGrid/>
          <w:kern w:val="0"/>
        </w:rPr>
        <w:t>guard against waste, fraud, and abuse in the Program.</w:t>
      </w:r>
      <w:r>
        <w:rPr>
          <w:rStyle w:val="FootnoteReference"/>
          <w:snapToGrid/>
          <w:kern w:val="0"/>
        </w:rPr>
        <w:footnoteReference w:id="57"/>
      </w:r>
      <w:r w:rsidRPr="05EB61F6" w:rsidR="00B80D0C">
        <w:rPr>
          <w:snapToGrid/>
          <w:kern w:val="0"/>
        </w:rPr>
        <w:t xml:space="preserve">  </w:t>
      </w:r>
      <w:r w:rsidR="00307F43">
        <w:rPr>
          <w:snapToGrid/>
          <w:kern w:val="0"/>
        </w:rPr>
        <w:t>T</w:t>
      </w:r>
      <w:r w:rsidR="006F2B39">
        <w:rPr>
          <w:snapToGrid/>
          <w:kern w:val="0"/>
        </w:rPr>
        <w:t>he Bureau directs USAC to</w:t>
      </w:r>
      <w:r w:rsidRPr="00632BB2" w:rsidR="00632BB2">
        <w:rPr>
          <w:snapToGrid/>
          <w:kern w:val="0"/>
        </w:rPr>
        <w:t xml:space="preserve"> conduct outreach to </w:t>
      </w:r>
      <w:r w:rsidR="004717F1">
        <w:rPr>
          <w:snapToGrid/>
          <w:kern w:val="0"/>
        </w:rPr>
        <w:t xml:space="preserve">participating </w:t>
      </w:r>
      <w:r w:rsidRPr="00632BB2" w:rsidR="00632BB2">
        <w:rPr>
          <w:snapToGrid/>
          <w:kern w:val="0"/>
        </w:rPr>
        <w:t>providers with additional details on the process for submitting claims for any subscribers that do not appear in the monthly snapshot but for which they are entitled to claim the device benefit pursuant to the relief granted by this Order</w:t>
      </w:r>
      <w:r w:rsidR="00064BB7">
        <w:rPr>
          <w:snapToGrid/>
          <w:kern w:val="0"/>
        </w:rPr>
        <w:t xml:space="preserve">.  </w:t>
      </w:r>
    </w:p>
    <w:p w:rsidR="00D71074" w:rsidRPr="00DC3D98" w:rsidP="00D71074" w14:paraId="68077B83" w14:textId="77777777">
      <w:pPr>
        <w:pStyle w:val="Heading1"/>
        <w:rPr>
          <w:rFonts w:ascii="Times New Roman" w:hAnsi="Times New Roman"/>
          <w:snapToGrid/>
          <w:color w:val="201F1E"/>
          <w:kern w:val="0"/>
          <w:szCs w:val="22"/>
          <w:shd w:val="clear" w:color="auto" w:fill="FFFFFF"/>
        </w:rPr>
      </w:pPr>
      <w:r w:rsidRPr="00DC3D98">
        <w:rPr>
          <w:rFonts w:ascii="Times New Roman" w:hAnsi="Times New Roman"/>
          <w:snapToGrid/>
          <w:color w:val="201F1E"/>
          <w:kern w:val="0"/>
          <w:szCs w:val="22"/>
          <w:shd w:val="clear" w:color="auto" w:fill="FFFFFF"/>
        </w:rPr>
        <w:t xml:space="preserve">ORDering clause </w:t>
      </w:r>
    </w:p>
    <w:p w:rsidR="00D71074" w:rsidRPr="00D71074" w:rsidP="00AF7CC8" w14:paraId="021A3872" w14:textId="49C7ED0A">
      <w:pPr>
        <w:pStyle w:val="ParaNum"/>
        <w:widowControl/>
        <w:rPr>
          <w:snapToGrid/>
          <w:kern w:val="0"/>
          <w:sz w:val="24"/>
          <w:szCs w:val="24"/>
        </w:rPr>
      </w:pPr>
      <w:r>
        <w:t xml:space="preserve">ACCORDINGLY, IT IS ORDERED, pursuant to the authority contained in in Section 904 of Division N, Title IX of the Consolidated Appropriations Act, 2021, Pub. L. No 116-260, 134 Stat. 1182, and sections 0.91, 0.291, and 1.3 of the Commission’s rules, 47 CFR §§ 0.91, 0.291, and 1.3, that </w:t>
      </w:r>
      <w:r>
        <w:t>section</w:t>
      </w:r>
      <w:r w:rsidR="00464B1F">
        <w:t>s</w:t>
      </w:r>
      <w:r>
        <w:t xml:space="preserve"> </w:t>
      </w:r>
      <w:r w:rsidRPr="05EB61F6">
        <w:rPr>
          <w:rFonts w:ascii="TimesNewRomanPSMT" w:hAnsi="TimesNewRomanPSMT"/>
        </w:rPr>
        <w:t>47 CFR § 54.16</w:t>
      </w:r>
      <w:r w:rsidRPr="05EB61F6" w:rsidR="00681C55">
        <w:rPr>
          <w:rFonts w:ascii="TimesNewRomanPSMT" w:hAnsi="TimesNewRomanPSMT"/>
        </w:rPr>
        <w:t>06</w:t>
      </w:r>
      <w:r w:rsidRPr="05EB61F6">
        <w:rPr>
          <w:rFonts w:ascii="TimesNewRomanPSMT" w:hAnsi="TimesNewRomanPSMT"/>
        </w:rPr>
        <w:t>(</w:t>
      </w:r>
      <w:r w:rsidRPr="05EB61F6" w:rsidR="00681C55">
        <w:rPr>
          <w:rFonts w:ascii="TimesNewRomanPSMT" w:hAnsi="TimesNewRomanPSMT"/>
        </w:rPr>
        <w:t>e</w:t>
      </w:r>
      <w:r w:rsidRPr="05EB61F6">
        <w:rPr>
          <w:rFonts w:ascii="TimesNewRomanPSMT" w:hAnsi="TimesNewRomanPSMT"/>
        </w:rPr>
        <w:t>)</w:t>
      </w:r>
      <w:r w:rsidRPr="05EB61F6" w:rsidR="00AB4821">
        <w:rPr>
          <w:rFonts w:ascii="TimesNewRomanPSMT" w:hAnsi="TimesNewRomanPSMT"/>
        </w:rPr>
        <w:t>(3)</w:t>
      </w:r>
      <w:r w:rsidR="00464B1F">
        <w:rPr>
          <w:rFonts w:ascii="TimesNewRomanPSMT" w:hAnsi="TimesNewRomanPSMT"/>
        </w:rPr>
        <w:t xml:space="preserve"> and </w:t>
      </w:r>
      <w:r w:rsidR="003C571E">
        <w:rPr>
          <w:rFonts w:ascii="TimesNewRomanPSMT" w:hAnsi="TimesNewRomanPSMT"/>
        </w:rPr>
        <w:t>47 CFR § 54.1608</w:t>
      </w:r>
      <w:r w:rsidR="00AA077D">
        <w:rPr>
          <w:rFonts w:ascii="TimesNewRomanPSMT" w:hAnsi="TimesNewRomanPSMT"/>
        </w:rPr>
        <w:t>(d)</w:t>
      </w:r>
      <w:r w:rsidRPr="05EB61F6">
        <w:rPr>
          <w:rFonts w:ascii="TimesNewRomanPSMT" w:hAnsi="TimesNewRomanPSMT"/>
        </w:rPr>
        <w:t xml:space="preserve"> </w:t>
      </w:r>
      <w:r>
        <w:t xml:space="preserve">of the Commission’s rules is WAIVED to the limited extent provided herein and SHALL BE EFFECTIVE upon release. </w:t>
      </w:r>
    </w:p>
    <w:p w:rsidR="00D71074" w:rsidP="00D71074" w14:paraId="42F41773" w14:textId="77777777">
      <w:pPr>
        <w:pStyle w:val="ParaNum"/>
        <w:numPr>
          <w:ilvl w:val="0"/>
          <w:numId w:val="0"/>
        </w:numPr>
        <w:rPr>
          <w:szCs w:val="22"/>
        </w:rPr>
      </w:pPr>
    </w:p>
    <w:p w:rsidR="00D71074" w:rsidP="0017296B" w14:paraId="29346CCD" w14:textId="77777777">
      <w:r>
        <w:tab/>
      </w:r>
      <w:r>
        <w:tab/>
      </w:r>
      <w:r>
        <w:tab/>
      </w:r>
      <w:r>
        <w:tab/>
      </w:r>
      <w:r>
        <w:tab/>
      </w:r>
      <w:r>
        <w:tab/>
        <w:t>FEDERAL COMMUNICATIONS COMMISSION</w:t>
      </w:r>
    </w:p>
    <w:p w:rsidR="00D71074" w:rsidP="0017296B" w14:paraId="5B3EACAB" w14:textId="77777777"/>
    <w:p w:rsidR="00D71074" w:rsidP="0017296B" w14:paraId="0E72FECE" w14:textId="77777777"/>
    <w:p w:rsidR="00D71074" w:rsidP="0017296B" w14:paraId="6CA5E0C7" w14:textId="77777777"/>
    <w:p w:rsidR="00D71074" w:rsidRPr="00B53331" w:rsidP="00AF7CC8" w14:paraId="35833168" w14:textId="77777777">
      <w:pPr>
        <w:pStyle w:val="NormalWeb"/>
        <w:ind w:left="4320"/>
      </w:pPr>
      <w:r>
        <w:rPr>
          <w:sz w:val="22"/>
          <w:szCs w:val="22"/>
        </w:rPr>
        <w:t xml:space="preserve">Kris </w:t>
      </w:r>
      <w:r w:rsidR="00D44424">
        <w:rPr>
          <w:sz w:val="22"/>
          <w:szCs w:val="22"/>
        </w:rPr>
        <w:t>Anne</w:t>
      </w:r>
      <w:r w:rsidR="00A92252">
        <w:rPr>
          <w:sz w:val="22"/>
          <w:szCs w:val="22"/>
        </w:rPr>
        <w:t xml:space="preserve"> </w:t>
      </w:r>
      <w:r>
        <w:rPr>
          <w:sz w:val="22"/>
          <w:szCs w:val="22"/>
        </w:rPr>
        <w:t xml:space="preserve">Monteith </w:t>
      </w:r>
      <w:r w:rsidRPr="00B53331" w:rsidR="006E1610">
        <w:rPr>
          <w:sz w:val="22"/>
          <w:szCs w:val="22"/>
        </w:rPr>
        <w:br/>
        <w:t>Chief</w:t>
      </w:r>
      <w:r w:rsidRPr="00B53331" w:rsidR="006E1610">
        <w:rPr>
          <w:sz w:val="22"/>
          <w:szCs w:val="22"/>
        </w:rPr>
        <w:br/>
        <w:t xml:space="preserve">Wireline Competition Bureau </w:t>
      </w:r>
    </w:p>
    <w:p w:rsidR="00412FC5" w:rsidP="00D71074" w14:paraId="050B3BF3"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E1CF4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DA88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D2739" w14:paraId="6C1FC03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CC016F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2299" w14:paraId="6F72D510" w14:textId="77777777">
      <w:r>
        <w:separator/>
      </w:r>
    </w:p>
  </w:footnote>
  <w:footnote w:type="continuationSeparator" w:id="1">
    <w:p w:rsidR="00D72299" w:rsidP="00C721AC" w14:paraId="67C44935" w14:textId="77777777">
      <w:pPr>
        <w:spacing w:before="120"/>
        <w:rPr>
          <w:sz w:val="20"/>
        </w:rPr>
      </w:pPr>
      <w:r>
        <w:rPr>
          <w:sz w:val="20"/>
        </w:rPr>
        <w:t xml:space="preserve">(Continued from previous page)  </w:t>
      </w:r>
      <w:r>
        <w:rPr>
          <w:sz w:val="20"/>
        </w:rPr>
        <w:separator/>
      </w:r>
    </w:p>
  </w:footnote>
  <w:footnote w:type="continuationNotice" w:id="2">
    <w:p w:rsidR="00D72299" w:rsidP="00C721AC" w14:paraId="642C7E95" w14:textId="77777777">
      <w:pPr>
        <w:jc w:val="right"/>
        <w:rPr>
          <w:sz w:val="20"/>
        </w:rPr>
      </w:pPr>
      <w:r>
        <w:rPr>
          <w:sz w:val="20"/>
        </w:rPr>
        <w:t>(continued….)</w:t>
      </w:r>
    </w:p>
  </w:footnote>
  <w:footnote w:id="3">
    <w:p w:rsidR="00B52C38" w14:paraId="04AB98F2" w14:textId="5D039B0D">
      <w:pPr>
        <w:pStyle w:val="FootnoteText"/>
      </w:pPr>
      <w:r>
        <w:rPr>
          <w:rStyle w:val="FootnoteReference"/>
        </w:rPr>
        <w:footnoteRef/>
      </w:r>
      <w:r>
        <w:t xml:space="preserve"> </w:t>
      </w:r>
      <w:r w:rsidR="003F7AFD">
        <w:t xml:space="preserve">Petition of Cox for a Limited Waiver of the Emergency Broadband Benefit Program Reimbursement Rules, WC Docket No. 20-445 (filed May 10, 2021), </w:t>
      </w:r>
      <w:hyperlink r:id="rId1" w:history="1">
        <w:r w:rsidRPr="05EB61F6" w:rsidR="003F7AFD">
          <w:rPr>
            <w:rStyle w:val="Hyperlink"/>
          </w:rPr>
          <w:t>https://ecfsapi.fcc.gov/file/1051008647471/EBB%20Waiver%20Connected%20Device%20Final.docx</w:t>
        </w:r>
      </w:hyperlink>
      <w:r w:rsidR="003F7AFD">
        <w:t xml:space="preserve"> (Cox EBB Waiver Petition).</w:t>
      </w:r>
    </w:p>
  </w:footnote>
  <w:footnote w:id="4">
    <w:p w:rsidR="002362AD" w14:paraId="4F3046EF" w14:textId="17853AF4">
      <w:pPr>
        <w:pStyle w:val="FootnoteText"/>
      </w:pPr>
      <w:r>
        <w:rPr>
          <w:rStyle w:val="FootnoteReference"/>
        </w:rPr>
        <w:footnoteRef/>
      </w:r>
      <w:r>
        <w:t xml:space="preserve"> </w:t>
      </w:r>
      <w:r w:rsidR="00BF1E15">
        <w:t xml:space="preserve">Petition of </w:t>
      </w:r>
      <w:r w:rsidR="00AA3770">
        <w:t>NaLA</w:t>
      </w:r>
      <w:r w:rsidR="006B729A">
        <w:t xml:space="preserve"> for a Limited Waiver, WC Docket No. 20-445 (filed May 24, 2021), </w:t>
      </w:r>
      <w:hyperlink r:id="rId2" w:history="1">
        <w:r w:rsidRPr="005E7F48" w:rsidR="00605452">
          <w:rPr>
            <w:rStyle w:val="Hyperlink"/>
          </w:rPr>
          <w:t>https://ecfsapi.fcc.gov/file/10524218911157/NaLA%20Petition%20for%20Limited%20Waiver%20of%20EBB%20Connected%20Device%20Rule.5.24.21.pdf</w:t>
        </w:r>
      </w:hyperlink>
      <w:r w:rsidR="00605452">
        <w:t xml:space="preserve"> (</w:t>
      </w:r>
      <w:r w:rsidR="00605452">
        <w:t>NaLA</w:t>
      </w:r>
      <w:r w:rsidR="00605452">
        <w:t xml:space="preserve"> EBB </w:t>
      </w:r>
      <w:r w:rsidR="00754C09">
        <w:t>Waiver Petition).</w:t>
      </w:r>
      <w:r w:rsidR="00EF60AB">
        <w:t xml:space="preserve">  </w:t>
      </w:r>
      <w:r w:rsidR="00E42199">
        <w:t>NaLA</w:t>
      </w:r>
      <w:r w:rsidR="00E42199">
        <w:t xml:space="preserve"> seeks a </w:t>
      </w:r>
      <w:r w:rsidR="00290F61">
        <w:t>waiver of th</w:t>
      </w:r>
      <w:r w:rsidR="00295AC7">
        <w:t xml:space="preserve">e connected device </w:t>
      </w:r>
      <w:r w:rsidR="00943496">
        <w:t xml:space="preserve">reimbursement rules for all providers participating in the EBB Program.  </w:t>
      </w:r>
      <w:r w:rsidR="00943496">
        <w:t>NaLA</w:t>
      </w:r>
      <w:r w:rsidR="00943496">
        <w:t xml:space="preserve"> EBB Waiver Petition at </w:t>
      </w:r>
      <w:r w:rsidR="00847592">
        <w:t>1.</w:t>
      </w:r>
    </w:p>
  </w:footnote>
  <w:footnote w:id="5">
    <w:p w:rsidR="00D71074" w:rsidRPr="00D94E3A" w:rsidP="00D71074" w14:paraId="4128F33E" w14:textId="6ED736E4">
      <w:pPr>
        <w:pStyle w:val="FootnoteText"/>
      </w:pPr>
      <w:r w:rsidRPr="007B1C51">
        <w:rPr>
          <w:rStyle w:val="FootnoteReference"/>
        </w:rPr>
        <w:footnoteRef/>
      </w:r>
      <w:r w:rsidRPr="007B1C51">
        <w:t xml:space="preserve"> </w:t>
      </w:r>
      <w:r w:rsidR="00F25375">
        <w:rPr>
          <w:iCs/>
        </w:rPr>
        <w:t xml:space="preserve">Cox EBB Waiver </w:t>
      </w:r>
      <w:r w:rsidR="00726A51">
        <w:rPr>
          <w:iCs/>
        </w:rPr>
        <w:t>Petition</w:t>
      </w:r>
      <w:r w:rsidRPr="007B1C51">
        <w:t xml:space="preserve"> at 1</w:t>
      </w:r>
      <w:r w:rsidR="00D94E3A">
        <w:t xml:space="preserve"> </w:t>
      </w:r>
      <w:r w:rsidR="00B02B80">
        <w:t>(</w:t>
      </w:r>
      <w:r w:rsidR="00D94E3A">
        <w:rPr>
          <w:i/>
          <w:iCs/>
        </w:rPr>
        <w:t xml:space="preserve">citing </w:t>
      </w:r>
      <w:r w:rsidR="004C27A8">
        <w:t>47 CFR § 54.1606(e)(3)</w:t>
      </w:r>
      <w:r w:rsidR="008D27F6">
        <w:t xml:space="preserve"> (providing that</w:t>
      </w:r>
      <w:r w:rsidR="00723F89">
        <w:t xml:space="preserve"> participating providers “shall not seek a connected device reimbursement for a subscriber that is not receiving the Emergency Broadband Benefit for service provided by the same participating provider.”</w:t>
      </w:r>
      <w:r w:rsidR="00B02B80">
        <w:t>)</w:t>
      </w:r>
      <w:r w:rsidR="00723F89">
        <w:t>)</w:t>
      </w:r>
      <w:r w:rsidR="00A32A5C">
        <w:t xml:space="preserve">; </w:t>
      </w:r>
      <w:r w:rsidR="00E12E13">
        <w:t>NaLA</w:t>
      </w:r>
      <w:r w:rsidR="00E12E13">
        <w:t xml:space="preserve"> EBB </w:t>
      </w:r>
      <w:r w:rsidR="00494062">
        <w:t xml:space="preserve">Waiver Petition at </w:t>
      </w:r>
      <w:r w:rsidR="00A00D40">
        <w:t>2</w:t>
      </w:r>
      <w:r w:rsidR="00697A5B">
        <w:t xml:space="preserve"> (seeking a waiver of </w:t>
      </w:r>
      <w:r w:rsidR="00B557F2">
        <w:t xml:space="preserve">47 CFR </w:t>
      </w:r>
      <w:r w:rsidR="00E2261E">
        <w:t>§</w:t>
      </w:r>
      <w:r w:rsidR="00655F66">
        <w:t>§</w:t>
      </w:r>
      <w:r w:rsidR="00E2261E">
        <w:t xml:space="preserve"> 54.160</w:t>
      </w:r>
      <w:r w:rsidR="005B14F3">
        <w:t xml:space="preserve">6(e)(3) and </w:t>
      </w:r>
      <w:r w:rsidR="00655F66">
        <w:t>54.1608(d)</w:t>
      </w:r>
      <w:r w:rsidR="00723F89">
        <w:t xml:space="preserve">. </w:t>
      </w:r>
      <w:r w:rsidR="002C5C88">
        <w:t xml:space="preserve"> </w:t>
      </w:r>
      <w:r w:rsidR="006C76E5">
        <w:t xml:space="preserve">Section 54.1608(d) </w:t>
      </w:r>
      <w:r w:rsidR="004349BD">
        <w:t xml:space="preserve">provides that a </w:t>
      </w:r>
      <w:r w:rsidR="00165FC5">
        <w:t>“</w:t>
      </w:r>
      <w:r w:rsidR="006B5B6C">
        <w:t xml:space="preserve">[a] participating provider that, in addition to providing the Emergency Broadband Benefit to an eligible household, provides </w:t>
      </w:r>
      <w:r w:rsidR="00404535">
        <w:t xml:space="preserve">such household </w:t>
      </w:r>
      <w:r w:rsidR="003D5699">
        <w:t xml:space="preserve">with a connected device </w:t>
      </w:r>
      <w:r w:rsidR="00150B13">
        <w:t>may be reimbursed up to $100.00 for such connected device</w:t>
      </w:r>
      <w:r w:rsidR="00F13500">
        <w:t>, if the charge to such eligible household is more than $10.00 but less than $50.00 for such connected device, except that a participating provider may receive reimbursement for no more than one (1) connected device per eligible household.”</w:t>
      </w:r>
    </w:p>
  </w:footnote>
  <w:footnote w:id="6">
    <w:p w:rsidR="00D4569D" w14:paraId="2979F83E" w14:textId="4F2B7FCE">
      <w:pPr>
        <w:pStyle w:val="FootnoteText"/>
      </w:pPr>
      <w:r>
        <w:rPr>
          <w:rStyle w:val="FootnoteReference"/>
        </w:rPr>
        <w:footnoteRef/>
      </w:r>
      <w:r>
        <w:t xml:space="preserve"> </w:t>
      </w:r>
      <w:r w:rsidR="005B1B2D">
        <w:t>NaLA</w:t>
      </w:r>
      <w:r w:rsidR="005B1B2D">
        <w:t xml:space="preserve"> EBB Waiver Petition at </w:t>
      </w:r>
      <w:r w:rsidR="00B22F0F">
        <w:t>4-5.</w:t>
      </w:r>
    </w:p>
  </w:footnote>
  <w:footnote w:id="7">
    <w:p w:rsidR="00D71074" w:rsidRPr="007A18D3" w:rsidP="00FB11D0" w14:paraId="6DC3982D" w14:textId="77777777">
      <w:pPr>
        <w:pStyle w:val="FootnoteText"/>
      </w:pPr>
      <w:r w:rsidRPr="00FB11D0">
        <w:rPr>
          <w:rStyle w:val="FootnoteReference"/>
        </w:rPr>
        <w:footnoteRef/>
      </w:r>
      <w:r w:rsidRPr="00FB11D0">
        <w:t xml:space="preserve"> Consolidated Appropriations Act, 2021, Pub. L. No. 116-260, 134 Stat. 1182 (2020), </w:t>
      </w:r>
      <w:r w:rsidRPr="00FB11D0">
        <w:rPr>
          <w:i/>
        </w:rPr>
        <w:t xml:space="preserve">available at </w:t>
      </w:r>
      <w:r w:rsidRPr="00FB11D0">
        <w:rPr>
          <w:color w:val="0000FF"/>
        </w:rPr>
        <w:t xml:space="preserve">https://www.congress.gov/bill/116th-congress/house-bill/133/text </w:t>
      </w:r>
      <w:r w:rsidRPr="00FB11D0">
        <w:rPr>
          <w:color w:val="000000"/>
        </w:rPr>
        <w:t>(Consolidated Appropriations Act).</w:t>
      </w:r>
    </w:p>
  </w:footnote>
  <w:footnote w:id="8">
    <w:p w:rsidR="00D71074" w:rsidRPr="007A18D3" w:rsidP="00D71074" w14:paraId="03B1FAE6" w14:textId="77777777">
      <w:pPr>
        <w:pStyle w:val="FootnoteText"/>
      </w:pPr>
      <w:r w:rsidRPr="007754C9">
        <w:rPr>
          <w:rStyle w:val="FootnoteReference"/>
        </w:rPr>
        <w:footnoteRef/>
      </w:r>
      <w:r w:rsidRPr="007754C9">
        <w:t xml:space="preserve"> </w:t>
      </w:r>
      <w:r w:rsidRPr="006034CF">
        <w:t>Consolidated Appropriations Act,</w:t>
      </w:r>
      <w:r w:rsidRPr="00A65923">
        <w:t xml:space="preserve"> </w:t>
      </w:r>
      <w:r w:rsidRPr="00890C6A">
        <w:t>2021</w:t>
      </w:r>
      <w:r w:rsidRPr="00A24423">
        <w:t>,</w:t>
      </w:r>
      <w:r w:rsidRPr="007A18D3">
        <w:t xml:space="preserve"> Pub. L. No. 116-260, div. N, tit. IX, § 904(i), 134 Stat. 2130, 2135.</w:t>
      </w:r>
    </w:p>
  </w:footnote>
  <w:footnote w:id="9">
    <w:p w:rsidR="00D71074" w:rsidRPr="007A18D3" w:rsidP="00D71074" w14:paraId="5DF30978" w14:textId="243B3941">
      <w:pPr>
        <w:pStyle w:val="FootnoteText"/>
      </w:pPr>
      <w:r w:rsidRPr="007754C9">
        <w:rPr>
          <w:rStyle w:val="FootnoteReference"/>
        </w:rPr>
        <w:footnoteRef/>
      </w:r>
      <w:r w:rsidRPr="007754C9">
        <w:t xml:space="preserve"> </w:t>
      </w:r>
      <w:r w:rsidRPr="006034CF">
        <w:rPr>
          <w:i/>
          <w:iCs/>
        </w:rPr>
        <w:t>Id.</w:t>
      </w:r>
      <w:r w:rsidRPr="00A65923">
        <w:t xml:space="preserve"> § 904(b)(1</w:t>
      </w:r>
      <w:r>
        <w:t>)</w:t>
      </w:r>
      <w:r w:rsidR="00763BAA">
        <w:t>,</w:t>
      </w:r>
      <w:r w:rsidR="005E0775">
        <w:t xml:space="preserve"> </w:t>
      </w:r>
      <w:r w:rsidR="00763BAA">
        <w:t>(</w:t>
      </w:r>
      <w:r w:rsidR="00763BAA">
        <w:t>4)&amp;</w:t>
      </w:r>
      <w:r w:rsidR="00763BAA">
        <w:t>(5)</w:t>
      </w:r>
      <w:r>
        <w:t xml:space="preserve">.  </w:t>
      </w:r>
    </w:p>
  </w:footnote>
  <w:footnote w:id="10">
    <w:p w:rsidR="00D71074" w:rsidRPr="00002DF0" w:rsidP="00D71074" w14:paraId="4FBF181C" w14:textId="77777777">
      <w:pPr>
        <w:pStyle w:val="FootnoteText"/>
      </w:pPr>
      <w:r>
        <w:rPr>
          <w:rStyle w:val="FootnoteReference"/>
        </w:rPr>
        <w:footnoteRef/>
      </w:r>
      <w:r>
        <w:t xml:space="preserve"> </w:t>
      </w:r>
      <w:r>
        <w:rPr>
          <w:i/>
        </w:rPr>
        <w:t>Id</w:t>
      </w:r>
      <w:r>
        <w:t xml:space="preserve">.  </w:t>
      </w:r>
      <w:r w:rsidRPr="00913EB0">
        <w:t xml:space="preserve">Under Section 904, the emergency period “ends on the date that is 6 months after the date on which the determination by the Secretary of Health and Human Services pursuant to section 319 of the Public Health Service Act (42 U.S.C. </w:t>
      </w:r>
      <w:r>
        <w:t xml:space="preserve">§ </w:t>
      </w:r>
      <w:r w:rsidRPr="00913EB0">
        <w:t xml:space="preserve">247d) that a public health emergency exists as a result of COVID-19, including any renewal thereof, terminates.”  </w:t>
      </w:r>
      <w:r w:rsidRPr="00913EB0">
        <w:rPr>
          <w:i/>
          <w:iCs/>
        </w:rPr>
        <w:t>Id.</w:t>
      </w:r>
      <w:r w:rsidRPr="00913EB0">
        <w:t xml:space="preserve"> § 904(a)(8)</w:t>
      </w:r>
      <w:r>
        <w:t>.</w:t>
      </w:r>
    </w:p>
  </w:footnote>
  <w:footnote w:id="11">
    <w:p w:rsidR="00D71074" w:rsidRPr="005A50B6" w:rsidP="00D71074" w14:paraId="710CCA01" w14:textId="77777777">
      <w:pPr>
        <w:pStyle w:val="FootnoteText"/>
      </w:pPr>
      <w:r w:rsidRPr="005A50B6">
        <w:rPr>
          <w:rStyle w:val="FootnoteReference"/>
        </w:rPr>
        <w:footnoteRef/>
      </w:r>
      <w:r w:rsidRPr="005A50B6">
        <w:t xml:space="preserve"> </w:t>
      </w:r>
      <w:r w:rsidRPr="005A50B6">
        <w:rPr>
          <w:i/>
          <w:iCs/>
        </w:rPr>
        <w:t>See Wireline Competition Bureau Seeks Comment on Emergency Broadband Connectivity Fund Assistance</w:t>
      </w:r>
      <w:r w:rsidRPr="005A50B6">
        <w:t>, WC Docket No. 20-445, Public Notice, DA 21-6, at 2 (WCB 2021</w:t>
      </w:r>
      <w:r>
        <w:t>).</w:t>
      </w:r>
    </w:p>
  </w:footnote>
  <w:footnote w:id="12">
    <w:p w:rsidR="00D71074" w:rsidRPr="005A50B6" w:rsidP="00D71074" w14:paraId="12AE6E6B" w14:textId="77777777">
      <w:pPr>
        <w:pStyle w:val="NormalWeb"/>
        <w:spacing w:before="0" w:beforeAutospacing="0" w:after="120" w:afterAutospacing="0"/>
        <w:rPr>
          <w:sz w:val="20"/>
          <w:szCs w:val="20"/>
        </w:rPr>
      </w:pPr>
      <w:r w:rsidRPr="005A50B6">
        <w:rPr>
          <w:rStyle w:val="FootnoteReference"/>
          <w:szCs w:val="20"/>
        </w:rPr>
        <w:footnoteRef/>
      </w:r>
      <w:r w:rsidRPr="005A50B6">
        <w:rPr>
          <w:sz w:val="20"/>
          <w:szCs w:val="20"/>
        </w:rPr>
        <w:t xml:space="preserve"> </w:t>
      </w:r>
      <w:r w:rsidRPr="005A50B6">
        <w:rPr>
          <w:i/>
          <w:iCs/>
          <w:sz w:val="20"/>
          <w:szCs w:val="20"/>
        </w:rPr>
        <w:t>Emergency Broadband Benefit Program</w:t>
      </w:r>
      <w:r w:rsidRPr="005A50B6">
        <w:rPr>
          <w:sz w:val="20"/>
          <w:szCs w:val="20"/>
        </w:rPr>
        <w:t>, WC Docket No. 20-445</w:t>
      </w:r>
      <w:r>
        <w:rPr>
          <w:sz w:val="20"/>
          <w:szCs w:val="20"/>
        </w:rPr>
        <w:t xml:space="preserve">, </w:t>
      </w:r>
      <w:r w:rsidRPr="005A50B6">
        <w:rPr>
          <w:sz w:val="20"/>
          <w:szCs w:val="20"/>
        </w:rPr>
        <w:t xml:space="preserve">Report and Order, FCC 21- 29, </w:t>
      </w:r>
      <w:r>
        <w:rPr>
          <w:sz w:val="20"/>
          <w:szCs w:val="20"/>
        </w:rPr>
        <w:t xml:space="preserve">50, </w:t>
      </w:r>
      <w:r w:rsidRPr="005A50B6">
        <w:rPr>
          <w:sz w:val="20"/>
          <w:szCs w:val="20"/>
        </w:rPr>
        <w:t>para. 98 (2021) (</w:t>
      </w:r>
      <w:r w:rsidRPr="005A50B6">
        <w:rPr>
          <w:i/>
          <w:iCs/>
          <w:sz w:val="20"/>
          <w:szCs w:val="20"/>
        </w:rPr>
        <w:t>EBB Program Order</w:t>
      </w:r>
      <w:r w:rsidRPr="005A50B6">
        <w:rPr>
          <w:sz w:val="20"/>
          <w:szCs w:val="20"/>
        </w:rPr>
        <w:t xml:space="preserve">). </w:t>
      </w:r>
    </w:p>
  </w:footnote>
  <w:footnote w:id="13">
    <w:p w:rsidR="00D71074" w:rsidP="00D71074" w14:paraId="48CEC1A2" w14:textId="77777777">
      <w:pPr>
        <w:pStyle w:val="FootnoteText"/>
      </w:pPr>
      <w:r>
        <w:rPr>
          <w:rStyle w:val="FootnoteReference"/>
        </w:rPr>
        <w:footnoteRef/>
      </w:r>
      <w:r>
        <w:t xml:space="preserve"> 4</w:t>
      </w:r>
      <w:r w:rsidRPr="005A50B6">
        <w:t>7 CFR § 54.160</w:t>
      </w:r>
      <w:r>
        <w:t>2</w:t>
      </w:r>
      <w:r w:rsidRPr="005A50B6">
        <w:t>.</w:t>
      </w:r>
    </w:p>
  </w:footnote>
  <w:footnote w:id="14">
    <w:p w:rsidR="00D71074" w:rsidRPr="00890C6A" w:rsidP="00D71074" w14:paraId="3EE7379F" w14:textId="77777777">
      <w:pPr>
        <w:pStyle w:val="FootnoteText"/>
      </w:pPr>
      <w:r w:rsidRPr="005A50B6">
        <w:rPr>
          <w:rStyle w:val="FootnoteReference"/>
        </w:rPr>
        <w:footnoteRef/>
      </w:r>
      <w:r w:rsidRPr="005A50B6">
        <w:t xml:space="preserve"> </w:t>
      </w:r>
      <w:r>
        <w:rPr>
          <w:i/>
        </w:rPr>
        <w:t>Id.</w:t>
      </w:r>
      <w:r>
        <w:t xml:space="preserve"> </w:t>
      </w:r>
      <w:r w:rsidRPr="005A50B6">
        <w:t>§ 54.160</w:t>
      </w:r>
      <w:r>
        <w:t>1</w:t>
      </w:r>
      <w:r w:rsidRPr="005A50B6">
        <w:t>.</w:t>
      </w:r>
    </w:p>
  </w:footnote>
  <w:footnote w:id="15">
    <w:p w:rsidR="00D71074" w:rsidRPr="00A24423" w:rsidP="00D71074" w14:paraId="474DAB73" w14:textId="77777777">
      <w:pPr>
        <w:pStyle w:val="FootnoteText"/>
      </w:pPr>
      <w:r w:rsidRPr="006034CF">
        <w:rPr>
          <w:rStyle w:val="FootnoteReference"/>
        </w:rPr>
        <w:footnoteRef/>
      </w:r>
      <w:r w:rsidRPr="006034CF">
        <w:t xml:space="preserve"> </w:t>
      </w:r>
      <w:r>
        <w:rPr>
          <w:i/>
        </w:rPr>
        <w:t>Id.</w:t>
      </w:r>
      <w:r>
        <w:t xml:space="preserve"> </w:t>
      </w:r>
      <w:r w:rsidRPr="005A50B6">
        <w:t>§ 54.160</w:t>
      </w:r>
      <w:r>
        <w:t>3(a)</w:t>
      </w:r>
      <w:r w:rsidRPr="005A50B6">
        <w:t>.</w:t>
      </w:r>
    </w:p>
  </w:footnote>
  <w:footnote w:id="16">
    <w:p w:rsidR="00D71074" w:rsidRPr="005A50B6" w:rsidP="00D71074" w14:paraId="09B728B5" w14:textId="77777777">
      <w:pPr>
        <w:pStyle w:val="FootnoteText"/>
      </w:pPr>
      <w:r w:rsidRPr="006034CF">
        <w:rPr>
          <w:rStyle w:val="FootnoteReference"/>
        </w:rPr>
        <w:footnoteRef/>
      </w:r>
      <w:r w:rsidRPr="006034CF">
        <w:t xml:space="preserve"> </w:t>
      </w:r>
      <w:r>
        <w:rPr>
          <w:i/>
        </w:rPr>
        <w:t>Id.</w:t>
      </w:r>
    </w:p>
  </w:footnote>
  <w:footnote w:id="17">
    <w:p w:rsidR="00D71074" w:rsidRPr="005A50B6" w:rsidP="00D71074" w14:paraId="52A157A2" w14:textId="6BB33AE8">
      <w:pPr>
        <w:pStyle w:val="FootnoteText"/>
      </w:pPr>
      <w:r w:rsidRPr="005A50B6">
        <w:rPr>
          <w:rStyle w:val="FootnoteReference"/>
        </w:rPr>
        <w:footnoteRef/>
      </w:r>
      <w:r w:rsidRPr="005A50B6">
        <w:t xml:space="preserve"> </w:t>
      </w:r>
      <w:r>
        <w:rPr>
          <w:i/>
        </w:rPr>
        <w:t>Id.</w:t>
      </w:r>
      <w:r>
        <w:t xml:space="preserve"> </w:t>
      </w:r>
      <w:r w:rsidRPr="005A50B6">
        <w:t>§</w:t>
      </w:r>
      <w:r w:rsidR="00C33A57">
        <w:t>§</w:t>
      </w:r>
      <w:r w:rsidRPr="005A50B6">
        <w:t xml:space="preserve"> </w:t>
      </w:r>
      <w:r w:rsidR="00C33A57">
        <w:t>54</w:t>
      </w:r>
      <w:r w:rsidR="00C87C4C">
        <w:t xml:space="preserve">.1603, </w:t>
      </w:r>
      <w:r w:rsidRPr="005A50B6">
        <w:t>54.160</w:t>
      </w:r>
      <w:r>
        <w:t>8.</w:t>
      </w:r>
    </w:p>
  </w:footnote>
  <w:footnote w:id="18">
    <w:p w:rsidR="00D71074" w:rsidRPr="005A50B6" w:rsidP="00D71074" w14:paraId="12ABBE51" w14:textId="77777777">
      <w:pPr>
        <w:pStyle w:val="FootnoteText"/>
      </w:pPr>
      <w:r w:rsidRPr="005A50B6">
        <w:rPr>
          <w:rStyle w:val="FootnoteReference"/>
        </w:rPr>
        <w:footnoteRef/>
      </w:r>
      <w:r w:rsidRPr="005A50B6">
        <w:t xml:space="preserve"> </w:t>
      </w:r>
      <w:r w:rsidRPr="005A50B6">
        <w:rPr>
          <w:i/>
          <w:iCs/>
        </w:rPr>
        <w:t>Id</w:t>
      </w:r>
      <w:r>
        <w:rPr>
          <w:i/>
          <w:iCs/>
        </w:rPr>
        <w:t xml:space="preserve"> </w:t>
      </w:r>
      <w:r w:rsidRPr="005A50B6">
        <w:t xml:space="preserve">§§ </w:t>
      </w:r>
      <w:r>
        <w:t xml:space="preserve">54.1603(b), </w:t>
      </w:r>
      <w:r w:rsidRPr="005A50B6">
        <w:t>54.160</w:t>
      </w:r>
      <w:r>
        <w:t>8(d)</w:t>
      </w:r>
      <w:r w:rsidRPr="005A50B6">
        <w:t>.</w:t>
      </w:r>
    </w:p>
  </w:footnote>
  <w:footnote w:id="19">
    <w:p w:rsidR="00D71074" w:rsidRPr="005A50B6" w:rsidP="00D71074" w14:paraId="61B0E272" w14:textId="77777777">
      <w:pPr>
        <w:pStyle w:val="FootnoteText"/>
        <w:rPr>
          <w:i/>
          <w:iCs/>
        </w:rPr>
      </w:pPr>
      <w:r w:rsidRPr="005A50B6">
        <w:rPr>
          <w:rStyle w:val="FootnoteReference"/>
        </w:rPr>
        <w:footnoteRef/>
      </w:r>
      <w:r w:rsidRPr="005A50B6">
        <w:t xml:space="preserve"> </w:t>
      </w:r>
      <w:r w:rsidRPr="005A50B6">
        <w:rPr>
          <w:i/>
          <w:iCs/>
        </w:rPr>
        <w:t>Id</w:t>
      </w:r>
      <w:r>
        <w:rPr>
          <w:i/>
          <w:iCs/>
        </w:rPr>
        <w:t xml:space="preserve"> </w:t>
      </w:r>
      <w:r w:rsidRPr="005A50B6">
        <w:t>§§ 54.160</w:t>
      </w:r>
      <w:r>
        <w:t xml:space="preserve">8(a), </w:t>
      </w:r>
      <w:r w:rsidRPr="005A50B6">
        <w:t>54.160</w:t>
      </w:r>
      <w:r>
        <w:t>5(b)</w:t>
      </w:r>
      <w:r w:rsidRPr="005A50B6">
        <w:t>.</w:t>
      </w:r>
    </w:p>
  </w:footnote>
  <w:footnote w:id="20">
    <w:p w:rsidR="00D71074" w:rsidRPr="005A50B6" w:rsidP="00D71074" w14:paraId="59EC1205" w14:textId="77777777">
      <w:pPr>
        <w:pStyle w:val="FootnoteText"/>
      </w:pPr>
      <w:r w:rsidRPr="005A50B6">
        <w:rPr>
          <w:rStyle w:val="FootnoteReference"/>
        </w:rPr>
        <w:footnoteRef/>
      </w:r>
      <w:r w:rsidRPr="005A50B6">
        <w:t xml:space="preserve"> </w:t>
      </w:r>
      <w:r w:rsidRPr="005A50B6">
        <w:rPr>
          <w:i/>
          <w:iCs/>
        </w:rPr>
        <w:t>Id.</w:t>
      </w:r>
      <w:r w:rsidRPr="005A50B6">
        <w:t xml:space="preserve"> § 54.160</w:t>
      </w:r>
      <w:r>
        <w:t>8(e)</w:t>
      </w:r>
      <w:r w:rsidRPr="005A50B6">
        <w:t>.</w:t>
      </w:r>
    </w:p>
  </w:footnote>
  <w:footnote w:id="21">
    <w:p w:rsidR="00D71074" w:rsidRPr="00F65D7C" w:rsidP="00D71074" w14:paraId="507C2527" w14:textId="77777777">
      <w:pPr>
        <w:pStyle w:val="FootnoteText"/>
      </w:pPr>
      <w:r>
        <w:rPr>
          <w:rStyle w:val="FootnoteReference"/>
        </w:rPr>
        <w:footnoteRef/>
      </w:r>
      <w:r>
        <w:t xml:space="preserve"> </w:t>
      </w:r>
      <w:r>
        <w:rPr>
          <w:i/>
          <w:iCs/>
        </w:rPr>
        <w:t xml:space="preserve">Id. </w:t>
      </w:r>
      <w:r>
        <w:t>§ 54.1608(a).</w:t>
      </w:r>
    </w:p>
  </w:footnote>
  <w:footnote w:id="22">
    <w:p w:rsidR="00D71074" w:rsidRPr="00052B87" w:rsidP="00D71074" w14:paraId="45AA331E" w14:textId="77777777">
      <w:pPr>
        <w:pStyle w:val="FootnoteText"/>
      </w:pPr>
      <w:r>
        <w:rPr>
          <w:rStyle w:val="FootnoteReference"/>
        </w:rPr>
        <w:footnoteRef/>
      </w:r>
      <w:r>
        <w:t xml:space="preserve"> </w:t>
      </w:r>
      <w:r>
        <w:rPr>
          <w:i/>
          <w:iCs/>
        </w:rPr>
        <w:t>Id.</w:t>
      </w:r>
      <w:r>
        <w:t xml:space="preserve"> § 54.1608(g).</w:t>
      </w:r>
    </w:p>
  </w:footnote>
  <w:footnote w:id="23">
    <w:p w:rsidR="00FE5A84" w:rsidRPr="001A3CE5" w14:paraId="6F0055D5" w14:textId="0C64E6C4">
      <w:pPr>
        <w:pStyle w:val="FootnoteText"/>
      </w:pPr>
      <w:r>
        <w:rPr>
          <w:rStyle w:val="FootnoteReference"/>
        </w:rPr>
        <w:footnoteRef/>
      </w:r>
      <w:r>
        <w:t xml:space="preserve"> </w:t>
      </w:r>
      <w:r w:rsidR="00AA3C36">
        <w:t>Consolidated Appropriations Act, div. N</w:t>
      </w:r>
      <w:r w:rsidR="001A3CE5">
        <w:t xml:space="preserve">, tit. IX, § 904(b)(5); </w:t>
      </w:r>
      <w:r w:rsidR="00CD731B">
        <w:t xml:space="preserve">47 CFR § 54.1606(e)(3); </w:t>
      </w:r>
      <w:r w:rsidR="001A3CE5">
        <w:rPr>
          <w:i/>
          <w:iCs/>
        </w:rPr>
        <w:t>EBB Program Order</w:t>
      </w:r>
      <w:r w:rsidR="001A3CE5">
        <w:t xml:space="preserve"> at </w:t>
      </w:r>
      <w:r w:rsidR="00D83AC1">
        <w:t>4</w:t>
      </w:r>
      <w:r w:rsidR="001570E3">
        <w:t>9</w:t>
      </w:r>
      <w:r w:rsidR="00D83AC1">
        <w:t xml:space="preserve">, </w:t>
      </w:r>
      <w:r w:rsidR="0069587D">
        <w:t>para. 96.</w:t>
      </w:r>
    </w:p>
  </w:footnote>
  <w:footnote w:id="24">
    <w:p w:rsidR="00D83AC1" w:rsidRPr="00D83AC1" w14:paraId="798C15FB" w14:textId="06490257">
      <w:pPr>
        <w:pStyle w:val="FootnoteText"/>
      </w:pPr>
      <w:r>
        <w:rPr>
          <w:rStyle w:val="FootnoteReference"/>
        </w:rPr>
        <w:footnoteRef/>
      </w:r>
      <w:r>
        <w:t xml:space="preserve"> </w:t>
      </w:r>
      <w:r>
        <w:rPr>
          <w:i/>
          <w:iCs/>
        </w:rPr>
        <w:t>EBB Program Order</w:t>
      </w:r>
      <w:r>
        <w:t xml:space="preserve"> at </w:t>
      </w:r>
      <w:r w:rsidR="001570E3">
        <w:t xml:space="preserve">49, para. 96. </w:t>
      </w:r>
    </w:p>
  </w:footnote>
  <w:footnote w:id="25">
    <w:p w:rsidR="00803FDE" w:rsidRPr="00803FDE" w14:paraId="233A74EC" w14:textId="11A36FBD">
      <w:pPr>
        <w:pStyle w:val="FootnoteText"/>
      </w:pPr>
      <w:r>
        <w:rPr>
          <w:rStyle w:val="FootnoteReference"/>
        </w:rPr>
        <w:footnoteRef/>
      </w:r>
      <w:r>
        <w:t xml:space="preserve"> </w:t>
      </w:r>
      <w:r w:rsidR="00B02B80">
        <w:rPr>
          <w:i/>
          <w:iCs/>
        </w:rPr>
        <w:t>Id.</w:t>
      </w:r>
      <w:r w:rsidR="00631BD8">
        <w:t xml:space="preserve">; </w:t>
      </w:r>
      <w:r w:rsidR="009F4885">
        <w:t>47 CFR § 54.1606(e)</w:t>
      </w:r>
      <w:r w:rsidR="0071445E">
        <w:t xml:space="preserve">. </w:t>
      </w:r>
    </w:p>
  </w:footnote>
  <w:footnote w:id="26">
    <w:p w:rsidR="0097119A" w14:paraId="5FF10041" w14:textId="589F2A00">
      <w:pPr>
        <w:pStyle w:val="FootnoteText"/>
      </w:pPr>
      <w:r>
        <w:rPr>
          <w:rStyle w:val="FootnoteReference"/>
        </w:rPr>
        <w:footnoteRef/>
      </w:r>
      <w:r w:rsidR="001754A8">
        <w:t xml:space="preserve"> 47 CFR </w:t>
      </w:r>
      <w:r>
        <w:t>§</w:t>
      </w:r>
      <w:r w:rsidR="00D04290">
        <w:t xml:space="preserve"> </w:t>
      </w:r>
      <w:r>
        <w:t>54.1608</w:t>
      </w:r>
      <w:r w:rsidR="00D04290">
        <w:t>(e).</w:t>
      </w:r>
    </w:p>
  </w:footnote>
  <w:footnote w:id="27">
    <w:p w:rsidR="00BF3333" w:rsidP="00BF3333" w14:paraId="157C89CC" w14:textId="77777777">
      <w:pPr>
        <w:pStyle w:val="FootnoteText"/>
      </w:pPr>
      <w:r>
        <w:rPr>
          <w:rStyle w:val="FootnoteReference"/>
        </w:rPr>
        <w:footnoteRef/>
      </w:r>
      <w:r>
        <w:t xml:space="preserve"> </w:t>
      </w:r>
      <w:r>
        <w:rPr>
          <w:i/>
          <w:iCs/>
        </w:rPr>
        <w:t xml:space="preserve">Id. </w:t>
      </w:r>
      <w:r>
        <w:t>§ 54.1608(e)(7).</w:t>
      </w:r>
    </w:p>
  </w:footnote>
  <w:footnote w:id="28">
    <w:p w:rsidR="006B2A1D" w14:paraId="5E94289A" w14:textId="6F37DB90">
      <w:pPr>
        <w:pStyle w:val="FootnoteText"/>
      </w:pPr>
      <w:r>
        <w:rPr>
          <w:rStyle w:val="FootnoteReference"/>
        </w:rPr>
        <w:footnoteRef/>
      </w:r>
      <w:r>
        <w:t xml:space="preserve"> </w:t>
      </w:r>
      <w:r w:rsidR="005921DF">
        <w:t xml:space="preserve">USAC has provided a </w:t>
      </w:r>
      <w:r w:rsidR="00565C72">
        <w:t xml:space="preserve">list of the certifications a provider </w:t>
      </w:r>
      <w:r w:rsidR="00BA35DF">
        <w:t xml:space="preserve">is required to make when submitting </w:t>
      </w:r>
      <w:r w:rsidR="00E3297B">
        <w:t xml:space="preserve">EBB Program claims in the Lifeline Claims System.  </w:t>
      </w:r>
      <w:r w:rsidRPr="004260FA" w:rsidR="004260FA">
        <w:t xml:space="preserve">Emergency Broadband Benefit Program Reimbursement Claims, USAC Webinar at </w:t>
      </w:r>
      <w:r w:rsidR="002A0BD5">
        <w:t>33-</w:t>
      </w:r>
      <w:r w:rsidRPr="004260FA" w:rsidR="004260FA">
        <w:t>34 (Apr</w:t>
      </w:r>
      <w:r w:rsidR="00C96624">
        <w:t>.</w:t>
      </w:r>
      <w:r w:rsidRPr="004260FA" w:rsidR="004260FA">
        <w:t xml:space="preserve"> 2021)</w:t>
      </w:r>
      <w:r w:rsidR="005B620D">
        <w:t xml:space="preserve">, </w:t>
      </w:r>
      <w:hyperlink r:id="rId3" w:history="1">
        <w:r w:rsidRPr="005E7F48" w:rsidR="00975179">
          <w:rPr>
            <w:rStyle w:val="Hyperlink"/>
          </w:rPr>
          <w:t>https://www.usac.org/wp-content/uploads/about/documents/ebb-program/EBB-LCS-training.pdf</w:t>
        </w:r>
      </w:hyperlink>
      <w:r w:rsidR="00975179">
        <w:t>.</w:t>
      </w:r>
      <w:r w:rsidR="00C96624">
        <w:t xml:space="preserve"> </w:t>
      </w:r>
      <w:r w:rsidR="00975179">
        <w:t xml:space="preserve">  </w:t>
      </w:r>
    </w:p>
  </w:footnote>
  <w:footnote w:id="29">
    <w:p w:rsidR="005F74FC" w:rsidRPr="002F137A" w14:paraId="5EB6197B" w14:textId="57D6C6EC">
      <w:pPr>
        <w:pStyle w:val="FootnoteText"/>
      </w:pPr>
      <w:r>
        <w:rPr>
          <w:rStyle w:val="FootnoteReference"/>
        </w:rPr>
        <w:footnoteRef/>
      </w:r>
      <w:r>
        <w:t xml:space="preserve"> </w:t>
      </w:r>
      <w:r w:rsidR="00066F61">
        <w:t xml:space="preserve">47 CFR </w:t>
      </w:r>
      <w:r w:rsidR="002F137A">
        <w:t xml:space="preserve">§ 54.1608(e)(8). </w:t>
      </w:r>
    </w:p>
  </w:footnote>
  <w:footnote w:id="30">
    <w:p w:rsidR="00922D89" w:rsidRPr="00922D89" w14:paraId="634FFC5C" w14:textId="3EDD9903">
      <w:pPr>
        <w:pStyle w:val="FootnoteText"/>
      </w:pPr>
      <w:r>
        <w:rPr>
          <w:rStyle w:val="FootnoteReference"/>
        </w:rPr>
        <w:footnoteRef/>
      </w:r>
      <w:r>
        <w:t xml:space="preserve"> </w:t>
      </w:r>
      <w:r>
        <w:rPr>
          <w:i/>
          <w:iCs/>
        </w:rPr>
        <w:t>Id</w:t>
      </w:r>
      <w:r>
        <w:t>. § 54.1608(e)(10).</w:t>
      </w:r>
    </w:p>
  </w:footnote>
  <w:footnote w:id="31">
    <w:p w:rsidR="00973034" w14:paraId="57C52905" w14:textId="6E602D18">
      <w:pPr>
        <w:pStyle w:val="FootnoteText"/>
      </w:pPr>
      <w:r>
        <w:rPr>
          <w:rStyle w:val="FootnoteReference"/>
        </w:rPr>
        <w:footnoteRef/>
      </w:r>
      <w:r w:rsidR="00782E50">
        <w:t xml:space="preserve"> USAC, Emergency Broadband </w:t>
      </w:r>
      <w:r w:rsidR="002E6911">
        <w:t xml:space="preserve">Benefit Program Application, </w:t>
      </w:r>
      <w:r>
        <w:t xml:space="preserve"> </w:t>
      </w:r>
      <w:hyperlink r:id="rId4" w:history="1">
        <w:r w:rsidRPr="00F9264E">
          <w:rPr>
            <w:rStyle w:val="Hyperlink"/>
          </w:rPr>
          <w:t>https://getemergencybroadband.org/_res/documents/EBB_Application_Form_FINAL.pdf</w:t>
        </w:r>
      </w:hyperlink>
      <w:r>
        <w:t xml:space="preserve"> (last visited May 2</w:t>
      </w:r>
      <w:r w:rsidR="006B44D6">
        <w:t>5</w:t>
      </w:r>
      <w:r>
        <w:t>, 2021).</w:t>
      </w:r>
    </w:p>
  </w:footnote>
  <w:footnote w:id="32">
    <w:p w:rsidR="0088363C" w:rsidRPr="00906EF0" w14:paraId="57ABE76B" w14:textId="5B5B37D3">
      <w:pPr>
        <w:pStyle w:val="FootnoteText"/>
      </w:pPr>
      <w:r>
        <w:rPr>
          <w:rStyle w:val="FootnoteReference"/>
        </w:rPr>
        <w:footnoteRef/>
      </w:r>
      <w:r>
        <w:t xml:space="preserve"> </w:t>
      </w:r>
      <w:r w:rsidR="00DA010B">
        <w:t>47 CFR</w:t>
      </w:r>
      <w:r w:rsidR="00906EF0">
        <w:t xml:space="preserve"> § 54.1606(e).</w:t>
      </w:r>
    </w:p>
  </w:footnote>
  <w:footnote w:id="33">
    <w:p w:rsidR="00887A09" w:rsidRPr="00887A09" w14:paraId="5CD51E25" w14:textId="1DF92D1E">
      <w:pPr>
        <w:pStyle w:val="FootnoteText"/>
      </w:pPr>
      <w:r>
        <w:rPr>
          <w:rStyle w:val="FootnoteReference"/>
        </w:rPr>
        <w:footnoteRef/>
      </w:r>
      <w:r>
        <w:t xml:space="preserve"> </w:t>
      </w:r>
      <w:r>
        <w:rPr>
          <w:i/>
          <w:iCs/>
        </w:rPr>
        <w:t>Id.</w:t>
      </w:r>
      <w:r>
        <w:t xml:space="preserve"> § 54.1606(e)(</w:t>
      </w:r>
      <w:r w:rsidR="007B34B8">
        <w:t>4).</w:t>
      </w:r>
    </w:p>
  </w:footnote>
  <w:footnote w:id="34">
    <w:p w:rsidR="008C3BD8" w:rsidRPr="008C3BD8" w14:paraId="146EE617" w14:textId="29CD25D9">
      <w:pPr>
        <w:pStyle w:val="FootnoteText"/>
      </w:pPr>
      <w:r>
        <w:rPr>
          <w:rStyle w:val="FootnoteReference"/>
        </w:rPr>
        <w:footnoteRef/>
      </w:r>
      <w:r>
        <w:t xml:space="preserve"> </w:t>
      </w:r>
      <w:r>
        <w:rPr>
          <w:i/>
          <w:iCs/>
        </w:rPr>
        <w:t>Id</w:t>
      </w:r>
      <w:r>
        <w:t xml:space="preserve">. § 54.1606(6)(5).  </w:t>
      </w:r>
    </w:p>
  </w:footnote>
  <w:footnote w:id="35">
    <w:p w:rsidR="00D71074" w:rsidRPr="00DF58F6" w:rsidP="00D71074" w14:paraId="5596D63C" w14:textId="77777777">
      <w:pPr>
        <w:pStyle w:val="NormalWeb"/>
        <w:spacing w:before="0" w:beforeAutospacing="0" w:after="120" w:afterAutospacing="0"/>
      </w:pPr>
      <w:r w:rsidRPr="00DF58F6">
        <w:rPr>
          <w:rStyle w:val="FootnoteReference"/>
          <w:szCs w:val="20"/>
        </w:rPr>
        <w:footnoteRef/>
      </w:r>
      <w:r w:rsidRPr="00DF58F6">
        <w:t xml:space="preserve"> </w:t>
      </w:r>
      <w:r w:rsidRPr="00DF58F6">
        <w:rPr>
          <w:i/>
          <w:iCs/>
          <w:sz w:val="20"/>
          <w:szCs w:val="20"/>
        </w:rPr>
        <w:t>NetworkIP</w:t>
      </w:r>
      <w:r w:rsidRPr="00DF58F6">
        <w:rPr>
          <w:i/>
          <w:iCs/>
          <w:sz w:val="20"/>
          <w:szCs w:val="20"/>
        </w:rPr>
        <w:t>, LLC v. FCC</w:t>
      </w:r>
      <w:r w:rsidRPr="00DF58F6">
        <w:rPr>
          <w:sz w:val="20"/>
          <w:szCs w:val="20"/>
        </w:rPr>
        <w:t>, 548 F.3d 116, 127 (D.C. Cir. 2008).</w:t>
      </w:r>
      <w:r w:rsidRPr="00DF58F6">
        <w:t xml:space="preserve"> </w:t>
      </w:r>
    </w:p>
  </w:footnote>
  <w:footnote w:id="36">
    <w:p w:rsidR="00D71074" w:rsidRPr="00DF58F6" w:rsidP="00D71074" w14:paraId="16A591AB" w14:textId="77777777">
      <w:pPr>
        <w:pStyle w:val="NormalWeb"/>
        <w:spacing w:before="0" w:beforeAutospacing="0" w:after="120" w:afterAutospacing="0"/>
      </w:pPr>
      <w:r w:rsidRPr="00DF58F6">
        <w:rPr>
          <w:rStyle w:val="FootnoteReference"/>
        </w:rPr>
        <w:footnoteRef/>
      </w:r>
      <w:r w:rsidRPr="00DF58F6">
        <w:t xml:space="preserve"> </w:t>
      </w:r>
      <w:r w:rsidRPr="00DF58F6">
        <w:rPr>
          <w:i/>
          <w:iCs/>
          <w:sz w:val="20"/>
          <w:szCs w:val="20"/>
        </w:rPr>
        <w:t xml:space="preserve">Mary </w:t>
      </w:r>
      <w:r>
        <w:rPr>
          <w:i/>
          <w:iCs/>
          <w:sz w:val="20"/>
          <w:szCs w:val="20"/>
        </w:rPr>
        <w:t>v</w:t>
      </w:r>
      <w:r w:rsidRPr="00DF58F6">
        <w:rPr>
          <w:i/>
          <w:iCs/>
          <w:sz w:val="20"/>
          <w:szCs w:val="20"/>
        </w:rPr>
        <w:t>. Harris Found. v. FCC</w:t>
      </w:r>
      <w:r w:rsidRPr="00DF58F6">
        <w:rPr>
          <w:sz w:val="20"/>
          <w:szCs w:val="20"/>
        </w:rPr>
        <w:t>, 776 F.3d 21, 28 (D.C. Cir. 2015).</w:t>
      </w:r>
    </w:p>
  </w:footnote>
  <w:footnote w:id="37">
    <w:p w:rsidR="00D71074" w:rsidRPr="00E90A96" w:rsidP="00D71074" w14:paraId="68D206BD" w14:textId="77777777">
      <w:pPr>
        <w:pStyle w:val="NormalWeb"/>
        <w:spacing w:before="0" w:beforeAutospacing="0" w:after="120" w:afterAutospacing="0"/>
      </w:pPr>
      <w:r w:rsidRPr="00DF58F6">
        <w:rPr>
          <w:rStyle w:val="FootnoteReference"/>
        </w:rPr>
        <w:footnoteRef/>
      </w:r>
      <w:r w:rsidRPr="00DF58F6">
        <w:t xml:space="preserve"> </w:t>
      </w:r>
      <w:r w:rsidRPr="00E90A96">
        <w:rPr>
          <w:sz w:val="20"/>
          <w:szCs w:val="20"/>
        </w:rPr>
        <w:t>47 CFR § 1.3.</w:t>
      </w:r>
    </w:p>
  </w:footnote>
  <w:footnote w:id="38">
    <w:p w:rsidR="00D71074" w:rsidRPr="00E90A96" w:rsidP="00D71074" w14:paraId="5C5974A6" w14:textId="77777777">
      <w:pPr>
        <w:pStyle w:val="NormalWeb"/>
        <w:spacing w:before="0" w:beforeAutospacing="0" w:after="120" w:afterAutospacing="0"/>
      </w:pPr>
      <w:r w:rsidRPr="00E90A96">
        <w:rPr>
          <w:rStyle w:val="FootnoteReference"/>
        </w:rPr>
        <w:footnoteRef/>
      </w:r>
      <w:r w:rsidRPr="00E90A96">
        <w:t xml:space="preserve"> </w:t>
      </w:r>
      <w:r w:rsidRPr="00E90A96">
        <w:rPr>
          <w:i/>
          <w:iCs/>
          <w:sz w:val="20"/>
          <w:szCs w:val="20"/>
        </w:rPr>
        <w:t>Northeast Cellular Telephone Co. v. FCC</w:t>
      </w:r>
      <w:r w:rsidRPr="00E90A96">
        <w:rPr>
          <w:sz w:val="20"/>
          <w:szCs w:val="20"/>
        </w:rPr>
        <w:t xml:space="preserve">, 897 F.2d 1164, 1166 (D.C. Cir. 1990). </w:t>
      </w:r>
    </w:p>
  </w:footnote>
  <w:footnote w:id="39">
    <w:p w:rsidR="00D71074" w:rsidRPr="00E90A96" w:rsidP="00D71074" w14:paraId="6EDCE509" w14:textId="77777777">
      <w:pPr>
        <w:pStyle w:val="NormalWeb"/>
        <w:spacing w:before="0" w:beforeAutospacing="0" w:after="120" w:afterAutospacing="0"/>
      </w:pPr>
      <w:r w:rsidRPr="00E90A96">
        <w:rPr>
          <w:rStyle w:val="FootnoteReference"/>
        </w:rPr>
        <w:footnoteRef/>
      </w:r>
      <w:r w:rsidRPr="00E90A96">
        <w:t xml:space="preserve"> </w:t>
      </w:r>
      <w:r w:rsidRPr="00E90A96">
        <w:rPr>
          <w:i/>
          <w:iCs/>
          <w:sz w:val="20"/>
          <w:szCs w:val="20"/>
        </w:rPr>
        <w:t>Northeast Cellular</w:t>
      </w:r>
      <w:r w:rsidRPr="00E90A96">
        <w:rPr>
          <w:sz w:val="20"/>
          <w:szCs w:val="20"/>
        </w:rPr>
        <w:t xml:space="preserve">, 897 F.2d at 1166; </w:t>
      </w:r>
      <w:r w:rsidRPr="00E90A96">
        <w:rPr>
          <w:i/>
          <w:iCs/>
          <w:sz w:val="20"/>
          <w:szCs w:val="20"/>
        </w:rPr>
        <w:t>WAIT Radio v. FCC</w:t>
      </w:r>
      <w:r w:rsidRPr="00E90A96">
        <w:rPr>
          <w:sz w:val="20"/>
          <w:szCs w:val="20"/>
        </w:rPr>
        <w:t>, 418 F.2d 1153, 1159 (D.C. Cir. 1969)</w:t>
      </w:r>
      <w:r>
        <w:rPr>
          <w:sz w:val="20"/>
          <w:szCs w:val="20"/>
        </w:rPr>
        <w:t>.</w:t>
      </w:r>
    </w:p>
  </w:footnote>
  <w:footnote w:id="40">
    <w:p w:rsidR="00D71074" w:rsidRPr="00E90A96" w:rsidP="00D71074" w14:paraId="2B4B7738" w14:textId="77777777">
      <w:pPr>
        <w:pStyle w:val="NormalWeb"/>
        <w:spacing w:before="0" w:beforeAutospacing="0" w:after="120" w:afterAutospacing="0"/>
      </w:pPr>
      <w:r w:rsidRPr="00E90A96">
        <w:rPr>
          <w:rStyle w:val="FootnoteReference"/>
        </w:rPr>
        <w:footnoteRef/>
      </w:r>
      <w:r w:rsidRPr="00E90A96">
        <w:t xml:space="preserve"> </w:t>
      </w:r>
      <w:r w:rsidRPr="00E90A96">
        <w:rPr>
          <w:sz w:val="20"/>
          <w:szCs w:val="20"/>
        </w:rPr>
        <w:t xml:space="preserve">47 CFR § 0.291(b). </w:t>
      </w:r>
    </w:p>
  </w:footnote>
  <w:footnote w:id="41">
    <w:p w:rsidR="002E315D" w14:paraId="424767EC" w14:textId="74C69FBB">
      <w:pPr>
        <w:pStyle w:val="FootnoteText"/>
      </w:pPr>
      <w:r>
        <w:rPr>
          <w:rStyle w:val="FootnoteReference"/>
        </w:rPr>
        <w:footnoteRef/>
      </w:r>
      <w:r>
        <w:t xml:space="preserve"> Cox EBB Waiver Petition at </w:t>
      </w:r>
      <w:r w:rsidR="00E959BF">
        <w:t>4-5</w:t>
      </w:r>
      <w:r w:rsidR="00E37036">
        <w:t xml:space="preserve">; </w:t>
      </w:r>
      <w:r w:rsidR="00E37036">
        <w:t>NaLA</w:t>
      </w:r>
      <w:r w:rsidR="00E37036">
        <w:t xml:space="preserve"> EBB Waiver Petition at</w:t>
      </w:r>
      <w:r w:rsidR="00847406">
        <w:t xml:space="preserve"> 2</w:t>
      </w:r>
      <w:r w:rsidR="00E959BF">
        <w:t xml:space="preserve">.  </w:t>
      </w:r>
    </w:p>
  </w:footnote>
  <w:footnote w:id="42">
    <w:p w:rsidR="00F840F8" w14:paraId="2493B453" w14:textId="1A63A21B">
      <w:pPr>
        <w:pStyle w:val="FootnoteText"/>
      </w:pPr>
      <w:r>
        <w:rPr>
          <w:rStyle w:val="FootnoteReference"/>
        </w:rPr>
        <w:footnoteRef/>
      </w:r>
      <w:r>
        <w:t xml:space="preserve"> Cox EBB Waiver Petition at 2</w:t>
      </w:r>
      <w:r w:rsidR="00A95045">
        <w:t>-3</w:t>
      </w:r>
      <w:r>
        <w:t>.</w:t>
      </w:r>
    </w:p>
  </w:footnote>
  <w:footnote w:id="43">
    <w:p w:rsidR="00967D9F" w14:paraId="2B4B3B54" w14:textId="4126AB43">
      <w:pPr>
        <w:pStyle w:val="FootnoteText"/>
      </w:pPr>
      <w:r>
        <w:rPr>
          <w:rStyle w:val="FootnoteReference"/>
        </w:rPr>
        <w:footnoteRef/>
      </w:r>
      <w:r>
        <w:t xml:space="preserve"> Cox EBB Waiver Petition at </w:t>
      </w:r>
      <w:r w:rsidR="00D916D3">
        <w:t xml:space="preserve">2-3. </w:t>
      </w:r>
    </w:p>
  </w:footnote>
  <w:footnote w:id="44">
    <w:p w:rsidR="00C74424" w14:paraId="42F7583D" w14:textId="711CD6CD">
      <w:pPr>
        <w:pStyle w:val="FootnoteText"/>
      </w:pPr>
      <w:r>
        <w:rPr>
          <w:rStyle w:val="FootnoteReference"/>
        </w:rPr>
        <w:footnoteRef/>
      </w:r>
      <w:r>
        <w:t xml:space="preserve"> Cox EBB Waiver Petition at 3.  </w:t>
      </w:r>
    </w:p>
  </w:footnote>
  <w:footnote w:id="45">
    <w:p w:rsidR="00B67DA5" w14:paraId="5AAD118A" w14:textId="35A3381F">
      <w:pPr>
        <w:pStyle w:val="FootnoteText"/>
      </w:pPr>
      <w:r>
        <w:rPr>
          <w:rStyle w:val="FootnoteReference"/>
        </w:rPr>
        <w:footnoteRef/>
      </w:r>
      <w:r>
        <w:t xml:space="preserve"> </w:t>
      </w:r>
      <w:r w:rsidR="00974700">
        <w:t>NaLA</w:t>
      </w:r>
      <w:r w:rsidR="00974700">
        <w:t xml:space="preserve"> EBB Waiver at </w:t>
      </w:r>
      <w:r w:rsidR="003861A8">
        <w:t xml:space="preserve">2-3.  </w:t>
      </w:r>
    </w:p>
  </w:footnote>
  <w:footnote w:id="46">
    <w:p w:rsidR="00F677BB" w14:paraId="52E162D1" w14:textId="67CD5581">
      <w:pPr>
        <w:pStyle w:val="FootnoteText"/>
      </w:pPr>
      <w:r>
        <w:rPr>
          <w:rStyle w:val="FootnoteReference"/>
        </w:rPr>
        <w:footnoteRef/>
      </w:r>
      <w:r>
        <w:t xml:space="preserve"> Cox EBB Waiver Petition at 3. </w:t>
      </w:r>
    </w:p>
  </w:footnote>
  <w:footnote w:id="47">
    <w:p w:rsidR="0073423A" w14:paraId="7D158AEA" w14:textId="7AAED6B8">
      <w:pPr>
        <w:pStyle w:val="FootnoteText"/>
      </w:pPr>
      <w:r>
        <w:rPr>
          <w:rStyle w:val="FootnoteReference"/>
        </w:rPr>
        <w:footnoteRef/>
      </w:r>
      <w:r>
        <w:t xml:space="preserve"> Cox EBB Waiver Petition at 3</w:t>
      </w:r>
      <w:r w:rsidR="007F00E0">
        <w:t xml:space="preserve">; </w:t>
      </w:r>
      <w:r w:rsidR="007F00E0">
        <w:rPr>
          <w:i/>
          <w:iCs/>
        </w:rPr>
        <w:t xml:space="preserve">see also </w:t>
      </w:r>
      <w:r w:rsidR="001011A6">
        <w:t>NaLA</w:t>
      </w:r>
      <w:r w:rsidR="001011A6">
        <w:t xml:space="preserve"> EBB Waiver Petition at n.10 (noting that</w:t>
      </w:r>
      <w:r w:rsidR="006D7F49">
        <w:t xml:space="preserve"> </w:t>
      </w:r>
      <w:r w:rsidRPr="006D7F49" w:rsidR="006D7F49">
        <w:t xml:space="preserve">it appears that only </w:t>
      </w:r>
      <w:r w:rsidR="006D7F49">
        <w:t xml:space="preserve">one </w:t>
      </w:r>
      <w:r w:rsidRPr="006D7F49" w:rsidR="006D7F49">
        <w:t xml:space="preserve">out of 10 EBB </w:t>
      </w:r>
      <w:r w:rsidR="006D7F49">
        <w:t xml:space="preserve">participating </w:t>
      </w:r>
      <w:r w:rsidRPr="006D7F49" w:rsidR="006D7F49">
        <w:t>providers have chosen to provide connected devices in the EBB Program</w:t>
      </w:r>
      <w:r w:rsidR="006D7F49">
        <w:t xml:space="preserve">).  </w:t>
      </w:r>
      <w:r>
        <w:t xml:space="preserve">  </w:t>
      </w:r>
    </w:p>
  </w:footnote>
  <w:footnote w:id="48">
    <w:p w:rsidR="00FA68DB" w14:paraId="6B9ED095" w14:textId="4B15374E">
      <w:pPr>
        <w:pStyle w:val="FootnoteText"/>
      </w:pPr>
      <w:r>
        <w:rPr>
          <w:rStyle w:val="FootnoteReference"/>
        </w:rPr>
        <w:footnoteRef/>
      </w:r>
      <w:r>
        <w:t xml:space="preserve"> </w:t>
      </w:r>
      <w:r w:rsidR="000F1603">
        <w:t>NaLA</w:t>
      </w:r>
      <w:r w:rsidR="000F1603">
        <w:t xml:space="preserve"> EBB Waiver Petition at </w:t>
      </w:r>
      <w:r w:rsidR="00E321DE">
        <w:t>1,</w:t>
      </w:r>
      <w:r w:rsidR="00AD3862">
        <w:t xml:space="preserve"> </w:t>
      </w:r>
      <w:r w:rsidR="00E321DE">
        <w:t>3.</w:t>
      </w:r>
    </w:p>
  </w:footnote>
  <w:footnote w:id="49">
    <w:p w:rsidR="008A0DD4" w14:paraId="3C89B50D" w14:textId="46E26199">
      <w:pPr>
        <w:pStyle w:val="FootnoteText"/>
      </w:pPr>
      <w:r>
        <w:rPr>
          <w:rStyle w:val="FootnoteReference"/>
        </w:rPr>
        <w:footnoteRef/>
      </w:r>
      <w:r>
        <w:t xml:space="preserve"> 47 CFR § </w:t>
      </w:r>
      <w:r w:rsidRPr="05EB61F6">
        <w:t>54.1606(e)(3)</w:t>
      </w:r>
      <w:r>
        <w:t>.</w:t>
      </w:r>
    </w:p>
  </w:footnote>
  <w:footnote w:id="50">
    <w:p w:rsidR="008A0DD4" w14:paraId="17330B00" w14:textId="6F47AB97">
      <w:pPr>
        <w:pStyle w:val="FootnoteText"/>
      </w:pPr>
      <w:r>
        <w:rPr>
          <w:rStyle w:val="FootnoteReference"/>
        </w:rPr>
        <w:footnoteRef/>
      </w:r>
      <w:r>
        <w:t xml:space="preserve"> 47 CFR § </w:t>
      </w:r>
      <w:r w:rsidRPr="05EB61F6">
        <w:t>54.160</w:t>
      </w:r>
      <w:r>
        <w:t>8</w:t>
      </w:r>
      <w:r w:rsidRPr="05EB61F6">
        <w:t>(</w:t>
      </w:r>
      <w:r>
        <w:t>d</w:t>
      </w:r>
      <w:r w:rsidRPr="05EB61F6">
        <w:t>)</w:t>
      </w:r>
      <w:r>
        <w:t>.</w:t>
      </w:r>
    </w:p>
  </w:footnote>
  <w:footnote w:id="51">
    <w:p w:rsidR="001B077A" w14:paraId="7A1F11E5" w14:textId="6B853FF4">
      <w:pPr>
        <w:pStyle w:val="FootnoteText"/>
      </w:pPr>
      <w:r>
        <w:rPr>
          <w:rStyle w:val="FootnoteReference"/>
        </w:rPr>
        <w:footnoteRef/>
      </w:r>
      <w:r>
        <w:t xml:space="preserve"> </w:t>
      </w:r>
      <w:r w:rsidR="000D15A1">
        <w:t>Consolidated Appropriations Act, div. N. tit. IX, § 904 (b)(</w:t>
      </w:r>
      <w:r w:rsidR="00244D6C">
        <w:t>5).</w:t>
      </w:r>
    </w:p>
  </w:footnote>
  <w:footnote w:id="52">
    <w:p w:rsidR="003612BD" w:rsidRPr="003612BD" w14:paraId="5368481C" w14:textId="00788867">
      <w:pPr>
        <w:pStyle w:val="FootnoteText"/>
      </w:pPr>
      <w:r>
        <w:rPr>
          <w:rStyle w:val="FootnoteReference"/>
        </w:rPr>
        <w:footnoteRef/>
      </w:r>
      <w:r>
        <w:t xml:space="preserve"> </w:t>
      </w:r>
      <w:r>
        <w:rPr>
          <w:i/>
          <w:iCs/>
        </w:rPr>
        <w:t>EBB Program Order</w:t>
      </w:r>
      <w:r>
        <w:t xml:space="preserve"> at </w:t>
      </w:r>
      <w:r w:rsidR="0056347A">
        <w:t xml:space="preserve">49, para. 95.  </w:t>
      </w:r>
    </w:p>
  </w:footnote>
  <w:footnote w:id="53">
    <w:p w:rsidR="00DA4B3C" w14:paraId="50E11CEC" w14:textId="1C24FA1A">
      <w:pPr>
        <w:pStyle w:val="FootnoteText"/>
      </w:pPr>
      <w:r>
        <w:rPr>
          <w:rStyle w:val="FootnoteReference"/>
        </w:rPr>
        <w:footnoteRef/>
      </w:r>
      <w:r>
        <w:t xml:space="preserve"> </w:t>
      </w:r>
      <w:r w:rsidR="00245BF8">
        <w:t xml:space="preserve">For a list of EBB Program providers offering a connected device, visit </w:t>
      </w:r>
      <w:hyperlink r:id="rId5" w:history="1">
        <w:r w:rsidRPr="009C6DBD" w:rsidR="00732A89">
          <w:rPr>
            <w:rStyle w:val="Hyperlink"/>
          </w:rPr>
          <w:t>https://www.fcc.gov/emergency-broadband-benefit-providers</w:t>
        </w:r>
      </w:hyperlink>
      <w:r w:rsidR="00434B29">
        <w:t>.</w:t>
      </w:r>
      <w:r w:rsidR="00732A89">
        <w:t xml:space="preserve"> </w:t>
      </w:r>
    </w:p>
  </w:footnote>
  <w:footnote w:id="54">
    <w:p w:rsidR="006F2A60" w14:paraId="2C3F11CD" w14:textId="6F29BCBE">
      <w:pPr>
        <w:pStyle w:val="FootnoteText"/>
      </w:pPr>
      <w:r>
        <w:rPr>
          <w:rStyle w:val="FootnoteReference"/>
        </w:rPr>
        <w:footnoteRef/>
      </w:r>
      <w:r>
        <w:t xml:space="preserve"> 47 CFR § 54.1608.</w:t>
      </w:r>
    </w:p>
  </w:footnote>
  <w:footnote w:id="55">
    <w:p w:rsidR="006F2A60" w14:paraId="5D73AF41" w14:textId="37708BF8">
      <w:pPr>
        <w:pStyle w:val="FootnoteText"/>
      </w:pPr>
      <w:r>
        <w:rPr>
          <w:rStyle w:val="FootnoteReference"/>
        </w:rPr>
        <w:footnoteRef/>
      </w:r>
      <w:r>
        <w:t xml:space="preserve"> 47 CFR §</w:t>
      </w:r>
      <w:r w:rsidR="0079751A">
        <w:t xml:space="preserve"> </w:t>
      </w:r>
      <w:r>
        <w:t>54.1606(e)(4).</w:t>
      </w:r>
    </w:p>
  </w:footnote>
  <w:footnote w:id="56">
    <w:p w:rsidR="001256D0" w14:paraId="4928F0D3" w14:textId="6983BFF7">
      <w:pPr>
        <w:pStyle w:val="FootnoteText"/>
      </w:pPr>
      <w:r>
        <w:rPr>
          <w:rStyle w:val="FootnoteReference"/>
        </w:rPr>
        <w:footnoteRef/>
      </w:r>
      <w:r>
        <w:t xml:space="preserve"> If it is determined that a provider has</w:t>
      </w:r>
      <w:r w:rsidR="00A52305">
        <w:t xml:space="preserve"> falsely</w:t>
      </w:r>
      <w:r>
        <w:t xml:space="preserve"> enrolled an EBB subscriber with a connected device in the NLAD without actually distributing a connected device to the subscriber, USAC may</w:t>
      </w:r>
      <w:r w:rsidR="00A52305">
        <w:t xml:space="preserve"> accept a subsequent device enrollment and reimbursement claim for that subscriber.  We direct USAC to refer any such instances of transmission of false connected device enrollment </w:t>
      </w:r>
      <w:r w:rsidR="00405005">
        <w:t xml:space="preserve">information </w:t>
      </w:r>
      <w:r w:rsidR="00A52305">
        <w:t>to the Commission for enforcement purposes.</w:t>
      </w:r>
    </w:p>
  </w:footnote>
  <w:footnote w:id="57">
    <w:p w:rsidR="00F93F62" w14:paraId="3CC74FA0" w14:textId="20704B5B">
      <w:pPr>
        <w:pStyle w:val="FootnoteText"/>
      </w:pPr>
      <w:r>
        <w:rPr>
          <w:rStyle w:val="FootnoteReference"/>
        </w:rPr>
        <w:footnoteRef/>
      </w:r>
      <w:r>
        <w:t xml:space="preserve"> </w:t>
      </w:r>
      <w:r w:rsidR="00FB7192">
        <w:t>NaLA</w:t>
      </w:r>
      <w:r w:rsidR="00FB7192">
        <w:t xml:space="preserve"> requests that the Commission direct USAC to deploy </w:t>
      </w:r>
      <w:r w:rsidR="00D97269">
        <w:t xml:space="preserve">functionality in NLAD to allow providers to confirm whether a </w:t>
      </w:r>
      <w:r w:rsidR="00A049AB">
        <w:t xml:space="preserve">household has received a connected device or </w:t>
      </w:r>
      <w:r w:rsidR="00EC0E50">
        <w:t>if a</w:t>
      </w:r>
      <w:r w:rsidR="00464B1F">
        <w:t xml:space="preserve">nother provider has received a reimbursement claim for a connected device delivered to that household.  </w:t>
      </w:r>
      <w:r w:rsidR="00464B1F">
        <w:t>NaLA</w:t>
      </w:r>
      <w:r w:rsidR="00464B1F">
        <w:t xml:space="preserve"> EBB Waiver Petition at 4-5.  </w:t>
      </w:r>
      <w:r w:rsidR="00E06D9E">
        <w:t xml:space="preserve">The Bureau believes that the </w:t>
      </w:r>
      <w:r w:rsidR="00A4714D">
        <w:t xml:space="preserve">NLAD </w:t>
      </w:r>
      <w:r w:rsidR="00E06D9E">
        <w:t>functionality described</w:t>
      </w:r>
      <w:r w:rsidR="00534B6A">
        <w:t xml:space="preserve"> </w:t>
      </w:r>
      <w:r w:rsidR="00A4714D">
        <w:t xml:space="preserve">above </w:t>
      </w:r>
      <w:r w:rsidR="00C96624">
        <w:t>provides the functionality</w:t>
      </w:r>
      <w:r w:rsidR="00F36604">
        <w:t xml:space="preserve"> requested in </w:t>
      </w:r>
      <w:r w:rsidR="00F36604">
        <w:t>NaLA’s</w:t>
      </w:r>
      <w:r w:rsidR="00F36604">
        <w:t xml:space="preserve"> petition</w:t>
      </w:r>
      <w:r w:rsidR="00FC41BA">
        <w:t xml:space="preserve"> and </w:t>
      </w:r>
      <w:r w:rsidR="00C55732">
        <w:t>we therefore find that this request is moot</w:t>
      </w:r>
      <w:r w:rsidR="00916B1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94577A" w14:textId="1BD33722">
    <w:pPr>
      <w:pStyle w:val="Header"/>
      <w:rPr>
        <w:b w:val="0"/>
      </w:rPr>
    </w:pPr>
    <w:r>
      <w:tab/>
      <w:t>Federal Communications Commission</w:t>
    </w:r>
    <w:r>
      <w:tab/>
    </w:r>
    <w:r w:rsidR="00047029">
      <w:t>DA 21-</w:t>
    </w:r>
    <w:r w:rsidR="00434849">
      <w:t>631</w:t>
    </w:r>
  </w:p>
  <w:p w:rsidR="00D25FB5" w14:paraId="0DECB4F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v:path arrowok="t"/>
              <w10:wrap anchorx="margin"/>
            </v:rect>
          </w:pict>
        </mc:Fallback>
      </mc:AlternateContent>
    </w:r>
  </w:p>
  <w:p w:rsidR="00D25FB5" w14:paraId="4CE84D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1A85B1" w14:textId="1816A0BD">
    <w:pPr>
      <w:pStyle w:val="Header"/>
      <w:rPr>
        <w:b w:val="0"/>
      </w:rPr>
    </w:pPr>
    <w:r>
      <w:rPr>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rsidR="006E1610">
      <w:tab/>
      <w:t>Federal Communications Commission</w:t>
    </w:r>
    <w:r w:rsidR="006E1610">
      <w:tab/>
    </w:r>
    <w:r w:rsidR="00F91A53">
      <w:rPr>
        <w:spacing w:val="-2"/>
      </w:rPr>
      <w:t>DA 21-</w:t>
    </w:r>
    <w:r w:rsidR="00434849">
      <w:rPr>
        <w:spacing w:val="-2"/>
      </w:rPr>
      <w:t>631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74"/>
    <w:rsid w:val="00002DF0"/>
    <w:rsid w:val="00010844"/>
    <w:rsid w:val="000129D1"/>
    <w:rsid w:val="00012C57"/>
    <w:rsid w:val="000213D0"/>
    <w:rsid w:val="00022B36"/>
    <w:rsid w:val="00023572"/>
    <w:rsid w:val="000254C0"/>
    <w:rsid w:val="00025A1A"/>
    <w:rsid w:val="00031AB2"/>
    <w:rsid w:val="000329C1"/>
    <w:rsid w:val="00036039"/>
    <w:rsid w:val="00037F90"/>
    <w:rsid w:val="00037FC3"/>
    <w:rsid w:val="0004096B"/>
    <w:rsid w:val="00041D4E"/>
    <w:rsid w:val="00042400"/>
    <w:rsid w:val="000445AB"/>
    <w:rsid w:val="0004550F"/>
    <w:rsid w:val="00047029"/>
    <w:rsid w:val="00052B87"/>
    <w:rsid w:val="0006121A"/>
    <w:rsid w:val="00061227"/>
    <w:rsid w:val="00064BB7"/>
    <w:rsid w:val="00066F61"/>
    <w:rsid w:val="00067967"/>
    <w:rsid w:val="000730E9"/>
    <w:rsid w:val="0007613C"/>
    <w:rsid w:val="00076576"/>
    <w:rsid w:val="00076DD2"/>
    <w:rsid w:val="00081A72"/>
    <w:rsid w:val="000861B7"/>
    <w:rsid w:val="000875BF"/>
    <w:rsid w:val="00096D8C"/>
    <w:rsid w:val="000A23B4"/>
    <w:rsid w:val="000A26E6"/>
    <w:rsid w:val="000A4DA5"/>
    <w:rsid w:val="000B07FA"/>
    <w:rsid w:val="000C0A22"/>
    <w:rsid w:val="000C0B65"/>
    <w:rsid w:val="000C2A88"/>
    <w:rsid w:val="000D15A1"/>
    <w:rsid w:val="000D17B5"/>
    <w:rsid w:val="000D3516"/>
    <w:rsid w:val="000D5E0B"/>
    <w:rsid w:val="000E033A"/>
    <w:rsid w:val="000E05FE"/>
    <w:rsid w:val="000E3D42"/>
    <w:rsid w:val="000F1603"/>
    <w:rsid w:val="000F7094"/>
    <w:rsid w:val="001011A6"/>
    <w:rsid w:val="00117545"/>
    <w:rsid w:val="00122BD5"/>
    <w:rsid w:val="001256D0"/>
    <w:rsid w:val="00126CF1"/>
    <w:rsid w:val="00127CBF"/>
    <w:rsid w:val="001304AF"/>
    <w:rsid w:val="00132F92"/>
    <w:rsid w:val="00133F79"/>
    <w:rsid w:val="00134A0F"/>
    <w:rsid w:val="00135750"/>
    <w:rsid w:val="00140941"/>
    <w:rsid w:val="00144AC2"/>
    <w:rsid w:val="00150B13"/>
    <w:rsid w:val="00154D7B"/>
    <w:rsid w:val="001570E3"/>
    <w:rsid w:val="001636DF"/>
    <w:rsid w:val="00163D33"/>
    <w:rsid w:val="00165FC5"/>
    <w:rsid w:val="00166DAB"/>
    <w:rsid w:val="0017296B"/>
    <w:rsid w:val="001754A8"/>
    <w:rsid w:val="0017703A"/>
    <w:rsid w:val="001947A6"/>
    <w:rsid w:val="00194A66"/>
    <w:rsid w:val="00195104"/>
    <w:rsid w:val="00197209"/>
    <w:rsid w:val="001A23D1"/>
    <w:rsid w:val="001A3CE5"/>
    <w:rsid w:val="001A7F53"/>
    <w:rsid w:val="001B077A"/>
    <w:rsid w:val="001B17DC"/>
    <w:rsid w:val="001B2F63"/>
    <w:rsid w:val="001B3E02"/>
    <w:rsid w:val="001B40F4"/>
    <w:rsid w:val="001B7667"/>
    <w:rsid w:val="001B7C83"/>
    <w:rsid w:val="001C3139"/>
    <w:rsid w:val="001D2890"/>
    <w:rsid w:val="001D5D43"/>
    <w:rsid w:val="001D6BCF"/>
    <w:rsid w:val="001E01CA"/>
    <w:rsid w:val="001E4662"/>
    <w:rsid w:val="001F3969"/>
    <w:rsid w:val="001F4655"/>
    <w:rsid w:val="001F4B3F"/>
    <w:rsid w:val="001F4C6E"/>
    <w:rsid w:val="001F55BC"/>
    <w:rsid w:val="001F6806"/>
    <w:rsid w:val="00204563"/>
    <w:rsid w:val="002209B9"/>
    <w:rsid w:val="00222899"/>
    <w:rsid w:val="00223D5F"/>
    <w:rsid w:val="00232F08"/>
    <w:rsid w:val="002362AD"/>
    <w:rsid w:val="00237ADC"/>
    <w:rsid w:val="0024158E"/>
    <w:rsid w:val="00244D6C"/>
    <w:rsid w:val="00245BF8"/>
    <w:rsid w:val="00247273"/>
    <w:rsid w:val="002528CA"/>
    <w:rsid w:val="00260211"/>
    <w:rsid w:val="00266577"/>
    <w:rsid w:val="0027010E"/>
    <w:rsid w:val="00275CF5"/>
    <w:rsid w:val="002811DC"/>
    <w:rsid w:val="0028301F"/>
    <w:rsid w:val="00283021"/>
    <w:rsid w:val="00283AC4"/>
    <w:rsid w:val="00283FD8"/>
    <w:rsid w:val="00285017"/>
    <w:rsid w:val="002855D5"/>
    <w:rsid w:val="00290B68"/>
    <w:rsid w:val="00290F61"/>
    <w:rsid w:val="00295AC7"/>
    <w:rsid w:val="002A0BD5"/>
    <w:rsid w:val="002A2D2E"/>
    <w:rsid w:val="002A44C2"/>
    <w:rsid w:val="002A4AB2"/>
    <w:rsid w:val="002A706B"/>
    <w:rsid w:val="002A7989"/>
    <w:rsid w:val="002B34CF"/>
    <w:rsid w:val="002B4647"/>
    <w:rsid w:val="002B685A"/>
    <w:rsid w:val="002B74F4"/>
    <w:rsid w:val="002C00CF"/>
    <w:rsid w:val="002C00E8"/>
    <w:rsid w:val="002C13CD"/>
    <w:rsid w:val="002C424C"/>
    <w:rsid w:val="002C5C88"/>
    <w:rsid w:val="002C7C2B"/>
    <w:rsid w:val="002D00D4"/>
    <w:rsid w:val="002E29F5"/>
    <w:rsid w:val="002E315D"/>
    <w:rsid w:val="002E35D0"/>
    <w:rsid w:val="002E487D"/>
    <w:rsid w:val="002E6911"/>
    <w:rsid w:val="002F137A"/>
    <w:rsid w:val="003058E7"/>
    <w:rsid w:val="00307F43"/>
    <w:rsid w:val="00317037"/>
    <w:rsid w:val="00320A02"/>
    <w:rsid w:val="003223A2"/>
    <w:rsid w:val="0032669F"/>
    <w:rsid w:val="003268B7"/>
    <w:rsid w:val="00326F35"/>
    <w:rsid w:val="00333232"/>
    <w:rsid w:val="00343749"/>
    <w:rsid w:val="00350D65"/>
    <w:rsid w:val="00355056"/>
    <w:rsid w:val="003612BD"/>
    <w:rsid w:val="0036448E"/>
    <w:rsid w:val="00364B90"/>
    <w:rsid w:val="003660ED"/>
    <w:rsid w:val="00367D35"/>
    <w:rsid w:val="0038075D"/>
    <w:rsid w:val="0038408E"/>
    <w:rsid w:val="003861A8"/>
    <w:rsid w:val="00387CFD"/>
    <w:rsid w:val="00390FC4"/>
    <w:rsid w:val="00394523"/>
    <w:rsid w:val="003A7EF1"/>
    <w:rsid w:val="003B0550"/>
    <w:rsid w:val="003B4320"/>
    <w:rsid w:val="003B5313"/>
    <w:rsid w:val="003B53E6"/>
    <w:rsid w:val="003B694F"/>
    <w:rsid w:val="003C4E84"/>
    <w:rsid w:val="003C5068"/>
    <w:rsid w:val="003C571E"/>
    <w:rsid w:val="003C6905"/>
    <w:rsid w:val="003D229E"/>
    <w:rsid w:val="003D2739"/>
    <w:rsid w:val="003D5699"/>
    <w:rsid w:val="003E5CDD"/>
    <w:rsid w:val="003E7FF9"/>
    <w:rsid w:val="003F0BAB"/>
    <w:rsid w:val="003F171C"/>
    <w:rsid w:val="003F1BAA"/>
    <w:rsid w:val="003F2326"/>
    <w:rsid w:val="003F6D92"/>
    <w:rsid w:val="003F6EAD"/>
    <w:rsid w:val="003F7AFD"/>
    <w:rsid w:val="00404535"/>
    <w:rsid w:val="00405005"/>
    <w:rsid w:val="0040562B"/>
    <w:rsid w:val="00412ADA"/>
    <w:rsid w:val="00412E26"/>
    <w:rsid w:val="00412FC5"/>
    <w:rsid w:val="00413DCC"/>
    <w:rsid w:val="00417059"/>
    <w:rsid w:val="00420E60"/>
    <w:rsid w:val="00422276"/>
    <w:rsid w:val="00423CF4"/>
    <w:rsid w:val="004242F1"/>
    <w:rsid w:val="004260FA"/>
    <w:rsid w:val="00427A58"/>
    <w:rsid w:val="004329C5"/>
    <w:rsid w:val="00434849"/>
    <w:rsid w:val="004349BD"/>
    <w:rsid w:val="00434B29"/>
    <w:rsid w:val="0043784D"/>
    <w:rsid w:val="00445A00"/>
    <w:rsid w:val="0044650B"/>
    <w:rsid w:val="00451B0F"/>
    <w:rsid w:val="00453FC3"/>
    <w:rsid w:val="00454698"/>
    <w:rsid w:val="0045685E"/>
    <w:rsid w:val="00460C20"/>
    <w:rsid w:val="00462967"/>
    <w:rsid w:val="004629A0"/>
    <w:rsid w:val="00463543"/>
    <w:rsid w:val="00464B1F"/>
    <w:rsid w:val="0047057E"/>
    <w:rsid w:val="004712E5"/>
    <w:rsid w:val="004717F1"/>
    <w:rsid w:val="00475C1D"/>
    <w:rsid w:val="00480337"/>
    <w:rsid w:val="0048082A"/>
    <w:rsid w:val="0048283A"/>
    <w:rsid w:val="00484270"/>
    <w:rsid w:val="00493297"/>
    <w:rsid w:val="00494062"/>
    <w:rsid w:val="004A759B"/>
    <w:rsid w:val="004C27A8"/>
    <w:rsid w:val="004C2EE3"/>
    <w:rsid w:val="004C483B"/>
    <w:rsid w:val="004D2A5D"/>
    <w:rsid w:val="004D2C07"/>
    <w:rsid w:val="004D3A48"/>
    <w:rsid w:val="004D6637"/>
    <w:rsid w:val="004E1DB4"/>
    <w:rsid w:val="004E2576"/>
    <w:rsid w:val="004E3F27"/>
    <w:rsid w:val="004E4A22"/>
    <w:rsid w:val="004E65DD"/>
    <w:rsid w:val="004E66FB"/>
    <w:rsid w:val="004F12DD"/>
    <w:rsid w:val="004F54D0"/>
    <w:rsid w:val="00501A94"/>
    <w:rsid w:val="00502A99"/>
    <w:rsid w:val="00506262"/>
    <w:rsid w:val="00510637"/>
    <w:rsid w:val="00511326"/>
    <w:rsid w:val="00511968"/>
    <w:rsid w:val="005144B7"/>
    <w:rsid w:val="005255A1"/>
    <w:rsid w:val="0052686A"/>
    <w:rsid w:val="00532CB7"/>
    <w:rsid w:val="00534B6A"/>
    <w:rsid w:val="00536352"/>
    <w:rsid w:val="00540AF8"/>
    <w:rsid w:val="00541A85"/>
    <w:rsid w:val="00542E28"/>
    <w:rsid w:val="00547CC1"/>
    <w:rsid w:val="005538EA"/>
    <w:rsid w:val="005540F5"/>
    <w:rsid w:val="005551FB"/>
    <w:rsid w:val="0055614C"/>
    <w:rsid w:val="00560E1D"/>
    <w:rsid w:val="0056347A"/>
    <w:rsid w:val="00565C72"/>
    <w:rsid w:val="00566D06"/>
    <w:rsid w:val="00567D22"/>
    <w:rsid w:val="0057242A"/>
    <w:rsid w:val="005728DB"/>
    <w:rsid w:val="00575B02"/>
    <w:rsid w:val="00582823"/>
    <w:rsid w:val="00584485"/>
    <w:rsid w:val="00587685"/>
    <w:rsid w:val="005921DF"/>
    <w:rsid w:val="005957C4"/>
    <w:rsid w:val="005A0EC8"/>
    <w:rsid w:val="005A2572"/>
    <w:rsid w:val="005A44E0"/>
    <w:rsid w:val="005A5091"/>
    <w:rsid w:val="005A50B6"/>
    <w:rsid w:val="005A589E"/>
    <w:rsid w:val="005B05FA"/>
    <w:rsid w:val="005B14F3"/>
    <w:rsid w:val="005B1B2D"/>
    <w:rsid w:val="005B2113"/>
    <w:rsid w:val="005B5DDF"/>
    <w:rsid w:val="005B620D"/>
    <w:rsid w:val="005D4A94"/>
    <w:rsid w:val="005D5F81"/>
    <w:rsid w:val="005E0775"/>
    <w:rsid w:val="005E07F4"/>
    <w:rsid w:val="005E14C2"/>
    <w:rsid w:val="005E4D2E"/>
    <w:rsid w:val="005E7F48"/>
    <w:rsid w:val="005F1BE5"/>
    <w:rsid w:val="005F47F0"/>
    <w:rsid w:val="005F5FA4"/>
    <w:rsid w:val="005F74FC"/>
    <w:rsid w:val="006034CF"/>
    <w:rsid w:val="00605452"/>
    <w:rsid w:val="00606B77"/>
    <w:rsid w:val="00607105"/>
    <w:rsid w:val="00607BA5"/>
    <w:rsid w:val="00607EF6"/>
    <w:rsid w:val="0061180A"/>
    <w:rsid w:val="0061250E"/>
    <w:rsid w:val="00616973"/>
    <w:rsid w:val="00626EB6"/>
    <w:rsid w:val="00631BD8"/>
    <w:rsid w:val="00632BB2"/>
    <w:rsid w:val="006501BA"/>
    <w:rsid w:val="00650E5C"/>
    <w:rsid w:val="00655D03"/>
    <w:rsid w:val="00655F66"/>
    <w:rsid w:val="00656E71"/>
    <w:rsid w:val="00657B00"/>
    <w:rsid w:val="00680A15"/>
    <w:rsid w:val="00680AC0"/>
    <w:rsid w:val="00681C55"/>
    <w:rsid w:val="00683388"/>
    <w:rsid w:val="00683F84"/>
    <w:rsid w:val="0069109E"/>
    <w:rsid w:val="00692AEB"/>
    <w:rsid w:val="00695535"/>
    <w:rsid w:val="0069587D"/>
    <w:rsid w:val="00697481"/>
    <w:rsid w:val="00697A5B"/>
    <w:rsid w:val="006A2EE4"/>
    <w:rsid w:val="006A6A81"/>
    <w:rsid w:val="006A6CF5"/>
    <w:rsid w:val="006B1412"/>
    <w:rsid w:val="006B2A1D"/>
    <w:rsid w:val="006B4137"/>
    <w:rsid w:val="006B44D6"/>
    <w:rsid w:val="006B47B2"/>
    <w:rsid w:val="006B5B6C"/>
    <w:rsid w:val="006B729A"/>
    <w:rsid w:val="006B7F28"/>
    <w:rsid w:val="006C435E"/>
    <w:rsid w:val="006C76E5"/>
    <w:rsid w:val="006C7F9E"/>
    <w:rsid w:val="006D7F49"/>
    <w:rsid w:val="006E1610"/>
    <w:rsid w:val="006E3598"/>
    <w:rsid w:val="006E4121"/>
    <w:rsid w:val="006F2A60"/>
    <w:rsid w:val="006F2B39"/>
    <w:rsid w:val="006F5280"/>
    <w:rsid w:val="006F6A13"/>
    <w:rsid w:val="006F7393"/>
    <w:rsid w:val="0070224F"/>
    <w:rsid w:val="00705221"/>
    <w:rsid w:val="007115F7"/>
    <w:rsid w:val="00712FC8"/>
    <w:rsid w:val="0071445E"/>
    <w:rsid w:val="00720FF5"/>
    <w:rsid w:val="00723F89"/>
    <w:rsid w:val="00724AFF"/>
    <w:rsid w:val="00726A51"/>
    <w:rsid w:val="00732A89"/>
    <w:rsid w:val="0073423A"/>
    <w:rsid w:val="00734F9F"/>
    <w:rsid w:val="0073629B"/>
    <w:rsid w:val="00741656"/>
    <w:rsid w:val="00745389"/>
    <w:rsid w:val="00745DF6"/>
    <w:rsid w:val="00753C10"/>
    <w:rsid w:val="00754C09"/>
    <w:rsid w:val="007557AD"/>
    <w:rsid w:val="00763BAA"/>
    <w:rsid w:val="00766CDF"/>
    <w:rsid w:val="007676AA"/>
    <w:rsid w:val="00767855"/>
    <w:rsid w:val="00767D9B"/>
    <w:rsid w:val="00767E99"/>
    <w:rsid w:val="00773F73"/>
    <w:rsid w:val="00774DFF"/>
    <w:rsid w:val="007754C9"/>
    <w:rsid w:val="00775A9C"/>
    <w:rsid w:val="00782E50"/>
    <w:rsid w:val="007838FC"/>
    <w:rsid w:val="00784A3D"/>
    <w:rsid w:val="00785689"/>
    <w:rsid w:val="0078751B"/>
    <w:rsid w:val="00791F2F"/>
    <w:rsid w:val="007950F4"/>
    <w:rsid w:val="0079751A"/>
    <w:rsid w:val="0079754B"/>
    <w:rsid w:val="007A0BE0"/>
    <w:rsid w:val="007A18D3"/>
    <w:rsid w:val="007A1C91"/>
    <w:rsid w:val="007A1E6D"/>
    <w:rsid w:val="007A63F5"/>
    <w:rsid w:val="007B0EB2"/>
    <w:rsid w:val="007B1C51"/>
    <w:rsid w:val="007B34B8"/>
    <w:rsid w:val="007D1D3C"/>
    <w:rsid w:val="007D59EA"/>
    <w:rsid w:val="007E0B85"/>
    <w:rsid w:val="007E398F"/>
    <w:rsid w:val="007F00E0"/>
    <w:rsid w:val="007F215E"/>
    <w:rsid w:val="007F2816"/>
    <w:rsid w:val="007F42B3"/>
    <w:rsid w:val="007F559D"/>
    <w:rsid w:val="007F6B1A"/>
    <w:rsid w:val="00801CD9"/>
    <w:rsid w:val="00803FDE"/>
    <w:rsid w:val="00810B6F"/>
    <w:rsid w:val="00811918"/>
    <w:rsid w:val="00821499"/>
    <w:rsid w:val="008221C0"/>
    <w:rsid w:val="00822CE0"/>
    <w:rsid w:val="00825B66"/>
    <w:rsid w:val="00835B22"/>
    <w:rsid w:val="00841AB1"/>
    <w:rsid w:val="008434E3"/>
    <w:rsid w:val="00843E40"/>
    <w:rsid w:val="00847406"/>
    <w:rsid w:val="00847592"/>
    <w:rsid w:val="008528A2"/>
    <w:rsid w:val="00852A00"/>
    <w:rsid w:val="00863C88"/>
    <w:rsid w:val="008709A5"/>
    <w:rsid w:val="0087282C"/>
    <w:rsid w:val="00875D6D"/>
    <w:rsid w:val="008825FD"/>
    <w:rsid w:val="0088363C"/>
    <w:rsid w:val="00883D3C"/>
    <w:rsid w:val="00886E7D"/>
    <w:rsid w:val="00887A09"/>
    <w:rsid w:val="00890C6A"/>
    <w:rsid w:val="008938EC"/>
    <w:rsid w:val="00894860"/>
    <w:rsid w:val="008A0326"/>
    <w:rsid w:val="008A0DD4"/>
    <w:rsid w:val="008A25D4"/>
    <w:rsid w:val="008A3FFD"/>
    <w:rsid w:val="008B105D"/>
    <w:rsid w:val="008B3F02"/>
    <w:rsid w:val="008C1476"/>
    <w:rsid w:val="008C2FBB"/>
    <w:rsid w:val="008C3BD8"/>
    <w:rsid w:val="008C68AA"/>
    <w:rsid w:val="008C68F1"/>
    <w:rsid w:val="008D0254"/>
    <w:rsid w:val="008D0968"/>
    <w:rsid w:val="008D27F6"/>
    <w:rsid w:val="008D3144"/>
    <w:rsid w:val="008D4200"/>
    <w:rsid w:val="008D78A6"/>
    <w:rsid w:val="008E4DAD"/>
    <w:rsid w:val="008E51D2"/>
    <w:rsid w:val="008F7817"/>
    <w:rsid w:val="00906EF0"/>
    <w:rsid w:val="00907A95"/>
    <w:rsid w:val="00911FE3"/>
    <w:rsid w:val="00913EB0"/>
    <w:rsid w:val="00914621"/>
    <w:rsid w:val="00916B12"/>
    <w:rsid w:val="00921803"/>
    <w:rsid w:val="009227AF"/>
    <w:rsid w:val="00922D89"/>
    <w:rsid w:val="00925122"/>
    <w:rsid w:val="00926503"/>
    <w:rsid w:val="00926986"/>
    <w:rsid w:val="00926B11"/>
    <w:rsid w:val="00927C83"/>
    <w:rsid w:val="0094096C"/>
    <w:rsid w:val="00943496"/>
    <w:rsid w:val="00943F3A"/>
    <w:rsid w:val="00944EE6"/>
    <w:rsid w:val="00950118"/>
    <w:rsid w:val="0095101F"/>
    <w:rsid w:val="00955FFE"/>
    <w:rsid w:val="009565BD"/>
    <w:rsid w:val="0096398B"/>
    <w:rsid w:val="009649B6"/>
    <w:rsid w:val="00967D9F"/>
    <w:rsid w:val="0097119A"/>
    <w:rsid w:val="00971CCF"/>
    <w:rsid w:val="009726D8"/>
    <w:rsid w:val="00973034"/>
    <w:rsid w:val="00974700"/>
    <w:rsid w:val="00975179"/>
    <w:rsid w:val="00975D29"/>
    <w:rsid w:val="0098359B"/>
    <w:rsid w:val="009B53D8"/>
    <w:rsid w:val="009C463C"/>
    <w:rsid w:val="009C6DBD"/>
    <w:rsid w:val="009D2BDD"/>
    <w:rsid w:val="009D7308"/>
    <w:rsid w:val="009F122F"/>
    <w:rsid w:val="009F3A95"/>
    <w:rsid w:val="009F4885"/>
    <w:rsid w:val="009F5C9D"/>
    <w:rsid w:val="009F76DB"/>
    <w:rsid w:val="00A00D40"/>
    <w:rsid w:val="00A048BF"/>
    <w:rsid w:val="00A049AB"/>
    <w:rsid w:val="00A04A7D"/>
    <w:rsid w:val="00A07ECA"/>
    <w:rsid w:val="00A10F89"/>
    <w:rsid w:val="00A14585"/>
    <w:rsid w:val="00A1540C"/>
    <w:rsid w:val="00A2430C"/>
    <w:rsid w:val="00A24423"/>
    <w:rsid w:val="00A32A5C"/>
    <w:rsid w:val="00A32C3B"/>
    <w:rsid w:val="00A363AD"/>
    <w:rsid w:val="00A45F4F"/>
    <w:rsid w:val="00A4714D"/>
    <w:rsid w:val="00A47617"/>
    <w:rsid w:val="00A52305"/>
    <w:rsid w:val="00A524AD"/>
    <w:rsid w:val="00A600A9"/>
    <w:rsid w:val="00A61BBB"/>
    <w:rsid w:val="00A65923"/>
    <w:rsid w:val="00A660F7"/>
    <w:rsid w:val="00A7076B"/>
    <w:rsid w:val="00A735EE"/>
    <w:rsid w:val="00A74DB2"/>
    <w:rsid w:val="00A75095"/>
    <w:rsid w:val="00A75D7B"/>
    <w:rsid w:val="00A82D40"/>
    <w:rsid w:val="00A873E0"/>
    <w:rsid w:val="00A92252"/>
    <w:rsid w:val="00A95045"/>
    <w:rsid w:val="00A9583E"/>
    <w:rsid w:val="00A959F9"/>
    <w:rsid w:val="00A95E95"/>
    <w:rsid w:val="00AA05B2"/>
    <w:rsid w:val="00AA077D"/>
    <w:rsid w:val="00AA3770"/>
    <w:rsid w:val="00AA3C36"/>
    <w:rsid w:val="00AA4EA2"/>
    <w:rsid w:val="00AA55B7"/>
    <w:rsid w:val="00AA5B9E"/>
    <w:rsid w:val="00AA7AB9"/>
    <w:rsid w:val="00AB2407"/>
    <w:rsid w:val="00AB2459"/>
    <w:rsid w:val="00AB4821"/>
    <w:rsid w:val="00AB53DF"/>
    <w:rsid w:val="00AB6837"/>
    <w:rsid w:val="00AC1EE0"/>
    <w:rsid w:val="00AD10EF"/>
    <w:rsid w:val="00AD1D56"/>
    <w:rsid w:val="00AD3862"/>
    <w:rsid w:val="00AD3B62"/>
    <w:rsid w:val="00AE3B89"/>
    <w:rsid w:val="00AE40D9"/>
    <w:rsid w:val="00AE4A90"/>
    <w:rsid w:val="00AE4BB6"/>
    <w:rsid w:val="00AE6D2A"/>
    <w:rsid w:val="00AF308F"/>
    <w:rsid w:val="00AF5919"/>
    <w:rsid w:val="00AF7CC8"/>
    <w:rsid w:val="00B02B80"/>
    <w:rsid w:val="00B07E5C"/>
    <w:rsid w:val="00B1198E"/>
    <w:rsid w:val="00B1288A"/>
    <w:rsid w:val="00B17E28"/>
    <w:rsid w:val="00B20F92"/>
    <w:rsid w:val="00B22F0F"/>
    <w:rsid w:val="00B31283"/>
    <w:rsid w:val="00B31E03"/>
    <w:rsid w:val="00B36F4B"/>
    <w:rsid w:val="00B40FF0"/>
    <w:rsid w:val="00B41795"/>
    <w:rsid w:val="00B41E9A"/>
    <w:rsid w:val="00B42D9E"/>
    <w:rsid w:val="00B439A1"/>
    <w:rsid w:val="00B52C38"/>
    <w:rsid w:val="00B53331"/>
    <w:rsid w:val="00B557F2"/>
    <w:rsid w:val="00B6029B"/>
    <w:rsid w:val="00B60619"/>
    <w:rsid w:val="00B6777E"/>
    <w:rsid w:val="00B67DA5"/>
    <w:rsid w:val="00B773E0"/>
    <w:rsid w:val="00B80D0C"/>
    <w:rsid w:val="00B811F7"/>
    <w:rsid w:val="00B93DCA"/>
    <w:rsid w:val="00B97F0B"/>
    <w:rsid w:val="00BA0A67"/>
    <w:rsid w:val="00BA35DF"/>
    <w:rsid w:val="00BA5DC6"/>
    <w:rsid w:val="00BA6196"/>
    <w:rsid w:val="00BA7D4B"/>
    <w:rsid w:val="00BC34CF"/>
    <w:rsid w:val="00BC6952"/>
    <w:rsid w:val="00BC6D8B"/>
    <w:rsid w:val="00BC6D8C"/>
    <w:rsid w:val="00BD28FA"/>
    <w:rsid w:val="00BD32C7"/>
    <w:rsid w:val="00BE5C47"/>
    <w:rsid w:val="00BE6155"/>
    <w:rsid w:val="00BF014E"/>
    <w:rsid w:val="00BF1666"/>
    <w:rsid w:val="00BF1E15"/>
    <w:rsid w:val="00BF3333"/>
    <w:rsid w:val="00BF58EA"/>
    <w:rsid w:val="00BF78A6"/>
    <w:rsid w:val="00C01488"/>
    <w:rsid w:val="00C0292B"/>
    <w:rsid w:val="00C06583"/>
    <w:rsid w:val="00C230C1"/>
    <w:rsid w:val="00C24450"/>
    <w:rsid w:val="00C32415"/>
    <w:rsid w:val="00C33A57"/>
    <w:rsid w:val="00C34006"/>
    <w:rsid w:val="00C36B4C"/>
    <w:rsid w:val="00C426B1"/>
    <w:rsid w:val="00C5010F"/>
    <w:rsid w:val="00C50BA4"/>
    <w:rsid w:val="00C52643"/>
    <w:rsid w:val="00C52EA4"/>
    <w:rsid w:val="00C5529D"/>
    <w:rsid w:val="00C55732"/>
    <w:rsid w:val="00C62F88"/>
    <w:rsid w:val="00C638C1"/>
    <w:rsid w:val="00C644BA"/>
    <w:rsid w:val="00C6577C"/>
    <w:rsid w:val="00C65B15"/>
    <w:rsid w:val="00C66160"/>
    <w:rsid w:val="00C67882"/>
    <w:rsid w:val="00C71C37"/>
    <w:rsid w:val="00C721AC"/>
    <w:rsid w:val="00C727F7"/>
    <w:rsid w:val="00C74424"/>
    <w:rsid w:val="00C76D92"/>
    <w:rsid w:val="00C8080D"/>
    <w:rsid w:val="00C8335E"/>
    <w:rsid w:val="00C87C4C"/>
    <w:rsid w:val="00C90D6A"/>
    <w:rsid w:val="00C91DE1"/>
    <w:rsid w:val="00C96624"/>
    <w:rsid w:val="00CA247E"/>
    <w:rsid w:val="00CA6458"/>
    <w:rsid w:val="00CA6D21"/>
    <w:rsid w:val="00CB0E25"/>
    <w:rsid w:val="00CB3BFC"/>
    <w:rsid w:val="00CB5017"/>
    <w:rsid w:val="00CB5A10"/>
    <w:rsid w:val="00CC2559"/>
    <w:rsid w:val="00CC6BA1"/>
    <w:rsid w:val="00CC72B6"/>
    <w:rsid w:val="00CD6EC6"/>
    <w:rsid w:val="00CD731B"/>
    <w:rsid w:val="00CF0187"/>
    <w:rsid w:val="00CF20B2"/>
    <w:rsid w:val="00CF2A51"/>
    <w:rsid w:val="00D010DB"/>
    <w:rsid w:val="00D0218D"/>
    <w:rsid w:val="00D04290"/>
    <w:rsid w:val="00D14FD7"/>
    <w:rsid w:val="00D15428"/>
    <w:rsid w:val="00D15E16"/>
    <w:rsid w:val="00D20E65"/>
    <w:rsid w:val="00D254F8"/>
    <w:rsid w:val="00D25FB5"/>
    <w:rsid w:val="00D27DA7"/>
    <w:rsid w:val="00D31FBB"/>
    <w:rsid w:val="00D36E55"/>
    <w:rsid w:val="00D44223"/>
    <w:rsid w:val="00D44424"/>
    <w:rsid w:val="00D44761"/>
    <w:rsid w:val="00D4569D"/>
    <w:rsid w:val="00D50894"/>
    <w:rsid w:val="00D572BA"/>
    <w:rsid w:val="00D579BF"/>
    <w:rsid w:val="00D667E0"/>
    <w:rsid w:val="00D71074"/>
    <w:rsid w:val="00D72299"/>
    <w:rsid w:val="00D72F02"/>
    <w:rsid w:val="00D7377D"/>
    <w:rsid w:val="00D76FF0"/>
    <w:rsid w:val="00D83AC1"/>
    <w:rsid w:val="00D87B29"/>
    <w:rsid w:val="00D916D3"/>
    <w:rsid w:val="00D934C3"/>
    <w:rsid w:val="00D94E3A"/>
    <w:rsid w:val="00D9547B"/>
    <w:rsid w:val="00D97269"/>
    <w:rsid w:val="00DA010B"/>
    <w:rsid w:val="00DA032F"/>
    <w:rsid w:val="00DA2529"/>
    <w:rsid w:val="00DA4B3C"/>
    <w:rsid w:val="00DA6808"/>
    <w:rsid w:val="00DB130A"/>
    <w:rsid w:val="00DB176F"/>
    <w:rsid w:val="00DB2EBB"/>
    <w:rsid w:val="00DB729E"/>
    <w:rsid w:val="00DC10A1"/>
    <w:rsid w:val="00DC3A69"/>
    <w:rsid w:val="00DC3D98"/>
    <w:rsid w:val="00DC655F"/>
    <w:rsid w:val="00DD0B59"/>
    <w:rsid w:val="00DD2354"/>
    <w:rsid w:val="00DD405A"/>
    <w:rsid w:val="00DD6BF6"/>
    <w:rsid w:val="00DD7EBD"/>
    <w:rsid w:val="00DE35D5"/>
    <w:rsid w:val="00DE4F27"/>
    <w:rsid w:val="00DF3AC5"/>
    <w:rsid w:val="00DF42C9"/>
    <w:rsid w:val="00DF46AA"/>
    <w:rsid w:val="00DF58F6"/>
    <w:rsid w:val="00DF59D1"/>
    <w:rsid w:val="00DF5CE2"/>
    <w:rsid w:val="00DF62B6"/>
    <w:rsid w:val="00DF7D84"/>
    <w:rsid w:val="00E00FCD"/>
    <w:rsid w:val="00E0579C"/>
    <w:rsid w:val="00E05D2E"/>
    <w:rsid w:val="00E06D9E"/>
    <w:rsid w:val="00E07225"/>
    <w:rsid w:val="00E12AC5"/>
    <w:rsid w:val="00E12E13"/>
    <w:rsid w:val="00E15E3C"/>
    <w:rsid w:val="00E21DB0"/>
    <w:rsid w:val="00E2261E"/>
    <w:rsid w:val="00E2532D"/>
    <w:rsid w:val="00E2643A"/>
    <w:rsid w:val="00E321DE"/>
    <w:rsid w:val="00E3297B"/>
    <w:rsid w:val="00E32ED9"/>
    <w:rsid w:val="00E37036"/>
    <w:rsid w:val="00E42199"/>
    <w:rsid w:val="00E43EEA"/>
    <w:rsid w:val="00E47BAD"/>
    <w:rsid w:val="00E50013"/>
    <w:rsid w:val="00E5054F"/>
    <w:rsid w:val="00E51ECC"/>
    <w:rsid w:val="00E529A8"/>
    <w:rsid w:val="00E52EC4"/>
    <w:rsid w:val="00E5409F"/>
    <w:rsid w:val="00E57266"/>
    <w:rsid w:val="00E62024"/>
    <w:rsid w:val="00E65EE2"/>
    <w:rsid w:val="00E6716D"/>
    <w:rsid w:val="00E67869"/>
    <w:rsid w:val="00E678C5"/>
    <w:rsid w:val="00E8071C"/>
    <w:rsid w:val="00E831A1"/>
    <w:rsid w:val="00E85FCD"/>
    <w:rsid w:val="00E8707A"/>
    <w:rsid w:val="00E90A96"/>
    <w:rsid w:val="00E93756"/>
    <w:rsid w:val="00E9522A"/>
    <w:rsid w:val="00E959BF"/>
    <w:rsid w:val="00E9720B"/>
    <w:rsid w:val="00EB3A8A"/>
    <w:rsid w:val="00EB6809"/>
    <w:rsid w:val="00EC0E50"/>
    <w:rsid w:val="00EC28C8"/>
    <w:rsid w:val="00EC3D78"/>
    <w:rsid w:val="00EC5241"/>
    <w:rsid w:val="00EE0433"/>
    <w:rsid w:val="00EE6488"/>
    <w:rsid w:val="00EF327A"/>
    <w:rsid w:val="00EF4B93"/>
    <w:rsid w:val="00EF60AB"/>
    <w:rsid w:val="00F021FA"/>
    <w:rsid w:val="00F04D68"/>
    <w:rsid w:val="00F13500"/>
    <w:rsid w:val="00F149FF"/>
    <w:rsid w:val="00F17374"/>
    <w:rsid w:val="00F17CBA"/>
    <w:rsid w:val="00F20A30"/>
    <w:rsid w:val="00F25375"/>
    <w:rsid w:val="00F36604"/>
    <w:rsid w:val="00F36AAE"/>
    <w:rsid w:val="00F36D5D"/>
    <w:rsid w:val="00F4271C"/>
    <w:rsid w:val="00F444F9"/>
    <w:rsid w:val="00F46DBE"/>
    <w:rsid w:val="00F47626"/>
    <w:rsid w:val="00F62E97"/>
    <w:rsid w:val="00F64209"/>
    <w:rsid w:val="00F65D7C"/>
    <w:rsid w:val="00F677BB"/>
    <w:rsid w:val="00F707CB"/>
    <w:rsid w:val="00F80C48"/>
    <w:rsid w:val="00F80ECD"/>
    <w:rsid w:val="00F840F8"/>
    <w:rsid w:val="00F842FF"/>
    <w:rsid w:val="00F91A53"/>
    <w:rsid w:val="00F9264E"/>
    <w:rsid w:val="00F93162"/>
    <w:rsid w:val="00F93BF5"/>
    <w:rsid w:val="00F93F62"/>
    <w:rsid w:val="00F961A6"/>
    <w:rsid w:val="00F96C9F"/>
    <w:rsid w:val="00F97643"/>
    <w:rsid w:val="00F97B49"/>
    <w:rsid w:val="00F97FF7"/>
    <w:rsid w:val="00FA0CA7"/>
    <w:rsid w:val="00FA68DB"/>
    <w:rsid w:val="00FB11D0"/>
    <w:rsid w:val="00FB579A"/>
    <w:rsid w:val="00FB6C05"/>
    <w:rsid w:val="00FB7192"/>
    <w:rsid w:val="00FC2835"/>
    <w:rsid w:val="00FC41BA"/>
    <w:rsid w:val="00FD1475"/>
    <w:rsid w:val="00FD770B"/>
    <w:rsid w:val="00FE4E50"/>
    <w:rsid w:val="00FE5A84"/>
    <w:rsid w:val="00FE6646"/>
    <w:rsid w:val="00FE7312"/>
    <w:rsid w:val="00FE7E7C"/>
    <w:rsid w:val="00FF4F12"/>
    <w:rsid w:val="0130AA4A"/>
    <w:rsid w:val="01CBDDC6"/>
    <w:rsid w:val="02FC9398"/>
    <w:rsid w:val="054B4564"/>
    <w:rsid w:val="05642584"/>
    <w:rsid w:val="05EB61F6"/>
    <w:rsid w:val="06C24C29"/>
    <w:rsid w:val="0844A97C"/>
    <w:rsid w:val="08C7D8C4"/>
    <w:rsid w:val="093BE189"/>
    <w:rsid w:val="09CC368A"/>
    <w:rsid w:val="09CF70DC"/>
    <w:rsid w:val="0B2A3AB4"/>
    <w:rsid w:val="0B3FD29C"/>
    <w:rsid w:val="0C758614"/>
    <w:rsid w:val="0CC1B722"/>
    <w:rsid w:val="0E344F68"/>
    <w:rsid w:val="0EB3B82F"/>
    <w:rsid w:val="0F1700E9"/>
    <w:rsid w:val="0FBFF108"/>
    <w:rsid w:val="1048054E"/>
    <w:rsid w:val="1086059B"/>
    <w:rsid w:val="10938360"/>
    <w:rsid w:val="110CFFB5"/>
    <w:rsid w:val="12BC84A0"/>
    <w:rsid w:val="13012D39"/>
    <w:rsid w:val="13E25516"/>
    <w:rsid w:val="16DA5040"/>
    <w:rsid w:val="17E0C722"/>
    <w:rsid w:val="17FEA733"/>
    <w:rsid w:val="18434A43"/>
    <w:rsid w:val="18BCB4D5"/>
    <w:rsid w:val="18FB52D0"/>
    <w:rsid w:val="195F88CF"/>
    <w:rsid w:val="198DB5AC"/>
    <w:rsid w:val="198F21F2"/>
    <w:rsid w:val="19E49887"/>
    <w:rsid w:val="1A307FE2"/>
    <w:rsid w:val="1AA16507"/>
    <w:rsid w:val="1B814DB4"/>
    <w:rsid w:val="1C48419F"/>
    <w:rsid w:val="1CB1F7FE"/>
    <w:rsid w:val="1CFA1DAA"/>
    <w:rsid w:val="1E2B67ED"/>
    <w:rsid w:val="1E648167"/>
    <w:rsid w:val="209C6531"/>
    <w:rsid w:val="21ABBC37"/>
    <w:rsid w:val="21BBBC7E"/>
    <w:rsid w:val="21C99654"/>
    <w:rsid w:val="229BC3E7"/>
    <w:rsid w:val="22B93688"/>
    <w:rsid w:val="23428A3B"/>
    <w:rsid w:val="237799FD"/>
    <w:rsid w:val="23F30C77"/>
    <w:rsid w:val="24C14BE8"/>
    <w:rsid w:val="2610F889"/>
    <w:rsid w:val="2615F9F6"/>
    <w:rsid w:val="2717B9BE"/>
    <w:rsid w:val="272792AC"/>
    <w:rsid w:val="28831F28"/>
    <w:rsid w:val="28AD8E66"/>
    <w:rsid w:val="28F0A0A7"/>
    <w:rsid w:val="29C654B6"/>
    <w:rsid w:val="29EC4401"/>
    <w:rsid w:val="2A52EB3D"/>
    <w:rsid w:val="2A63F9EE"/>
    <w:rsid w:val="2AFDC98D"/>
    <w:rsid w:val="2B0C2A74"/>
    <w:rsid w:val="2B613F5A"/>
    <w:rsid w:val="2B9F10B5"/>
    <w:rsid w:val="2BF087B6"/>
    <w:rsid w:val="2C304A04"/>
    <w:rsid w:val="2E5117A4"/>
    <w:rsid w:val="2F787F3F"/>
    <w:rsid w:val="2FC383FE"/>
    <w:rsid w:val="2FEF818A"/>
    <w:rsid w:val="323E38BA"/>
    <w:rsid w:val="326AED8B"/>
    <w:rsid w:val="331DF0DB"/>
    <w:rsid w:val="33349835"/>
    <w:rsid w:val="362B6C1B"/>
    <w:rsid w:val="38043A34"/>
    <w:rsid w:val="38431030"/>
    <w:rsid w:val="3876EB36"/>
    <w:rsid w:val="393BC8F0"/>
    <w:rsid w:val="395F9351"/>
    <w:rsid w:val="3976012E"/>
    <w:rsid w:val="3986D6B1"/>
    <w:rsid w:val="39E4C78B"/>
    <w:rsid w:val="3A466CDC"/>
    <w:rsid w:val="3A883161"/>
    <w:rsid w:val="3AC7AB15"/>
    <w:rsid w:val="3C12CC8C"/>
    <w:rsid w:val="3D36FBEF"/>
    <w:rsid w:val="3D49E29E"/>
    <w:rsid w:val="3F7582C5"/>
    <w:rsid w:val="3FA163BC"/>
    <w:rsid w:val="3FACDFEF"/>
    <w:rsid w:val="403786D8"/>
    <w:rsid w:val="4097A60B"/>
    <w:rsid w:val="4155A6CF"/>
    <w:rsid w:val="41B5A9A3"/>
    <w:rsid w:val="41EE0DD0"/>
    <w:rsid w:val="42D581DA"/>
    <w:rsid w:val="433FDDD8"/>
    <w:rsid w:val="4477C9F4"/>
    <w:rsid w:val="46308B38"/>
    <w:rsid w:val="4630D085"/>
    <w:rsid w:val="46697D61"/>
    <w:rsid w:val="46B9C42A"/>
    <w:rsid w:val="48CCCBAC"/>
    <w:rsid w:val="4981D949"/>
    <w:rsid w:val="499CDD7F"/>
    <w:rsid w:val="4A12A165"/>
    <w:rsid w:val="4A5B3ED4"/>
    <w:rsid w:val="4A9F1F74"/>
    <w:rsid w:val="4AC1636B"/>
    <w:rsid w:val="4C47690E"/>
    <w:rsid w:val="4D2BC98A"/>
    <w:rsid w:val="4D2E1B50"/>
    <w:rsid w:val="4D7F013D"/>
    <w:rsid w:val="4F0F7A18"/>
    <w:rsid w:val="4F13F9C5"/>
    <w:rsid w:val="4F233D2E"/>
    <w:rsid w:val="4F6F8EF2"/>
    <w:rsid w:val="4F8CE428"/>
    <w:rsid w:val="4FD4DDC8"/>
    <w:rsid w:val="50228B8B"/>
    <w:rsid w:val="502A7816"/>
    <w:rsid w:val="509B255E"/>
    <w:rsid w:val="520FA446"/>
    <w:rsid w:val="525E172D"/>
    <w:rsid w:val="528CAE46"/>
    <w:rsid w:val="53438BE4"/>
    <w:rsid w:val="541461B7"/>
    <w:rsid w:val="549DCCC9"/>
    <w:rsid w:val="55425A5C"/>
    <w:rsid w:val="5662ED14"/>
    <w:rsid w:val="57C00524"/>
    <w:rsid w:val="57D9784E"/>
    <w:rsid w:val="5805654B"/>
    <w:rsid w:val="59AFD21A"/>
    <w:rsid w:val="5B97FD30"/>
    <w:rsid w:val="5B98C342"/>
    <w:rsid w:val="5C1211DE"/>
    <w:rsid w:val="5C703049"/>
    <w:rsid w:val="5D3D9DD2"/>
    <w:rsid w:val="5EDDFF41"/>
    <w:rsid w:val="5F810EBC"/>
    <w:rsid w:val="6014C4DD"/>
    <w:rsid w:val="6043F35D"/>
    <w:rsid w:val="605DF222"/>
    <w:rsid w:val="60A1ECF2"/>
    <w:rsid w:val="62A4E42E"/>
    <w:rsid w:val="62F3FB42"/>
    <w:rsid w:val="64146C0E"/>
    <w:rsid w:val="6418374B"/>
    <w:rsid w:val="654DF367"/>
    <w:rsid w:val="656AFCF1"/>
    <w:rsid w:val="65DBA1BF"/>
    <w:rsid w:val="660C46A2"/>
    <w:rsid w:val="6884C6B2"/>
    <w:rsid w:val="68B806CE"/>
    <w:rsid w:val="69A25AE2"/>
    <w:rsid w:val="69D42293"/>
    <w:rsid w:val="69E585E8"/>
    <w:rsid w:val="69EBEE6C"/>
    <w:rsid w:val="6A7887E3"/>
    <w:rsid w:val="6AAA063B"/>
    <w:rsid w:val="6C13003E"/>
    <w:rsid w:val="6C9BD690"/>
    <w:rsid w:val="6E33CDDE"/>
    <w:rsid w:val="6F238BD6"/>
    <w:rsid w:val="6F4704D5"/>
    <w:rsid w:val="6FF466F4"/>
    <w:rsid w:val="706210CC"/>
    <w:rsid w:val="70ADF827"/>
    <w:rsid w:val="70CF9D25"/>
    <w:rsid w:val="72461AB0"/>
    <w:rsid w:val="728DC358"/>
    <w:rsid w:val="72B301B3"/>
    <w:rsid w:val="736EF1D1"/>
    <w:rsid w:val="749E3CE6"/>
    <w:rsid w:val="75590861"/>
    <w:rsid w:val="7573E0BF"/>
    <w:rsid w:val="76CCBFC4"/>
    <w:rsid w:val="778E413C"/>
    <w:rsid w:val="7922370E"/>
    <w:rsid w:val="79BE5D89"/>
    <w:rsid w:val="79D3BE13"/>
    <w:rsid w:val="7B8D617E"/>
    <w:rsid w:val="7B9E263C"/>
    <w:rsid w:val="7C560FBE"/>
    <w:rsid w:val="7DDF325F"/>
    <w:rsid w:val="7ECC1861"/>
    <w:rsid w:val="7FD8BC9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10FB966"/>
  <w15:chartTrackingRefBased/>
  <w15:docId w15:val="{A4EB0E96-883B-4BD3-95D5-F1AB86A1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973"/>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1697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autoRedefine/>
    <w:qFormat/>
    <w:rsid w:val="00616973"/>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616973"/>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616973"/>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616973"/>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616973"/>
    <w:pPr>
      <w:numPr>
        <w:ilvl w:val="5"/>
        <w:numId w:val="3"/>
      </w:numPr>
      <w:tabs>
        <w:tab w:val="left" w:pos="4320"/>
      </w:tabs>
      <w:spacing w:after="120"/>
      <w:outlineLvl w:val="5"/>
    </w:pPr>
    <w:rPr>
      <w:b/>
    </w:rPr>
  </w:style>
  <w:style w:type="paragraph" w:styleId="Heading7">
    <w:name w:val="heading 7"/>
    <w:basedOn w:val="Normal"/>
    <w:next w:val="ParaNum"/>
    <w:qFormat/>
    <w:rsid w:val="0061697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16973"/>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61697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169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6973"/>
  </w:style>
  <w:style w:type="paragraph" w:customStyle="1" w:styleId="ParaNum">
    <w:name w:val="ParaNum"/>
    <w:basedOn w:val="Normal"/>
    <w:link w:val="ParaNumChar"/>
    <w:rsid w:val="00616973"/>
    <w:pPr>
      <w:numPr>
        <w:numId w:val="2"/>
      </w:numPr>
      <w:tabs>
        <w:tab w:val="clear" w:pos="1080"/>
        <w:tab w:val="num" w:pos="1440"/>
      </w:tabs>
      <w:spacing w:after="120"/>
    </w:pPr>
  </w:style>
  <w:style w:type="paragraph" w:styleId="EndnoteText">
    <w:name w:val="endnote text"/>
    <w:basedOn w:val="Normal"/>
    <w:semiHidden/>
    <w:rsid w:val="00616973"/>
    <w:rPr>
      <w:sz w:val="20"/>
    </w:rPr>
  </w:style>
  <w:style w:type="character" w:styleId="EndnoteReference">
    <w:name w:val="endnote reference"/>
    <w:semiHidden/>
    <w:rsid w:val="00616973"/>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61697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16973"/>
    <w:rPr>
      <w:rFonts w:ascii="Times New Roman" w:hAnsi="Times New Roman"/>
      <w:dstrike w:val="0"/>
      <w:color w:val="auto"/>
      <w:sz w:val="20"/>
      <w:vertAlign w:val="superscript"/>
    </w:rPr>
  </w:style>
  <w:style w:type="paragraph" w:styleId="TOC1">
    <w:name w:val="toc 1"/>
    <w:basedOn w:val="Normal"/>
    <w:next w:val="Normal"/>
    <w:semiHidden/>
    <w:rsid w:val="0061697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16973"/>
    <w:pPr>
      <w:tabs>
        <w:tab w:val="left" w:pos="720"/>
        <w:tab w:val="right" w:leader="dot" w:pos="9360"/>
      </w:tabs>
      <w:suppressAutoHyphens/>
      <w:ind w:left="720" w:right="720" w:hanging="360"/>
    </w:pPr>
    <w:rPr>
      <w:noProof/>
    </w:rPr>
  </w:style>
  <w:style w:type="paragraph" w:styleId="TOC3">
    <w:name w:val="toc 3"/>
    <w:basedOn w:val="Normal"/>
    <w:next w:val="Normal"/>
    <w:semiHidden/>
    <w:rsid w:val="0061697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1697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1697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1697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1697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1697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1697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16973"/>
    <w:pPr>
      <w:tabs>
        <w:tab w:val="right" w:pos="9360"/>
      </w:tabs>
      <w:suppressAutoHyphens/>
    </w:pPr>
  </w:style>
  <w:style w:type="character" w:customStyle="1" w:styleId="EquationCaption">
    <w:name w:val="_Equation Caption"/>
    <w:rsid w:val="00616973"/>
  </w:style>
  <w:style w:type="paragraph" w:styleId="Header">
    <w:name w:val="header"/>
    <w:basedOn w:val="Normal"/>
    <w:autoRedefine/>
    <w:rsid w:val="00616973"/>
    <w:pPr>
      <w:tabs>
        <w:tab w:val="center" w:pos="4680"/>
        <w:tab w:val="right" w:pos="9360"/>
      </w:tabs>
    </w:pPr>
    <w:rPr>
      <w:b/>
    </w:rPr>
  </w:style>
  <w:style w:type="paragraph" w:styleId="Footer">
    <w:name w:val="footer"/>
    <w:basedOn w:val="Normal"/>
    <w:link w:val="FooterChar"/>
    <w:uiPriority w:val="99"/>
    <w:rsid w:val="00616973"/>
    <w:pPr>
      <w:tabs>
        <w:tab w:val="center" w:pos="4320"/>
        <w:tab w:val="right" w:pos="8640"/>
      </w:tabs>
    </w:pPr>
  </w:style>
  <w:style w:type="character" w:styleId="PageNumber">
    <w:name w:val="page number"/>
    <w:basedOn w:val="DefaultParagraphFont"/>
    <w:rsid w:val="00616973"/>
  </w:style>
  <w:style w:type="paragraph" w:styleId="BlockText">
    <w:name w:val="Block Text"/>
    <w:basedOn w:val="Normal"/>
    <w:rsid w:val="00616973"/>
    <w:pPr>
      <w:spacing w:after="240"/>
      <w:ind w:left="1440" w:right="1440"/>
    </w:pPr>
  </w:style>
  <w:style w:type="paragraph" w:customStyle="1" w:styleId="Paratitle">
    <w:name w:val="Para title"/>
    <w:basedOn w:val="Normal"/>
    <w:rsid w:val="00616973"/>
    <w:pPr>
      <w:tabs>
        <w:tab w:val="center" w:pos="9270"/>
      </w:tabs>
      <w:spacing w:after="240"/>
    </w:pPr>
    <w:rPr>
      <w:spacing w:val="-2"/>
    </w:rPr>
  </w:style>
  <w:style w:type="paragraph" w:customStyle="1" w:styleId="Bullet">
    <w:name w:val="Bullet"/>
    <w:basedOn w:val="Normal"/>
    <w:rsid w:val="00616973"/>
    <w:pPr>
      <w:tabs>
        <w:tab w:val="left" w:pos="2160"/>
      </w:tabs>
      <w:spacing w:after="220"/>
      <w:ind w:left="2160" w:hanging="720"/>
    </w:pPr>
  </w:style>
  <w:style w:type="paragraph" w:customStyle="1" w:styleId="TableFormat">
    <w:name w:val="TableFormat"/>
    <w:basedOn w:val="Bullet"/>
    <w:rsid w:val="00616973"/>
    <w:pPr>
      <w:tabs>
        <w:tab w:val="clear" w:pos="2160"/>
        <w:tab w:val="left" w:pos="5040"/>
      </w:tabs>
      <w:ind w:left="5040" w:hanging="3600"/>
    </w:pPr>
  </w:style>
  <w:style w:type="paragraph" w:customStyle="1" w:styleId="TOCTitle">
    <w:name w:val="TOC Title"/>
    <w:basedOn w:val="Normal"/>
    <w:rsid w:val="0061697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16973"/>
    <w:pPr>
      <w:jc w:val="center"/>
    </w:pPr>
    <w:rPr>
      <w:rFonts w:ascii="Times New Roman Bold" w:hAnsi="Times New Roman Bold"/>
      <w:b/>
      <w:bCs/>
      <w:caps/>
      <w:szCs w:val="22"/>
    </w:rPr>
  </w:style>
  <w:style w:type="character" w:styleId="Hyperlink">
    <w:name w:val="Hyperlink"/>
    <w:rsid w:val="00616973"/>
    <w:rPr>
      <w:color w:val="0000FF"/>
      <w:u w:val="single"/>
    </w:rPr>
  </w:style>
  <w:style w:type="character" w:customStyle="1" w:styleId="FooterChar">
    <w:name w:val="Footer Char"/>
    <w:link w:val="Footer"/>
    <w:uiPriority w:val="99"/>
    <w:rsid w:val="00616973"/>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D71074"/>
  </w:style>
  <w:style w:type="character" w:customStyle="1" w:styleId="ParaNumChar">
    <w:name w:val="ParaNum Char"/>
    <w:link w:val="ParaNum"/>
    <w:rsid w:val="00D71074"/>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D71074"/>
    <w:rPr>
      <w:rFonts w:ascii="Times New Roman Bold" w:hAnsi="Times New Roman Bold"/>
      <w:b/>
      <w:caps/>
      <w:snapToGrid w:val="0"/>
      <w:kern w:val="28"/>
      <w:sz w:val="22"/>
    </w:rPr>
  </w:style>
  <w:style w:type="paragraph" w:styleId="NormalWeb">
    <w:name w:val="Normal (Web)"/>
    <w:basedOn w:val="Normal"/>
    <w:uiPriority w:val="99"/>
    <w:unhideWhenUsed/>
    <w:rsid w:val="00D71074"/>
    <w:pPr>
      <w:widowControl/>
      <w:spacing w:before="100" w:beforeAutospacing="1" w:after="100" w:afterAutospacing="1"/>
    </w:pPr>
    <w:rPr>
      <w:snapToGrid/>
      <w:kern w:val="0"/>
      <w:sz w:val="24"/>
      <w:szCs w:val="24"/>
    </w:rPr>
  </w:style>
  <w:style w:type="character" w:customStyle="1" w:styleId="UnresolvedMention1">
    <w:name w:val="Unresolved Mention1"/>
    <w:basedOn w:val="DefaultParagraphFont"/>
    <w:rsid w:val="00041D4E"/>
    <w:rPr>
      <w:color w:val="605E5C"/>
      <w:shd w:val="clear" w:color="auto" w:fill="E1DFDD"/>
    </w:rPr>
  </w:style>
  <w:style w:type="character" w:customStyle="1" w:styleId="UnresolvedMention">
    <w:name w:val="Unresolved Mention"/>
    <w:basedOn w:val="DefaultParagraphFont"/>
    <w:rsid w:val="008D3144"/>
    <w:rPr>
      <w:color w:val="605E5C"/>
      <w:shd w:val="clear" w:color="auto" w:fill="E1DFDD"/>
    </w:rPr>
  </w:style>
  <w:style w:type="character" w:styleId="FollowedHyperlink">
    <w:name w:val="FollowedHyperlink"/>
    <w:basedOn w:val="DefaultParagraphFont"/>
    <w:rsid w:val="008D3144"/>
    <w:rPr>
      <w:color w:val="954F72" w:themeColor="followedHyperlink"/>
      <w:u w:val="single"/>
    </w:rPr>
  </w:style>
  <w:style w:type="character" w:styleId="CommentReference">
    <w:name w:val="annotation reference"/>
    <w:basedOn w:val="DefaultParagraphFont"/>
    <w:rsid w:val="00914621"/>
    <w:rPr>
      <w:sz w:val="16"/>
      <w:szCs w:val="16"/>
    </w:rPr>
  </w:style>
  <w:style w:type="paragraph" w:styleId="CommentText">
    <w:name w:val="annotation text"/>
    <w:basedOn w:val="Normal"/>
    <w:link w:val="CommentTextChar"/>
    <w:rsid w:val="00914621"/>
    <w:rPr>
      <w:sz w:val="20"/>
    </w:rPr>
  </w:style>
  <w:style w:type="character" w:customStyle="1" w:styleId="CommentTextChar">
    <w:name w:val="Comment Text Char"/>
    <w:basedOn w:val="DefaultParagraphFont"/>
    <w:link w:val="CommentText"/>
    <w:rsid w:val="00914621"/>
    <w:rPr>
      <w:snapToGrid w:val="0"/>
      <w:kern w:val="28"/>
    </w:rPr>
  </w:style>
  <w:style w:type="paragraph" w:styleId="CommentSubject">
    <w:name w:val="annotation subject"/>
    <w:basedOn w:val="CommentText"/>
    <w:next w:val="CommentText"/>
    <w:link w:val="CommentSubjectChar"/>
    <w:rsid w:val="00914621"/>
    <w:rPr>
      <w:b/>
      <w:bCs/>
    </w:rPr>
  </w:style>
  <w:style w:type="character" w:customStyle="1" w:styleId="CommentSubjectChar">
    <w:name w:val="Comment Subject Char"/>
    <w:basedOn w:val="CommentTextChar"/>
    <w:link w:val="CommentSubject"/>
    <w:rsid w:val="00914621"/>
    <w:rPr>
      <w:b/>
      <w:bCs/>
      <w:snapToGrid w:val="0"/>
      <w:kern w:val="28"/>
    </w:rPr>
  </w:style>
  <w:style w:type="paragraph" w:styleId="BalloonText">
    <w:name w:val="Balloon Text"/>
    <w:basedOn w:val="Normal"/>
    <w:link w:val="BalloonTextChar"/>
    <w:semiHidden/>
    <w:unhideWhenUsed/>
    <w:rsid w:val="00914621"/>
    <w:rPr>
      <w:rFonts w:ascii="Segoe UI" w:hAnsi="Segoe UI" w:cs="Segoe UI"/>
      <w:sz w:val="18"/>
      <w:szCs w:val="18"/>
    </w:rPr>
  </w:style>
  <w:style w:type="character" w:customStyle="1" w:styleId="BalloonTextChar">
    <w:name w:val="Balloon Text Char"/>
    <w:basedOn w:val="DefaultParagraphFont"/>
    <w:link w:val="BalloonText"/>
    <w:semiHidden/>
    <w:rsid w:val="0091462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51008647471/EBB%20Waiver%20Connected%20Device%20Final.docx" TargetMode="External" /><Relationship Id="rId2" Type="http://schemas.openxmlformats.org/officeDocument/2006/relationships/hyperlink" Target="https://ecfsapi.fcc.gov/file/10524218911157/NaLA%20Petition%20for%20Limited%20Waiver%20of%20EBB%20Connected%20Device%20Rule.5.24.21.pdf" TargetMode="External" /><Relationship Id="rId3" Type="http://schemas.openxmlformats.org/officeDocument/2006/relationships/hyperlink" Target="https://www.usac.org/wp-content/uploads/about/documents/ebb-program/EBB-LCS-training.pdf" TargetMode="External" /><Relationship Id="rId4" Type="http://schemas.openxmlformats.org/officeDocument/2006/relationships/hyperlink" Target="https://getemergencybroadband.org/_res/documents/EBB_Application_Form_FINAL.pdf" TargetMode="External" /><Relationship Id="rId5" Type="http://schemas.openxmlformats.org/officeDocument/2006/relationships/hyperlink" Target="https://www.fcc.gov/emergency-broadband-benefit-provider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