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10A5DC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5BB995E" w14:textId="77777777">
      <w:pPr>
        <w:pStyle w:val="StyleBoldCentered"/>
      </w:pPr>
      <w:r>
        <w:t>F</w:t>
      </w:r>
      <w:r>
        <w:rPr>
          <w:caps w:val="0"/>
        </w:rPr>
        <w:t>ederal Communications Commission</w:t>
      </w:r>
    </w:p>
    <w:p w:rsidR="004C2EE3" w:rsidP="00096D8C" w14:paraId="78F7867C" w14:textId="77777777">
      <w:pPr>
        <w:pStyle w:val="StyleBoldCentered"/>
      </w:pPr>
      <w:r>
        <w:rPr>
          <w:caps w:val="0"/>
        </w:rPr>
        <w:t>Washington, D.C. 20554</w:t>
      </w:r>
    </w:p>
    <w:p w:rsidR="004C2EE3" w:rsidP="0070224F" w14:paraId="4AEF2CFF" w14:textId="77777777"/>
    <w:p w:rsidR="004C2EE3" w:rsidP="0070224F" w14:paraId="549E067B" w14:textId="77777777"/>
    <w:tbl>
      <w:tblPr>
        <w:tblW w:w="0" w:type="auto"/>
        <w:tblLayout w:type="fixed"/>
        <w:tblLook w:val="0000"/>
      </w:tblPr>
      <w:tblGrid>
        <w:gridCol w:w="4698"/>
        <w:gridCol w:w="630"/>
        <w:gridCol w:w="4248"/>
      </w:tblGrid>
      <w:tr w14:paraId="3ECFA1A7" w14:textId="77777777">
        <w:tblPrEx>
          <w:tblW w:w="0" w:type="auto"/>
          <w:tblLayout w:type="fixed"/>
          <w:tblLook w:val="0000"/>
        </w:tblPrEx>
        <w:tc>
          <w:tcPr>
            <w:tcW w:w="4698" w:type="dxa"/>
          </w:tcPr>
          <w:p w:rsidR="004C2EE3" w14:paraId="4D6B8056" w14:textId="77777777">
            <w:pPr>
              <w:tabs>
                <w:tab w:val="center" w:pos="4680"/>
              </w:tabs>
              <w:suppressAutoHyphens/>
              <w:rPr>
                <w:spacing w:val="-2"/>
              </w:rPr>
            </w:pPr>
            <w:r>
              <w:rPr>
                <w:spacing w:val="-2"/>
              </w:rPr>
              <w:t>In the Matter of</w:t>
            </w:r>
          </w:p>
          <w:p w:rsidR="004C2EE3" w14:paraId="30275369" w14:textId="77777777">
            <w:pPr>
              <w:tabs>
                <w:tab w:val="center" w:pos="4680"/>
              </w:tabs>
              <w:suppressAutoHyphens/>
              <w:rPr>
                <w:spacing w:val="-2"/>
              </w:rPr>
            </w:pPr>
          </w:p>
          <w:p w:rsidR="00E12AC5" w:rsidRPr="00DC3D98" w:rsidP="00E12AC5" w14:paraId="6FB7B9C2" w14:textId="77777777">
            <w:pPr>
              <w:tabs>
                <w:tab w:val="center" w:pos="4680"/>
              </w:tabs>
              <w:suppressAutoHyphens/>
              <w:rPr>
                <w:spacing w:val="-2"/>
                <w:szCs w:val="22"/>
              </w:rPr>
            </w:pPr>
            <w:r w:rsidRPr="00DC3D98">
              <w:rPr>
                <w:spacing w:val="-2"/>
                <w:szCs w:val="22"/>
              </w:rPr>
              <w:t>Emergency Broadband Benefit Program</w:t>
            </w:r>
          </w:p>
          <w:p w:rsidR="004C2EE3" w:rsidRPr="007115F7" w:rsidP="007115F7" w14:paraId="765E46C7" w14:textId="77777777">
            <w:pPr>
              <w:tabs>
                <w:tab w:val="center" w:pos="4680"/>
              </w:tabs>
              <w:suppressAutoHyphens/>
              <w:rPr>
                <w:spacing w:val="-2"/>
              </w:rPr>
            </w:pPr>
          </w:p>
        </w:tc>
        <w:tc>
          <w:tcPr>
            <w:tcW w:w="630" w:type="dxa"/>
          </w:tcPr>
          <w:p w:rsidR="004C2EE3" w14:paraId="19CE3183" w14:textId="77777777">
            <w:pPr>
              <w:tabs>
                <w:tab w:val="center" w:pos="4680"/>
              </w:tabs>
              <w:suppressAutoHyphens/>
              <w:rPr>
                <w:b/>
                <w:spacing w:val="-2"/>
              </w:rPr>
            </w:pPr>
            <w:r>
              <w:rPr>
                <w:b/>
                <w:spacing w:val="-2"/>
              </w:rPr>
              <w:t>)</w:t>
            </w:r>
          </w:p>
          <w:p w:rsidR="004C2EE3" w14:paraId="164E33C0" w14:textId="77777777">
            <w:pPr>
              <w:tabs>
                <w:tab w:val="center" w:pos="4680"/>
              </w:tabs>
              <w:suppressAutoHyphens/>
              <w:rPr>
                <w:b/>
                <w:spacing w:val="-2"/>
              </w:rPr>
            </w:pPr>
            <w:r>
              <w:rPr>
                <w:b/>
                <w:spacing w:val="-2"/>
              </w:rPr>
              <w:t>)</w:t>
            </w:r>
          </w:p>
          <w:p w:rsidR="004C2EE3" w14:paraId="51241953" w14:textId="77777777">
            <w:pPr>
              <w:tabs>
                <w:tab w:val="center" w:pos="4680"/>
              </w:tabs>
              <w:suppressAutoHyphens/>
              <w:rPr>
                <w:b/>
                <w:spacing w:val="-2"/>
              </w:rPr>
            </w:pPr>
            <w:r>
              <w:rPr>
                <w:b/>
                <w:spacing w:val="-2"/>
              </w:rPr>
              <w:t>)</w:t>
            </w:r>
          </w:p>
          <w:p w:rsidR="004C2EE3" w:rsidRPr="00D71074" w14:paraId="70EC776A" w14:textId="77777777">
            <w:pPr>
              <w:tabs>
                <w:tab w:val="center" w:pos="4680"/>
              </w:tabs>
              <w:suppressAutoHyphens/>
              <w:rPr>
                <w:b/>
                <w:spacing w:val="-2"/>
              </w:rPr>
            </w:pPr>
          </w:p>
        </w:tc>
        <w:tc>
          <w:tcPr>
            <w:tcW w:w="4248" w:type="dxa"/>
          </w:tcPr>
          <w:p w:rsidR="004C2EE3" w14:paraId="3AAE1DC9" w14:textId="77777777">
            <w:pPr>
              <w:tabs>
                <w:tab w:val="center" w:pos="4680"/>
              </w:tabs>
              <w:suppressAutoHyphens/>
              <w:rPr>
                <w:spacing w:val="-2"/>
              </w:rPr>
            </w:pPr>
          </w:p>
          <w:p w:rsidR="004C2EE3" w14:paraId="44B980A9" w14:textId="77777777">
            <w:pPr>
              <w:pStyle w:val="TOAHeading"/>
              <w:tabs>
                <w:tab w:val="center" w:pos="4680"/>
                <w:tab w:val="clear" w:pos="9360"/>
              </w:tabs>
              <w:rPr>
                <w:spacing w:val="-2"/>
              </w:rPr>
            </w:pPr>
          </w:p>
          <w:p w:rsidR="00E12AC5" w:rsidRPr="00DC3D98" w:rsidP="00E12AC5" w14:paraId="1B89A8AA" w14:textId="77777777">
            <w:pPr>
              <w:tabs>
                <w:tab w:val="center" w:pos="4680"/>
              </w:tabs>
              <w:suppressAutoHyphens/>
              <w:rPr>
                <w:spacing w:val="-2"/>
                <w:szCs w:val="22"/>
              </w:rPr>
            </w:pPr>
            <w:r w:rsidRPr="00DC3D98">
              <w:rPr>
                <w:spacing w:val="-2"/>
                <w:szCs w:val="22"/>
              </w:rPr>
              <w:t>WC Docket No. 20-445</w:t>
            </w:r>
          </w:p>
          <w:p w:rsidR="004C2EE3" w14:paraId="0B18505C" w14:textId="77777777">
            <w:pPr>
              <w:tabs>
                <w:tab w:val="center" w:pos="4680"/>
              </w:tabs>
              <w:suppressAutoHyphens/>
              <w:rPr>
                <w:spacing w:val="-2"/>
              </w:rPr>
            </w:pPr>
          </w:p>
        </w:tc>
      </w:tr>
    </w:tbl>
    <w:p w:rsidR="004C2EE3" w:rsidP="0070224F" w14:paraId="3E796167" w14:textId="77777777"/>
    <w:p w:rsidR="00841AB1" w:rsidP="00F021FA" w14:paraId="519A8F2C" w14:textId="77777777">
      <w:pPr>
        <w:pStyle w:val="StyleBoldCentered"/>
      </w:pPr>
      <w:r>
        <w:t>order</w:t>
      </w:r>
    </w:p>
    <w:p w:rsidR="004C2EE3" w14:paraId="31737443" w14:textId="77777777">
      <w:pPr>
        <w:tabs>
          <w:tab w:val="left" w:pos="-720"/>
        </w:tabs>
        <w:suppressAutoHyphens/>
        <w:spacing w:line="227" w:lineRule="auto"/>
        <w:rPr>
          <w:spacing w:val="-2"/>
        </w:rPr>
      </w:pPr>
    </w:p>
    <w:p w:rsidR="004C2EE3" w:rsidP="00133F79" w14:paraId="353FE9AF" w14:textId="64393C9F">
      <w:pPr>
        <w:tabs>
          <w:tab w:val="left" w:pos="720"/>
          <w:tab w:val="right" w:pos="9360"/>
        </w:tabs>
        <w:suppressAutoHyphens/>
        <w:spacing w:line="227" w:lineRule="auto"/>
        <w:rPr>
          <w:spacing w:val="-2"/>
        </w:rPr>
      </w:pPr>
      <w:r>
        <w:rPr>
          <w:b/>
          <w:spacing w:val="-2"/>
        </w:rPr>
        <w:t xml:space="preserve">Adopted:  </w:t>
      </w:r>
      <w:r w:rsidR="00E32ED9">
        <w:rPr>
          <w:b/>
          <w:spacing w:val="-2"/>
        </w:rPr>
        <w:t>May</w:t>
      </w:r>
      <w:r w:rsidR="00F91A53">
        <w:rPr>
          <w:b/>
          <w:spacing w:val="-2"/>
        </w:rPr>
        <w:t xml:space="preserve"> 11</w:t>
      </w:r>
      <w:r w:rsidR="00D71074">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32ED9">
        <w:rPr>
          <w:b/>
          <w:spacing w:val="-2"/>
        </w:rPr>
        <w:t>May</w:t>
      </w:r>
      <w:r w:rsidR="00F91A53">
        <w:rPr>
          <w:b/>
          <w:spacing w:val="-2"/>
        </w:rPr>
        <w:t xml:space="preserve"> 11</w:t>
      </w:r>
      <w:r w:rsidR="00D71074">
        <w:rPr>
          <w:b/>
          <w:spacing w:val="-2"/>
        </w:rPr>
        <w:t>, 2021</w:t>
      </w:r>
    </w:p>
    <w:p w:rsidR="00822CE0" w14:paraId="6FF4B304" w14:textId="77777777"/>
    <w:p w:rsidR="004C2EE3" w14:paraId="1984957E" w14:textId="46E0227F">
      <w:pPr>
        <w:rPr>
          <w:spacing w:val="-2"/>
        </w:rPr>
      </w:pPr>
      <w:r>
        <w:t xml:space="preserve">By </w:t>
      </w:r>
      <w:r w:rsidR="004E4A22">
        <w:t>the</w:t>
      </w:r>
      <w:r w:rsidR="002A2D2E">
        <w:t xml:space="preserve"> </w:t>
      </w:r>
      <w:r w:rsidRPr="00DC3D98" w:rsidR="00D71074">
        <w:rPr>
          <w:szCs w:val="22"/>
        </w:rPr>
        <w:t>Chief, Wireline Competition Bureau</w:t>
      </w:r>
      <w:r>
        <w:rPr>
          <w:spacing w:val="-2"/>
        </w:rPr>
        <w:t>:</w:t>
      </w:r>
    </w:p>
    <w:p w:rsidR="00822CE0" w14:paraId="0E67D220" w14:textId="77777777">
      <w:pPr>
        <w:rPr>
          <w:spacing w:val="-2"/>
        </w:rPr>
      </w:pPr>
    </w:p>
    <w:p w:rsidR="00D71074" w:rsidRPr="00DC3D98" w:rsidP="00D71074" w14:paraId="3FF4D6D0" w14:textId="77777777">
      <w:pPr>
        <w:pStyle w:val="Heading1"/>
        <w:rPr>
          <w:rFonts w:ascii="Times New Roman" w:hAnsi="Times New Roman"/>
          <w:szCs w:val="22"/>
        </w:rPr>
      </w:pPr>
      <w:r w:rsidRPr="00DC3D98">
        <w:rPr>
          <w:rFonts w:ascii="Times New Roman" w:hAnsi="Times New Roman"/>
          <w:szCs w:val="22"/>
        </w:rPr>
        <w:t xml:space="preserve">INTRODUCTION </w:t>
      </w:r>
    </w:p>
    <w:p w:rsidR="00D71074" w:rsidRPr="004D3A48" w:rsidP="00D71074" w14:paraId="2EE1C474" w14:textId="33A86C34">
      <w:pPr>
        <w:pStyle w:val="ParaNum"/>
        <w:rPr>
          <w:snapToGrid/>
          <w:kern w:val="0"/>
          <w:szCs w:val="22"/>
        </w:rPr>
      </w:pPr>
      <w:r w:rsidRPr="00DC3D98">
        <w:rPr>
          <w:snapToGrid/>
          <w:color w:val="201F1E"/>
          <w:kern w:val="0"/>
          <w:szCs w:val="22"/>
          <w:shd w:val="clear" w:color="auto" w:fill="FFFFFF"/>
        </w:rPr>
        <w:t xml:space="preserve">In this Order, the Wireline Competition Bureau </w:t>
      </w:r>
      <w:r w:rsidR="003268B7">
        <w:rPr>
          <w:snapToGrid/>
          <w:color w:val="201F1E"/>
          <w:kern w:val="0"/>
          <w:szCs w:val="22"/>
          <w:shd w:val="clear" w:color="auto" w:fill="FFFFFF"/>
        </w:rPr>
        <w:t xml:space="preserve">(Bureau) </w:t>
      </w:r>
      <w:r w:rsidRPr="00DC3D98">
        <w:rPr>
          <w:snapToGrid/>
          <w:color w:val="201F1E"/>
          <w:kern w:val="0"/>
          <w:szCs w:val="22"/>
          <w:shd w:val="clear" w:color="auto" w:fill="FFFFFF"/>
        </w:rPr>
        <w:t xml:space="preserve">addresses the petition of </w:t>
      </w:r>
      <w:r w:rsidR="00E32ED9">
        <w:rPr>
          <w:snapToGrid/>
          <w:color w:val="201F1E"/>
          <w:kern w:val="0"/>
          <w:szCs w:val="22"/>
          <w:shd w:val="clear" w:color="auto" w:fill="FFFFFF"/>
        </w:rPr>
        <w:t>CSC Holdings, LLC</w:t>
      </w:r>
      <w:r w:rsidRPr="00DC3D98">
        <w:rPr>
          <w:snapToGrid/>
          <w:color w:val="201F1E"/>
          <w:kern w:val="0"/>
          <w:szCs w:val="22"/>
          <w:shd w:val="clear" w:color="auto" w:fill="FFFFFF"/>
        </w:rPr>
        <w:t xml:space="preserve"> (</w:t>
      </w:r>
      <w:r w:rsidR="00E32ED9">
        <w:rPr>
          <w:snapToGrid/>
          <w:color w:val="201F1E"/>
          <w:kern w:val="0"/>
          <w:szCs w:val="22"/>
          <w:shd w:val="clear" w:color="auto" w:fill="FFFFFF"/>
        </w:rPr>
        <w:t>Altice</w:t>
      </w:r>
      <w:r w:rsidRPr="00DC3D98">
        <w:rPr>
          <w:snapToGrid/>
          <w:color w:val="201F1E"/>
          <w:kern w:val="0"/>
          <w:szCs w:val="22"/>
          <w:shd w:val="clear" w:color="auto" w:fill="FFFFFF"/>
        </w:rPr>
        <w:t xml:space="preserve"> or Petitioner) seeking a</w:t>
      </w:r>
      <w:r>
        <w:rPr>
          <w:snapToGrid/>
          <w:color w:val="201F1E"/>
          <w:kern w:val="0"/>
          <w:szCs w:val="22"/>
          <w:shd w:val="clear" w:color="auto" w:fill="FFFFFF"/>
        </w:rPr>
        <w:t>n expedited grant of a limited waiver of the Emergency Broadband Benefit Program (EBB Program) reimbursement rules (Petition).</w:t>
      </w:r>
      <w:r>
        <w:rPr>
          <w:rStyle w:val="FootnoteReference"/>
          <w:snapToGrid/>
          <w:kern w:val="0"/>
          <w:szCs w:val="22"/>
          <w:shd w:val="clear" w:color="auto" w:fill="FFFFFF"/>
        </w:rPr>
        <w:footnoteReference w:id="3"/>
      </w:r>
      <w:r>
        <w:rPr>
          <w:snapToGrid/>
          <w:color w:val="201F1E"/>
          <w:kern w:val="0"/>
          <w:szCs w:val="22"/>
          <w:shd w:val="clear" w:color="auto" w:fill="FFFFFF"/>
        </w:rPr>
        <w:t xml:space="preserve">  The Petitioner requests a</w:t>
      </w:r>
      <w:r w:rsidRPr="00DC3D98">
        <w:rPr>
          <w:snapToGrid/>
          <w:color w:val="201F1E"/>
          <w:kern w:val="0"/>
          <w:szCs w:val="22"/>
          <w:shd w:val="clear" w:color="auto" w:fill="FFFFFF"/>
        </w:rPr>
        <w:t xml:space="preserve"> waiver</w:t>
      </w:r>
      <w:r>
        <w:rPr>
          <w:snapToGrid/>
          <w:color w:val="201F1E"/>
          <w:kern w:val="0"/>
          <w:szCs w:val="22"/>
          <w:shd w:val="clear" w:color="auto" w:fill="FFFFFF"/>
        </w:rPr>
        <w:t xml:space="preserve"> of the requirement</w:t>
      </w:r>
      <w:r w:rsidRPr="004D3A48">
        <w:rPr>
          <w:snapToGrid/>
          <w:color w:val="201F1E"/>
          <w:kern w:val="0"/>
          <w:szCs w:val="22"/>
          <w:shd w:val="clear" w:color="auto" w:fill="FFFFFF"/>
        </w:rPr>
        <w:t xml:space="preserve"> that providers file reimbursement claims by the 15</w:t>
      </w:r>
      <w:r w:rsidRPr="004D3A48">
        <w:rPr>
          <w:snapToGrid/>
          <w:color w:val="201F1E"/>
          <w:kern w:val="0"/>
          <w:szCs w:val="22"/>
          <w:shd w:val="clear" w:color="auto" w:fill="FFFFFF"/>
          <w:vertAlign w:val="superscript"/>
        </w:rPr>
        <w:t>th</w:t>
      </w:r>
      <w:r w:rsidRPr="004D3A48">
        <w:rPr>
          <w:snapToGrid/>
          <w:color w:val="201F1E"/>
          <w:kern w:val="0"/>
          <w:szCs w:val="22"/>
          <w:shd w:val="clear" w:color="auto" w:fill="FFFFFF"/>
        </w:rPr>
        <w:t xml:space="preserve"> of each month after each uniform snapshot date, for the first reimbursement claim for each subscriber that has newly enrolled in the Emergency Broadband Benefit (EBB) Program with </w:t>
      </w:r>
      <w:r w:rsidRPr="004D3A48" w:rsidR="00E32ED9">
        <w:rPr>
          <w:snapToGrid/>
          <w:color w:val="201F1E"/>
          <w:kern w:val="0"/>
          <w:szCs w:val="22"/>
          <w:shd w:val="clear" w:color="auto" w:fill="FFFFFF"/>
        </w:rPr>
        <w:t>Altice</w:t>
      </w:r>
      <w:r w:rsidRPr="004D3A48">
        <w:rPr>
          <w:snapToGrid/>
          <w:color w:val="201F1E"/>
          <w:kern w:val="0"/>
          <w:szCs w:val="22"/>
          <w:shd w:val="clear" w:color="auto" w:fill="FFFFFF"/>
        </w:rPr>
        <w:t>.</w:t>
      </w:r>
      <w:r>
        <w:rPr>
          <w:rStyle w:val="FootnoteReference"/>
          <w:snapToGrid/>
          <w:kern w:val="0"/>
          <w:sz w:val="22"/>
          <w:szCs w:val="22"/>
          <w:shd w:val="clear" w:color="auto" w:fill="FFFFFF"/>
        </w:rPr>
        <w:footnoteReference w:id="4"/>
      </w:r>
      <w:r w:rsidRPr="004D3A48">
        <w:rPr>
          <w:snapToGrid/>
          <w:color w:val="201F1E"/>
          <w:kern w:val="0"/>
          <w:szCs w:val="22"/>
          <w:shd w:val="clear" w:color="auto" w:fill="FFFFFF"/>
        </w:rPr>
        <w:t xml:space="preserve">  It also requests a month delay to submit the first reimbursement claim for a newly-enrolled subscriber.</w:t>
      </w:r>
      <w:r>
        <w:rPr>
          <w:rStyle w:val="FootnoteReference"/>
          <w:snapToGrid/>
          <w:kern w:val="0"/>
          <w:sz w:val="22"/>
          <w:szCs w:val="22"/>
          <w:shd w:val="clear" w:color="auto" w:fill="FFFFFF"/>
        </w:rPr>
        <w:footnoteReference w:id="5"/>
      </w:r>
      <w:r w:rsidRPr="004D3A48">
        <w:rPr>
          <w:snapToGrid/>
          <w:color w:val="201F1E"/>
          <w:kern w:val="0"/>
          <w:szCs w:val="22"/>
          <w:shd w:val="clear" w:color="auto" w:fill="FFFFFF"/>
        </w:rPr>
        <w:t xml:space="preserve"> </w:t>
      </w:r>
    </w:p>
    <w:p w:rsidR="00D71074" w:rsidRPr="004D3A48" w:rsidP="00D71074" w14:paraId="263A5648" w14:textId="77777777">
      <w:pPr>
        <w:pStyle w:val="ParaNum"/>
        <w:rPr>
          <w:snapToGrid/>
          <w:kern w:val="0"/>
          <w:szCs w:val="22"/>
        </w:rPr>
      </w:pPr>
      <w:r w:rsidRPr="004D3A48">
        <w:rPr>
          <w:snapToGrid/>
          <w:kern w:val="0"/>
          <w:szCs w:val="22"/>
        </w:rPr>
        <w:t xml:space="preserve">Based on the Commission’s established waiver standard, we grant the Petition.  We conclude that the Petitioner’s requested limited waiver will not materially impact or undermine USAC’s ability to track disbursements and to </w:t>
      </w:r>
      <w:r w:rsidRPr="004D3A48">
        <w:rPr>
          <w:szCs w:val="22"/>
        </w:rPr>
        <w:t xml:space="preserve">provide a projection for the depletion of the EBB Fund, and </w:t>
      </w:r>
      <w:r w:rsidRPr="004D3A48">
        <w:rPr>
          <w:snapToGrid/>
          <w:kern w:val="0"/>
          <w:szCs w:val="22"/>
        </w:rPr>
        <w:t>will serve the public interest</w:t>
      </w:r>
      <w:r w:rsidRPr="004D3A48">
        <w:rPr>
          <w:szCs w:val="22"/>
        </w:rPr>
        <w:t>.</w:t>
      </w:r>
      <w:r w:rsidRPr="004D3A48">
        <w:rPr>
          <w:snapToGrid/>
          <w:kern w:val="0"/>
          <w:szCs w:val="22"/>
        </w:rPr>
        <w:t xml:space="preserve"> </w:t>
      </w:r>
    </w:p>
    <w:p w:rsidR="00D71074" w:rsidRPr="004D3A48" w:rsidP="00D71074" w14:paraId="270CCE37" w14:textId="77777777">
      <w:pPr>
        <w:pStyle w:val="Heading1"/>
        <w:rPr>
          <w:rFonts w:ascii="Times New Roman" w:hAnsi="Times New Roman"/>
          <w:snapToGrid/>
          <w:color w:val="201F1E"/>
          <w:kern w:val="0"/>
          <w:szCs w:val="22"/>
          <w:shd w:val="clear" w:color="auto" w:fill="FFFFFF"/>
        </w:rPr>
      </w:pPr>
      <w:r w:rsidRPr="004D3A48">
        <w:rPr>
          <w:rFonts w:ascii="Times New Roman" w:hAnsi="Times New Roman"/>
          <w:snapToGrid/>
          <w:color w:val="201F1E"/>
          <w:kern w:val="0"/>
          <w:szCs w:val="22"/>
          <w:shd w:val="clear" w:color="auto" w:fill="FFFFFF"/>
        </w:rPr>
        <w:t xml:space="preserve">BACKGROUND </w:t>
      </w:r>
    </w:p>
    <w:p w:rsidR="00D71074" w:rsidRPr="004D3A48" w:rsidP="00D71074" w14:paraId="314FE774" w14:textId="7DA2CFF9">
      <w:pPr>
        <w:pStyle w:val="ParaNum"/>
        <w:rPr>
          <w:szCs w:val="22"/>
        </w:rPr>
      </w:pPr>
      <w:r w:rsidRPr="004D3A48">
        <w:rPr>
          <w:snapToGrid/>
          <w:szCs w:val="22"/>
        </w:rPr>
        <w:t>On December 27, 2020, the Consolidated Appropriations Act of 2021 (Consolidated Appropriations Act) became law</w:t>
      </w:r>
      <w:r>
        <w:rPr>
          <w:rStyle w:val="FootnoteReference"/>
          <w:snapToGrid/>
          <w:sz w:val="22"/>
          <w:szCs w:val="22"/>
        </w:rPr>
        <w:footnoteReference w:id="6"/>
      </w:r>
      <w:r w:rsidRPr="004D3A48">
        <w:rPr>
          <w:snapToGrid/>
          <w:szCs w:val="22"/>
        </w:rPr>
        <w:t xml:space="preserve"> and established an Emergency Broadband Connectivity Fund of $3.2 billion in the United States Treasury to help Americans afford Internet service during the COVID-19 pandemic.</w:t>
      </w:r>
      <w:r>
        <w:rPr>
          <w:rStyle w:val="FootnoteReference"/>
          <w:snapToGrid/>
          <w:sz w:val="22"/>
          <w:szCs w:val="22"/>
        </w:rPr>
        <w:footnoteReference w:id="7"/>
      </w:r>
      <w:r w:rsidRPr="004D3A48">
        <w:rPr>
          <w:snapToGrid/>
          <w:szCs w:val="22"/>
        </w:rPr>
        <w:t xml:space="preserve">  The Act directed the Federal</w:t>
      </w:r>
      <w:r w:rsidRPr="004D3A48">
        <w:rPr>
          <w:szCs w:val="22"/>
        </w:rPr>
        <w:t xml:space="preserve"> </w:t>
      </w:r>
      <w:r w:rsidRPr="004D3A48">
        <w:rPr>
          <w:snapToGrid/>
          <w:szCs w:val="22"/>
        </w:rPr>
        <w:t xml:space="preserve">Communications Commission (Commission) to use that fund to establish an EBB Program, under which eligible households may receive a discount off the cost of broadband </w:t>
      </w:r>
      <w:r w:rsidRPr="004D3A48">
        <w:rPr>
          <w:snapToGrid/>
          <w:kern w:val="0"/>
          <w:szCs w:val="22"/>
        </w:rPr>
        <w:t>service and certain connected devices during an emergency period relating to the COVID-19 pandemic, and participating providers can receive a reimbursement for providing such discounts.</w:t>
      </w:r>
      <w:r>
        <w:rPr>
          <w:rStyle w:val="FootnoteReference"/>
          <w:snapToGrid/>
          <w:kern w:val="0"/>
          <w:sz w:val="22"/>
          <w:szCs w:val="22"/>
        </w:rPr>
        <w:footnoteReference w:id="8"/>
      </w:r>
      <w:r w:rsidRPr="004D3A48">
        <w:rPr>
          <w:snapToGrid/>
          <w:kern w:val="0"/>
          <w:szCs w:val="22"/>
        </w:rPr>
        <w:t xml:space="preserve">  The EBB Program will conclude when the fund is expended or six months after the end of the public health </w:t>
      </w:r>
      <w:r w:rsidRPr="004D3A48">
        <w:rPr>
          <w:snapToGrid/>
          <w:kern w:val="0"/>
          <w:szCs w:val="22"/>
        </w:rPr>
        <w:t>emergency.</w:t>
      </w:r>
      <w:r>
        <w:rPr>
          <w:rStyle w:val="FootnoteReference"/>
          <w:snapToGrid/>
          <w:kern w:val="0"/>
          <w:sz w:val="22"/>
          <w:szCs w:val="22"/>
        </w:rPr>
        <w:footnoteReference w:id="9"/>
      </w:r>
      <w:r w:rsidRPr="004D3A48">
        <w:rPr>
          <w:snapToGrid/>
          <w:kern w:val="0"/>
          <w:szCs w:val="22"/>
        </w:rPr>
        <w:t xml:space="preserve">  </w:t>
      </w:r>
      <w:r w:rsidRPr="004D3A48">
        <w:rPr>
          <w:szCs w:val="22"/>
        </w:rPr>
        <w:t>On January 4, 2021, the Bureau sought comment on how the Commission should implement the EBB Program.</w:t>
      </w:r>
      <w:r>
        <w:rPr>
          <w:rStyle w:val="FootnoteReference"/>
          <w:sz w:val="22"/>
          <w:szCs w:val="22"/>
        </w:rPr>
        <w:footnoteReference w:id="10"/>
      </w:r>
    </w:p>
    <w:p w:rsidR="00D71074" w:rsidP="00D71074" w14:paraId="616F0DF4" w14:textId="77777777">
      <w:pPr>
        <w:pStyle w:val="ParaNum"/>
      </w:pPr>
      <w:r w:rsidRPr="004D3A48">
        <w:rPr>
          <w:szCs w:val="22"/>
        </w:rPr>
        <w:t xml:space="preserve">On February 25, 2021, the Commission adopted rules and policies creating and governing the EBB Program pursuant to the </w:t>
      </w:r>
      <w:r w:rsidRPr="004D3A48">
        <w:rPr>
          <w:snapToGrid/>
          <w:szCs w:val="22"/>
        </w:rPr>
        <w:t xml:space="preserve">Consolidated Appropriations </w:t>
      </w:r>
      <w:r w:rsidRPr="004D3A48">
        <w:rPr>
          <w:szCs w:val="22"/>
        </w:rPr>
        <w:t xml:space="preserve">Act in the </w:t>
      </w:r>
      <w:r w:rsidRPr="004D3A48">
        <w:rPr>
          <w:i/>
          <w:szCs w:val="22"/>
        </w:rPr>
        <w:t>EBB Program Order</w:t>
      </w:r>
      <w:r w:rsidRPr="004D3A48">
        <w:rPr>
          <w:szCs w:val="22"/>
        </w:rPr>
        <w:t>.</w:t>
      </w:r>
      <w:r>
        <w:rPr>
          <w:rStyle w:val="FootnoteReference"/>
          <w:sz w:val="22"/>
          <w:szCs w:val="22"/>
        </w:rPr>
        <w:footnoteReference w:id="11"/>
      </w:r>
      <w:r w:rsidRPr="004D3A48">
        <w:rPr>
          <w:szCs w:val="22"/>
        </w:rPr>
        <w:t xml:space="preserve">  The EBB Program uses available funding from the Emergency Broadband Connectivity Fund to provide funding for broadband service and connected devices for low-income households during the COVID-19 pandemic.</w:t>
      </w:r>
      <w:r>
        <w:rPr>
          <w:rStyle w:val="FootnoteReference"/>
          <w:sz w:val="22"/>
          <w:szCs w:val="22"/>
        </w:rPr>
        <w:footnoteReference w:id="12"/>
      </w:r>
      <w:r w:rsidRPr="004D3A48">
        <w:rPr>
          <w:szCs w:val="22"/>
        </w:rPr>
        <w:t xml:space="preserve">  To participate in the Program, a broadband </w:t>
      </w:r>
      <w:r>
        <w:t>provider must elect to do so and either be designated as an eligible telecommunications carrier (ETC) or be approved by the Commission.</w:t>
      </w:r>
      <w:r>
        <w:rPr>
          <w:rStyle w:val="FootnoteReference"/>
        </w:rPr>
        <w:footnoteReference w:id="13"/>
      </w:r>
      <w:r>
        <w:t xml:space="preserve">  Participating providers will make available to eligible households a monthly discount off the standard rate for an Internet service offering and associated equipment, up to $50.00 per month.</w:t>
      </w:r>
      <w:r>
        <w:rPr>
          <w:rStyle w:val="FootnoteReference"/>
        </w:rPr>
        <w:footnoteReference w:id="14"/>
      </w:r>
      <w:r>
        <w:t xml:space="preserve">  On Tribal lands, the monthly discount may be up to $75.00 per month.</w:t>
      </w:r>
      <w:r>
        <w:rPr>
          <w:rStyle w:val="FootnoteReference"/>
        </w:rPr>
        <w:footnoteReference w:id="15"/>
      </w:r>
      <w:r>
        <w:t xml:space="preserve">  Participating providers will receive reimbursement from the EBB Program for the discounts granted.</w:t>
      </w:r>
      <w:r>
        <w:rPr>
          <w:rStyle w:val="FootnoteReference"/>
        </w:rPr>
        <w:footnoteReference w:id="16"/>
      </w:r>
      <w:r>
        <w:t xml:space="preserve">  Participating providers that also supply an eligible household with a connected device, defined in the </w:t>
      </w:r>
      <w:r w:rsidRPr="001304AF">
        <w:rPr>
          <w:snapToGrid/>
        </w:rPr>
        <w:t xml:space="preserve">Consolidated Appropriations </w:t>
      </w:r>
      <w:r w:rsidRPr="00607EF6">
        <w:t>Act</w:t>
      </w:r>
      <w:r>
        <w:t xml:space="preserve"> as a laptop, desktop computer, or tablet, for use during the emergency period may receive a single reimbursement of up to $100.00 for the connected device, if the charge to the eligible household for that device is more than $10.00 but less than $50.00.</w:t>
      </w:r>
      <w:r>
        <w:rPr>
          <w:rStyle w:val="FootnoteReference"/>
        </w:rPr>
        <w:footnoteReference w:id="17"/>
      </w:r>
      <w:r>
        <w:t xml:space="preserve">  A participating provider may receive reimbursement for only one supported device per eligible household</w:t>
      </w:r>
      <w:r>
        <w:rPr>
          <w:rStyle w:val="FootnoteReference"/>
        </w:rPr>
        <w:footnoteReference w:id="18"/>
      </w:r>
      <w:r>
        <w:t xml:space="preserve"> and must submit certain certifications to the Commission to receive reimbursement.</w:t>
      </w:r>
      <w:r>
        <w:rPr>
          <w:rStyle w:val="FootnoteReference"/>
        </w:rPr>
        <w:footnoteReference w:id="19"/>
      </w:r>
    </w:p>
    <w:p w:rsidR="00D71074" w:rsidP="00F91A53" w14:paraId="7C77280C" w14:textId="77777777">
      <w:pPr>
        <w:pStyle w:val="ParaNum"/>
        <w:widowControl/>
      </w:pPr>
      <w:r>
        <w:t>Reimbursement claims for the EBB Program will be based on the number of Program subscribers enrolled with each provider in the National Lifeline Accountability Database as of the first day of each month.</w:t>
      </w:r>
      <w:r>
        <w:rPr>
          <w:rStyle w:val="FootnoteReference"/>
        </w:rPr>
        <w:footnoteReference w:id="20"/>
      </w:r>
      <w:r>
        <w:t xml:space="preserve">  I</w:t>
      </w:r>
      <w:r w:rsidRPr="00D71074">
        <w:rPr>
          <w:bCs/>
          <w:snapToGrid/>
          <w:color w:val="000000"/>
          <w:szCs w:val="22"/>
        </w:rPr>
        <w:t xml:space="preserve">n order to receive reimbursement, </w:t>
      </w:r>
      <w:r>
        <w:t xml:space="preserve">providers must then submit certified </w:t>
      </w:r>
      <w:r w:rsidRPr="00D71074">
        <w:rPr>
          <w:bCs/>
          <w:snapToGrid/>
          <w:color w:val="000000"/>
          <w:szCs w:val="22"/>
        </w:rPr>
        <w:t>reimbursement claims through the Lifeline Claims System by the 15</w:t>
      </w:r>
      <w:r w:rsidRPr="00D71074">
        <w:rPr>
          <w:bCs/>
          <w:snapToGrid/>
          <w:color w:val="000000"/>
          <w:szCs w:val="22"/>
          <w:vertAlign w:val="superscript"/>
        </w:rPr>
        <w:t>th</w:t>
      </w:r>
      <w:r w:rsidRPr="00D71074">
        <w:rPr>
          <w:bCs/>
          <w:snapToGrid/>
          <w:color w:val="000000"/>
          <w:szCs w:val="22"/>
        </w:rPr>
        <w:t xml:space="preserve"> of each month, or the following business day in the event the 15</w:t>
      </w:r>
      <w:r w:rsidRPr="00D71074">
        <w:rPr>
          <w:bCs/>
          <w:snapToGrid/>
          <w:color w:val="000000"/>
          <w:szCs w:val="22"/>
          <w:vertAlign w:val="superscript"/>
        </w:rPr>
        <w:t>th</w:t>
      </w:r>
      <w:r w:rsidRPr="00D71074">
        <w:rPr>
          <w:bCs/>
          <w:snapToGrid/>
          <w:color w:val="000000"/>
          <w:szCs w:val="22"/>
        </w:rPr>
        <w:t xml:space="preserve"> is a holiday or falls on a weekend.</w:t>
      </w:r>
      <w:r>
        <w:rPr>
          <w:rStyle w:val="FootnoteReference"/>
          <w:bCs/>
          <w:snapToGrid/>
          <w:szCs w:val="22"/>
        </w:rPr>
        <w:footnoteReference w:id="21"/>
      </w:r>
      <w:r w:rsidRPr="00D71074">
        <w:rPr>
          <w:bCs/>
          <w:snapToGrid/>
          <w:color w:val="000000"/>
          <w:szCs w:val="22"/>
        </w:rPr>
        <w:t xml:space="preserve">  If the participating provider fails to submit a certified reimbursement claim by the deadline for that month, the reimbursement claim will not be processed</w:t>
      </w:r>
      <w:r w:rsidRPr="00D71074">
        <w:rPr>
          <w:color w:val="000000"/>
          <w:szCs w:val="22"/>
        </w:rPr>
        <w:t>.</w:t>
      </w:r>
      <w:r>
        <w:rPr>
          <w:rStyle w:val="FootnoteReference"/>
          <w:color w:val="000000"/>
          <w:sz w:val="22"/>
          <w:szCs w:val="22"/>
        </w:rPr>
        <w:footnoteReference w:id="22"/>
      </w:r>
      <w:r w:rsidRPr="00D71074">
        <w:rPr>
          <w:color w:val="000000"/>
          <w:szCs w:val="22"/>
        </w:rPr>
        <w:t xml:space="preserve">  This method helps provide USAC with </w:t>
      </w:r>
      <w:r>
        <w:t xml:space="preserve">actual reimbursement claims information from </w:t>
      </w:r>
      <w:r>
        <w:t>providers as soon as possible after each service month, which it can use to report the disbursement information to the public and to create a forecast for the projected final month of the program.</w:t>
      </w:r>
      <w:r>
        <w:rPr>
          <w:rStyle w:val="FootnoteReference"/>
        </w:rPr>
        <w:footnoteReference w:id="23"/>
      </w:r>
    </w:p>
    <w:p w:rsidR="00D71074" w:rsidRPr="008F7817" w:rsidP="00D71074" w14:paraId="02484F78" w14:textId="77777777">
      <w:pPr>
        <w:pStyle w:val="Heading1"/>
        <w:rPr>
          <w:rFonts w:ascii="Times New Roman" w:hAnsi="Times New Roman"/>
          <w:snapToGrid/>
          <w:color w:val="201F1E"/>
          <w:kern w:val="0"/>
          <w:szCs w:val="22"/>
          <w:shd w:val="clear" w:color="auto" w:fill="FFFFFF"/>
        </w:rPr>
      </w:pPr>
      <w:r w:rsidRPr="008F7817">
        <w:rPr>
          <w:rFonts w:ascii="Times New Roman" w:hAnsi="Times New Roman"/>
          <w:snapToGrid/>
          <w:color w:val="201F1E"/>
          <w:kern w:val="0"/>
          <w:szCs w:val="22"/>
          <w:shd w:val="clear" w:color="auto" w:fill="FFFFFF"/>
        </w:rPr>
        <w:t>DISCUSSION</w:t>
      </w:r>
    </w:p>
    <w:p w:rsidR="001636DF" w:rsidRPr="001636DF" w:rsidP="001636DF" w14:paraId="137CC151" w14:textId="77777777">
      <w:pPr>
        <w:pStyle w:val="ParaNum"/>
        <w:rPr>
          <w:snapToGrid/>
          <w:kern w:val="0"/>
          <w:szCs w:val="22"/>
        </w:rPr>
      </w:pPr>
      <w:r w:rsidRPr="005D5F81">
        <w:rPr>
          <w:szCs w:val="22"/>
        </w:rPr>
        <w:t xml:space="preserve">We </w:t>
      </w:r>
      <w:r>
        <w:rPr>
          <w:szCs w:val="22"/>
        </w:rPr>
        <w:t xml:space="preserve">grant the limited waiver request and allow </w:t>
      </w:r>
      <w:r w:rsidR="00FF4F12">
        <w:rPr>
          <w:szCs w:val="22"/>
        </w:rPr>
        <w:t>Altice</w:t>
      </w:r>
      <w:r>
        <w:rPr>
          <w:szCs w:val="22"/>
        </w:rPr>
        <w:t xml:space="preserve"> an additional month to submit the first reimbursement claim for a newly-enrolled subscriber.  As a general matter, “an agency must adhere to its own rules and regulations.”</w:t>
      </w:r>
      <w:r>
        <w:rPr>
          <w:rStyle w:val="FootnoteReference"/>
          <w:sz w:val="22"/>
          <w:szCs w:val="22"/>
        </w:rPr>
        <w:footnoteReference w:id="24"/>
      </w:r>
      <w:r>
        <w:rPr>
          <w:szCs w:val="22"/>
        </w:rPr>
        <w:t xml:space="preserve">  Although strict application of a rule may be justified “to preserve incentives for compliance and to realize the benefits of easy administration that the rule was designed to achieve,”</w:t>
      </w:r>
      <w:r>
        <w:rPr>
          <w:rStyle w:val="FootnoteReference"/>
          <w:szCs w:val="22"/>
        </w:rPr>
        <w:footnoteReference w:id="25"/>
      </w:r>
      <w:r>
        <w:rPr>
          <w:szCs w:val="22"/>
        </w:rPr>
        <w:t xml:space="preserve">  the Commission’s rules may be waived for “good cause shown.”</w:t>
      </w:r>
      <w:r>
        <w:rPr>
          <w:rStyle w:val="FootnoteReference"/>
          <w:szCs w:val="22"/>
        </w:rPr>
        <w:footnoteReference w:id="26"/>
      </w:r>
      <w:r>
        <w:rPr>
          <w:szCs w:val="22"/>
        </w:rPr>
        <w:t xml:space="preserve">  The Commission may exercise its discretion to waive a rule where special circumstances warrant a deviation from the general rule, and such deviation will serve the public interest.</w:t>
      </w:r>
      <w:r>
        <w:rPr>
          <w:rStyle w:val="FootnoteReference"/>
          <w:szCs w:val="22"/>
        </w:rPr>
        <w:footnoteReference w:id="27"/>
      </w:r>
      <w:r>
        <w:rPr>
          <w:szCs w:val="22"/>
        </w:rPr>
        <w:t xml:space="preserve">  T</w:t>
      </w:r>
      <w:r w:rsidRPr="00734F9F">
        <w:rPr>
          <w:szCs w:val="22"/>
        </w:rPr>
        <w:t>he Commission may take into account considerations of hardship, equity, or more effective implementation of policy on an overall basis</w:t>
      </w:r>
      <w:r>
        <w:rPr>
          <w:szCs w:val="22"/>
        </w:rPr>
        <w:t>.</w:t>
      </w:r>
      <w:r>
        <w:rPr>
          <w:rStyle w:val="FootnoteReference"/>
          <w:szCs w:val="22"/>
        </w:rPr>
        <w:footnoteReference w:id="28"/>
      </w:r>
      <w:r>
        <w:rPr>
          <w:szCs w:val="22"/>
        </w:rPr>
        <w:t xml:space="preserve">  </w:t>
      </w:r>
      <w:r w:rsidRPr="00734F9F">
        <w:rPr>
          <w:szCs w:val="22"/>
        </w:rPr>
        <w:t>The Bureau, under delegated authority, may act on requests for waiver of rules.</w:t>
      </w:r>
      <w:r>
        <w:rPr>
          <w:rStyle w:val="FootnoteReference"/>
          <w:szCs w:val="22"/>
        </w:rPr>
        <w:footnoteReference w:id="29"/>
      </w:r>
    </w:p>
    <w:p w:rsidR="001636DF" w:rsidRPr="001636DF" w:rsidP="001636DF" w14:paraId="253D8110" w14:textId="77E90914">
      <w:pPr>
        <w:pStyle w:val="ParaNum"/>
        <w:rPr>
          <w:snapToGrid/>
          <w:kern w:val="0"/>
          <w:szCs w:val="22"/>
        </w:rPr>
      </w:pPr>
      <w:r w:rsidRPr="001636DF">
        <w:rPr>
          <w:szCs w:val="22"/>
        </w:rPr>
        <w:t xml:space="preserve">In its Petition, </w:t>
      </w:r>
      <w:r w:rsidRPr="001636DF" w:rsidR="00FF4F12">
        <w:rPr>
          <w:szCs w:val="22"/>
        </w:rPr>
        <w:t>Altice</w:t>
      </w:r>
      <w:r w:rsidRPr="001636DF">
        <w:rPr>
          <w:szCs w:val="22"/>
        </w:rPr>
        <w:t xml:space="preserve"> requests a waiver </w:t>
      </w:r>
      <w:r w:rsidRPr="001636DF">
        <w:rPr>
          <w:snapToGrid/>
          <w:color w:val="201F1E"/>
          <w:kern w:val="0"/>
          <w:szCs w:val="22"/>
          <w:shd w:val="clear" w:color="auto" w:fill="FFFFFF"/>
        </w:rPr>
        <w:t>of the 15-day deadline for the first reimbursement claim for a newly-enrolled EBB subscriber.</w:t>
      </w:r>
      <w:r>
        <w:rPr>
          <w:rStyle w:val="FootnoteReference"/>
          <w:snapToGrid/>
          <w:kern w:val="0"/>
          <w:szCs w:val="22"/>
          <w:shd w:val="clear" w:color="auto" w:fill="FFFFFF"/>
        </w:rPr>
        <w:footnoteReference w:id="30"/>
      </w:r>
      <w:r w:rsidRPr="001636DF">
        <w:rPr>
          <w:snapToGrid/>
          <w:color w:val="201F1E"/>
          <w:kern w:val="0"/>
          <w:szCs w:val="22"/>
          <w:shd w:val="clear" w:color="auto" w:fill="FFFFFF"/>
        </w:rPr>
        <w:t xml:space="preserve">  It also requests a month delay to submit the first reimbursement claim for a newly-enrolled subscriber.</w:t>
      </w:r>
      <w:r>
        <w:rPr>
          <w:rStyle w:val="FootnoteReference"/>
          <w:snapToGrid/>
          <w:kern w:val="0"/>
          <w:szCs w:val="22"/>
          <w:shd w:val="clear" w:color="auto" w:fill="FFFFFF"/>
        </w:rPr>
        <w:footnoteReference w:id="31"/>
      </w:r>
      <w:r w:rsidRPr="001636DF">
        <w:rPr>
          <w:snapToGrid/>
          <w:color w:val="201F1E"/>
          <w:kern w:val="0"/>
          <w:szCs w:val="22"/>
          <w:shd w:val="clear" w:color="auto" w:fill="FFFFFF"/>
        </w:rPr>
        <w:t xml:space="preserve">  </w:t>
      </w:r>
      <w:r w:rsidRPr="001636DF" w:rsidR="00FF4F12">
        <w:rPr>
          <w:szCs w:val="22"/>
        </w:rPr>
        <w:t>Altice</w:t>
      </w:r>
      <w:r w:rsidRPr="001636DF">
        <w:rPr>
          <w:szCs w:val="22"/>
        </w:rPr>
        <w:t xml:space="preserve"> contends that because it “has elected to offer the EBB discount on multiple services, it will have to separately determine the EBB reimbursement amount for each subscriber on its snapshot list.”</w:t>
      </w:r>
      <w:r>
        <w:rPr>
          <w:rStyle w:val="FootnoteReference"/>
          <w:sz w:val="22"/>
          <w:szCs w:val="22"/>
        </w:rPr>
        <w:footnoteReference w:id="32"/>
      </w:r>
      <w:r w:rsidRPr="001636DF">
        <w:rPr>
          <w:szCs w:val="22"/>
        </w:rPr>
        <w:t xml:space="preserve">  As a result, it states that “reimbursement amounts will not only vary from service to service, but may also vary among subscribers to the same service.”</w:t>
      </w:r>
      <w:r>
        <w:rPr>
          <w:rStyle w:val="FootnoteReference"/>
          <w:sz w:val="22"/>
          <w:szCs w:val="22"/>
        </w:rPr>
        <w:footnoteReference w:id="33"/>
      </w:r>
      <w:r w:rsidRPr="001636DF">
        <w:rPr>
          <w:szCs w:val="22"/>
        </w:rPr>
        <w:t xml:space="preserve">  For example, </w:t>
      </w:r>
      <w:r w:rsidRPr="001636DF" w:rsidR="002B4647">
        <w:rPr>
          <w:szCs w:val="22"/>
        </w:rPr>
        <w:t xml:space="preserve">the per-subscriber EBB reimbursement amounts for </w:t>
      </w:r>
      <w:r w:rsidRPr="001636DF">
        <w:rPr>
          <w:szCs w:val="22"/>
        </w:rPr>
        <w:t xml:space="preserve">Altice’s </w:t>
      </w:r>
      <w:r w:rsidRPr="001636DF" w:rsidR="002B4647">
        <w:rPr>
          <w:szCs w:val="22"/>
        </w:rPr>
        <w:t>100</w:t>
      </w:r>
      <w:r w:rsidRPr="001636DF">
        <w:rPr>
          <w:szCs w:val="22"/>
        </w:rPr>
        <w:t xml:space="preserve"> Mbps service, one of the services on which it plans to offer the EBB discount, </w:t>
      </w:r>
      <w:r w:rsidRPr="001636DF">
        <w:rPr>
          <w:szCs w:val="22"/>
        </w:rPr>
        <w:t>could be</w:t>
      </w:r>
      <w:r w:rsidRPr="001636DF">
        <w:rPr>
          <w:szCs w:val="22"/>
        </w:rPr>
        <w:t xml:space="preserve"> $</w:t>
      </w:r>
      <w:r w:rsidRPr="001636DF" w:rsidR="002B4647">
        <w:rPr>
          <w:szCs w:val="22"/>
        </w:rPr>
        <w:t>2</w:t>
      </w:r>
      <w:r w:rsidRPr="001636DF">
        <w:rPr>
          <w:szCs w:val="22"/>
        </w:rPr>
        <w:t>9.9</w:t>
      </w:r>
      <w:r w:rsidRPr="001636DF" w:rsidR="002B4647">
        <w:rPr>
          <w:szCs w:val="22"/>
        </w:rPr>
        <w:t>5</w:t>
      </w:r>
      <w:r w:rsidRPr="001636DF">
        <w:rPr>
          <w:szCs w:val="22"/>
        </w:rPr>
        <w:t xml:space="preserve"> per month</w:t>
      </w:r>
      <w:r w:rsidRPr="001636DF" w:rsidR="002B4647">
        <w:rPr>
          <w:szCs w:val="22"/>
        </w:rPr>
        <w:t xml:space="preserve"> and $39.95 </w:t>
      </w:r>
      <w:r w:rsidRPr="001636DF">
        <w:rPr>
          <w:szCs w:val="22"/>
        </w:rPr>
        <w:t xml:space="preserve">per month (if the subscriber is also renting </w:t>
      </w:r>
      <w:r w:rsidRPr="001636DF" w:rsidR="002B4647">
        <w:rPr>
          <w:szCs w:val="22"/>
        </w:rPr>
        <w:t xml:space="preserve">equipment </w:t>
      </w:r>
      <w:r w:rsidRPr="001636DF">
        <w:rPr>
          <w:szCs w:val="22"/>
        </w:rPr>
        <w:t xml:space="preserve">from </w:t>
      </w:r>
      <w:r w:rsidRPr="001636DF" w:rsidR="002B4647">
        <w:rPr>
          <w:szCs w:val="22"/>
        </w:rPr>
        <w:t>Altice</w:t>
      </w:r>
      <w:r w:rsidRPr="001636DF">
        <w:rPr>
          <w:szCs w:val="22"/>
        </w:rPr>
        <w:t>).</w:t>
      </w:r>
      <w:r>
        <w:rPr>
          <w:rStyle w:val="FootnoteReference"/>
          <w:sz w:val="22"/>
          <w:szCs w:val="22"/>
        </w:rPr>
        <w:footnoteReference w:id="34"/>
      </w:r>
      <w:r w:rsidRPr="001636DF">
        <w:rPr>
          <w:szCs w:val="22"/>
        </w:rPr>
        <w:t xml:space="preserve">  Additionally, </w:t>
      </w:r>
      <w:r w:rsidRPr="001636DF">
        <w:rPr>
          <w:szCs w:val="22"/>
        </w:rPr>
        <w:t>Altice</w:t>
      </w:r>
      <w:r w:rsidRPr="001636DF">
        <w:rPr>
          <w:szCs w:val="22"/>
        </w:rPr>
        <w:t xml:space="preserve"> explains that </w:t>
      </w:r>
      <w:r w:rsidRPr="001636DF">
        <w:rPr>
          <w:szCs w:val="22"/>
        </w:rPr>
        <w:t>“it may be difficult within a 15-day window to confirm that [its] systems applied the correct reimbursement amount for a newly enrolled subscriber.”</w:t>
      </w:r>
      <w:r>
        <w:rPr>
          <w:rStyle w:val="FootnoteReference"/>
          <w:szCs w:val="22"/>
        </w:rPr>
        <w:footnoteReference w:id="35"/>
      </w:r>
      <w:r w:rsidRPr="001636DF">
        <w:rPr>
          <w:szCs w:val="22"/>
        </w:rPr>
        <w:t xml:space="preserve">  Altice adds that since it has not previously participated in the Lifeline program, it “</w:t>
      </w:r>
      <w:r w:rsidRPr="001636DF">
        <w:t>does not yet have live data to stress test its systems and procedures and the lack of knowing precisely which fields of information will be requested by</w:t>
      </w:r>
      <w:r>
        <w:t xml:space="preserve"> USAC further complicate matters.”</w:t>
      </w:r>
      <w:r>
        <w:rPr>
          <w:rStyle w:val="FootnoteReference"/>
        </w:rPr>
        <w:footnoteReference w:id="36"/>
      </w:r>
    </w:p>
    <w:p w:rsidR="00D71074" w:rsidRPr="001636DF" w:rsidP="001636DF" w14:paraId="64589584" w14:textId="51397B56">
      <w:pPr>
        <w:pStyle w:val="ParaNum"/>
        <w:rPr>
          <w:snapToGrid/>
          <w:kern w:val="0"/>
          <w:szCs w:val="22"/>
        </w:rPr>
      </w:pPr>
      <w:r w:rsidRPr="001636DF">
        <w:rPr>
          <w:szCs w:val="22"/>
        </w:rPr>
        <w:t xml:space="preserve">Based on the circumstances described by </w:t>
      </w:r>
      <w:r w:rsidRPr="001636DF" w:rsidR="00FF4F12">
        <w:rPr>
          <w:szCs w:val="22"/>
        </w:rPr>
        <w:t>Altice</w:t>
      </w:r>
      <w:r w:rsidRPr="001636DF">
        <w:rPr>
          <w:szCs w:val="22"/>
        </w:rPr>
        <w:t xml:space="preserve">, we are convinced that </w:t>
      </w:r>
      <w:r w:rsidRPr="001636DF">
        <w:rPr>
          <w:snapToGrid/>
          <w:color w:val="201F1E"/>
          <w:kern w:val="0"/>
          <w:szCs w:val="22"/>
          <w:shd w:val="clear" w:color="auto" w:fill="FFFFFF"/>
        </w:rPr>
        <w:t>the 15-day deadline for the first reimbursement claim for a newly-enrolled EBB subscriber</w:t>
      </w:r>
      <w:r w:rsidRPr="001636DF">
        <w:rPr>
          <w:szCs w:val="22"/>
        </w:rPr>
        <w:t xml:space="preserve"> poses a substantial hardship to </w:t>
      </w:r>
      <w:r w:rsidRPr="001636DF" w:rsidR="00FF4F12">
        <w:rPr>
          <w:szCs w:val="22"/>
        </w:rPr>
        <w:t>Altice</w:t>
      </w:r>
      <w:r w:rsidRPr="001636DF">
        <w:rPr>
          <w:szCs w:val="22"/>
        </w:rPr>
        <w:t xml:space="preserve"> in its EBB Program participation and amounts to a special circumstance that warrants a deviation from the general rule.  We find that granting this limited waiver will not materially undermine USAC’s ability to track disbursements and forecast for the projected final month of the program as the </w:t>
      </w:r>
      <w:r w:rsidRPr="001636DF">
        <w:rPr>
          <w:szCs w:val="22"/>
        </w:rPr>
        <w:t xml:space="preserve">waiver </w:t>
      </w:r>
      <w:r w:rsidRPr="001636DF" w:rsidR="00FF4F12">
        <w:rPr>
          <w:szCs w:val="22"/>
        </w:rPr>
        <w:t>Altice</w:t>
      </w:r>
      <w:r w:rsidRPr="001636DF">
        <w:rPr>
          <w:szCs w:val="22"/>
        </w:rPr>
        <w:t xml:space="preserve"> is seeking is limited to a one-month delay of only a subscriber’s first reimbursement snapshot.</w:t>
      </w:r>
      <w:r>
        <w:rPr>
          <w:rStyle w:val="FootnoteReference"/>
          <w:sz w:val="22"/>
          <w:szCs w:val="22"/>
        </w:rPr>
        <w:footnoteReference w:id="37"/>
      </w:r>
      <w:r w:rsidRPr="001636DF">
        <w:rPr>
          <w:szCs w:val="22"/>
        </w:rPr>
        <w:t xml:space="preserve">  Indeed, according to </w:t>
      </w:r>
      <w:r w:rsidRPr="001636DF" w:rsidR="00E51ECC">
        <w:rPr>
          <w:szCs w:val="22"/>
        </w:rPr>
        <w:t>Altice</w:t>
      </w:r>
      <w:r w:rsidRPr="001636DF">
        <w:rPr>
          <w:szCs w:val="22"/>
        </w:rPr>
        <w:t xml:space="preserve">, a one month deadline extension, </w:t>
      </w:r>
      <w:r w:rsidRPr="001636DF" w:rsidR="002B4647">
        <w:rPr>
          <w:szCs w:val="22"/>
        </w:rPr>
        <w:t>will provide it with “</w:t>
      </w:r>
      <w:r w:rsidRPr="001636DF" w:rsidR="002B4647">
        <w:rPr>
          <w:snapToGrid/>
          <w:kern w:val="0"/>
          <w:szCs w:val="22"/>
        </w:rPr>
        <w:t>additional time to prepare its systems to handle the volume of new enrollments as well as scrub its data to ensure that only eligible subscribers are claimed, thereby enhancing program compliance integrity</w:t>
      </w:r>
      <w:r w:rsidRPr="001636DF">
        <w:rPr>
          <w:szCs w:val="22"/>
        </w:rPr>
        <w:t>.</w:t>
      </w:r>
      <w:r w:rsidRPr="001636DF" w:rsidR="002B4647">
        <w:rPr>
          <w:szCs w:val="22"/>
        </w:rPr>
        <w:t>”</w:t>
      </w:r>
      <w:r>
        <w:rPr>
          <w:rStyle w:val="FootnoteReference"/>
          <w:sz w:val="22"/>
          <w:szCs w:val="22"/>
        </w:rPr>
        <w:footnoteReference w:id="38"/>
      </w:r>
    </w:p>
    <w:p w:rsidR="00D71074" w:rsidRPr="007D59EA" w:rsidP="00D71074" w14:paraId="356CDBAB" w14:textId="497F2974">
      <w:pPr>
        <w:pStyle w:val="ParaNum"/>
        <w:rPr>
          <w:snapToGrid/>
          <w:kern w:val="0"/>
          <w:szCs w:val="22"/>
        </w:rPr>
      </w:pPr>
      <w:r>
        <w:rPr>
          <w:snapToGrid/>
          <w:kern w:val="0"/>
          <w:szCs w:val="22"/>
        </w:rPr>
        <w:t>Finally, we determine</w:t>
      </w:r>
      <w:r w:rsidRPr="007D59EA">
        <w:rPr>
          <w:snapToGrid/>
          <w:kern w:val="0"/>
          <w:szCs w:val="22"/>
        </w:rPr>
        <w:t xml:space="preserve"> that granting the Petition </w:t>
      </w:r>
      <w:r>
        <w:rPr>
          <w:snapToGrid/>
          <w:kern w:val="0"/>
          <w:szCs w:val="22"/>
        </w:rPr>
        <w:t>will serve</w:t>
      </w:r>
      <w:r w:rsidRPr="007D59EA">
        <w:rPr>
          <w:snapToGrid/>
          <w:kern w:val="0"/>
          <w:szCs w:val="22"/>
        </w:rPr>
        <w:t xml:space="preserve"> the public interest because </w:t>
      </w:r>
      <w:r>
        <w:rPr>
          <w:snapToGrid/>
          <w:kern w:val="0"/>
          <w:szCs w:val="22"/>
        </w:rPr>
        <w:t xml:space="preserve">the </w:t>
      </w:r>
      <w:r w:rsidRPr="007D59EA">
        <w:rPr>
          <w:snapToGrid/>
          <w:kern w:val="0"/>
          <w:szCs w:val="22"/>
        </w:rPr>
        <w:t xml:space="preserve">objective </w:t>
      </w:r>
      <w:r>
        <w:rPr>
          <w:snapToGrid/>
          <w:kern w:val="0"/>
          <w:szCs w:val="22"/>
        </w:rPr>
        <w:t xml:space="preserve">of the EBB Program </w:t>
      </w:r>
      <w:r w:rsidRPr="007D59EA">
        <w:rPr>
          <w:snapToGrid/>
          <w:kern w:val="0"/>
          <w:szCs w:val="22"/>
        </w:rPr>
        <w:t xml:space="preserve">is to encourage </w:t>
      </w:r>
      <w:r>
        <w:rPr>
          <w:snapToGrid/>
          <w:kern w:val="0"/>
          <w:szCs w:val="22"/>
        </w:rPr>
        <w:t xml:space="preserve">as many </w:t>
      </w:r>
      <w:r w:rsidRPr="007D59EA">
        <w:rPr>
          <w:snapToGrid/>
          <w:kern w:val="0"/>
          <w:szCs w:val="22"/>
        </w:rPr>
        <w:t xml:space="preserve">service providers </w:t>
      </w:r>
      <w:r>
        <w:rPr>
          <w:snapToGrid/>
          <w:kern w:val="0"/>
          <w:szCs w:val="22"/>
        </w:rPr>
        <w:t xml:space="preserve">as possible </w:t>
      </w:r>
      <w:r w:rsidRPr="007D59EA">
        <w:rPr>
          <w:snapToGrid/>
          <w:kern w:val="0"/>
          <w:szCs w:val="22"/>
        </w:rPr>
        <w:t xml:space="preserve">to offer the EBB discount on a variety of services.  To this end, we are convinced by </w:t>
      </w:r>
      <w:r w:rsidR="002B4647">
        <w:rPr>
          <w:snapToGrid/>
          <w:kern w:val="0"/>
          <w:szCs w:val="22"/>
        </w:rPr>
        <w:t>Altice’s</w:t>
      </w:r>
      <w:r w:rsidRPr="007D59EA">
        <w:rPr>
          <w:snapToGrid/>
          <w:kern w:val="0"/>
          <w:szCs w:val="22"/>
        </w:rPr>
        <w:t xml:space="preserve"> argument that the added flexibility </w:t>
      </w:r>
      <w:r>
        <w:rPr>
          <w:snapToGrid/>
          <w:kern w:val="0"/>
          <w:szCs w:val="22"/>
        </w:rPr>
        <w:t>offered by</w:t>
      </w:r>
      <w:r w:rsidRPr="007D59EA">
        <w:rPr>
          <w:snapToGrid/>
          <w:kern w:val="0"/>
          <w:szCs w:val="22"/>
        </w:rPr>
        <w:t xml:space="preserve"> the waiver </w:t>
      </w:r>
      <w:r w:rsidR="002B4647">
        <w:rPr>
          <w:snapToGrid/>
          <w:kern w:val="0"/>
          <w:szCs w:val="22"/>
        </w:rPr>
        <w:t>“</w:t>
      </w:r>
      <w:r w:rsidRPr="007D59EA">
        <w:rPr>
          <w:snapToGrid/>
          <w:kern w:val="0"/>
          <w:szCs w:val="22"/>
        </w:rPr>
        <w:t xml:space="preserve">will encourage </w:t>
      </w:r>
      <w:r w:rsidR="002B4647">
        <w:rPr>
          <w:snapToGrid/>
          <w:kern w:val="0"/>
          <w:szCs w:val="22"/>
        </w:rPr>
        <w:t>Altice</w:t>
      </w:r>
      <w:r w:rsidRPr="007D59EA">
        <w:rPr>
          <w:snapToGrid/>
          <w:kern w:val="0"/>
          <w:szCs w:val="22"/>
        </w:rPr>
        <w:t xml:space="preserve"> to offer the EBB discount on a broad range of services</w:t>
      </w:r>
      <w:r w:rsidR="002B4647">
        <w:rPr>
          <w:snapToGrid/>
          <w:kern w:val="0"/>
          <w:szCs w:val="22"/>
        </w:rPr>
        <w:t>”</w:t>
      </w:r>
      <w:r w:rsidRPr="007D59EA">
        <w:rPr>
          <w:snapToGrid/>
          <w:kern w:val="0"/>
          <w:szCs w:val="22"/>
        </w:rPr>
        <w:t xml:space="preserve"> and avoid the alter</w:t>
      </w:r>
      <w:r>
        <w:rPr>
          <w:snapToGrid/>
          <w:kern w:val="0"/>
          <w:szCs w:val="22"/>
        </w:rPr>
        <w:t>n</w:t>
      </w:r>
      <w:r w:rsidRPr="007D59EA">
        <w:rPr>
          <w:snapToGrid/>
          <w:kern w:val="0"/>
          <w:szCs w:val="22"/>
        </w:rPr>
        <w:t>ative where</w:t>
      </w:r>
      <w:r>
        <w:rPr>
          <w:snapToGrid/>
          <w:kern w:val="0"/>
          <w:szCs w:val="22"/>
        </w:rPr>
        <w:t>by</w:t>
      </w:r>
      <w:r w:rsidRPr="007D59EA">
        <w:rPr>
          <w:snapToGrid/>
          <w:kern w:val="0"/>
          <w:szCs w:val="22"/>
        </w:rPr>
        <w:t xml:space="preserve"> it would “simplify its reimbursement calculations by offering the EBB discount only </w:t>
      </w:r>
      <w:r w:rsidR="002B4647">
        <w:rPr>
          <w:snapToGrid/>
          <w:kern w:val="0"/>
          <w:szCs w:val="22"/>
        </w:rPr>
        <w:t>[</w:t>
      </w:r>
      <w:r w:rsidRPr="007D59EA">
        <w:rPr>
          <w:snapToGrid/>
          <w:kern w:val="0"/>
          <w:szCs w:val="22"/>
        </w:rPr>
        <w:t>on</w:t>
      </w:r>
      <w:r w:rsidR="002B4647">
        <w:rPr>
          <w:snapToGrid/>
          <w:kern w:val="0"/>
          <w:szCs w:val="22"/>
        </w:rPr>
        <w:t>]</w:t>
      </w:r>
      <w:r w:rsidRPr="007D59EA">
        <w:rPr>
          <w:snapToGrid/>
          <w:kern w:val="0"/>
          <w:szCs w:val="22"/>
        </w:rPr>
        <w:t xml:space="preserve"> </w:t>
      </w:r>
      <w:r w:rsidR="002B4647">
        <w:rPr>
          <w:snapToGrid/>
          <w:kern w:val="0"/>
          <w:szCs w:val="22"/>
        </w:rPr>
        <w:t>services for which the standard rates all</w:t>
      </w:r>
      <w:r w:rsidRPr="007D59EA">
        <w:rPr>
          <w:snapToGrid/>
          <w:kern w:val="0"/>
          <w:szCs w:val="22"/>
        </w:rPr>
        <w:t xml:space="preserve"> exceed $50 per month.”</w:t>
      </w:r>
      <w:r>
        <w:rPr>
          <w:rStyle w:val="FootnoteReference"/>
          <w:snapToGrid/>
          <w:kern w:val="0"/>
          <w:sz w:val="22"/>
          <w:szCs w:val="22"/>
        </w:rPr>
        <w:footnoteReference w:id="39"/>
      </w:r>
      <w:r w:rsidRPr="007D59EA">
        <w:rPr>
          <w:snapToGrid/>
          <w:kern w:val="0"/>
          <w:szCs w:val="22"/>
        </w:rPr>
        <w:t xml:space="preserve"> </w:t>
      </w:r>
    </w:p>
    <w:p w:rsidR="00D71074" w:rsidRPr="00DC3D98" w:rsidP="00D71074" w14:paraId="2C340C7C" w14:textId="77777777">
      <w:pPr>
        <w:pStyle w:val="Heading1"/>
        <w:rPr>
          <w:rFonts w:ascii="Times New Roman" w:hAnsi="Times New Roman"/>
          <w:snapToGrid/>
          <w:color w:val="201F1E"/>
          <w:kern w:val="0"/>
          <w:szCs w:val="22"/>
          <w:shd w:val="clear" w:color="auto" w:fill="FFFFFF"/>
        </w:rPr>
      </w:pPr>
      <w:r w:rsidRPr="00DC3D98">
        <w:rPr>
          <w:rFonts w:ascii="Times New Roman" w:hAnsi="Times New Roman"/>
          <w:snapToGrid/>
          <w:color w:val="201F1E"/>
          <w:kern w:val="0"/>
          <w:szCs w:val="22"/>
          <w:shd w:val="clear" w:color="auto" w:fill="FFFFFF"/>
        </w:rPr>
        <w:t xml:space="preserve">ORDering clause </w:t>
      </w:r>
    </w:p>
    <w:p w:rsidR="00D71074" w:rsidRPr="00D71074" w:rsidP="00D71074" w14:paraId="63CFB0F5" w14:textId="77777777">
      <w:pPr>
        <w:pStyle w:val="ParaNum"/>
        <w:rPr>
          <w:snapToGrid/>
          <w:kern w:val="0"/>
          <w:sz w:val="24"/>
          <w:szCs w:val="24"/>
        </w:rPr>
      </w:pPr>
      <w:r w:rsidRPr="00DC3D98">
        <w:rPr>
          <w:szCs w:val="22"/>
        </w:rPr>
        <w:t xml:space="preserve">ACCORDINGLY, IT IS ORDERED, pursuant to the authority contained in </w:t>
      </w:r>
      <w:r w:rsidRPr="00427A58">
        <w:t xml:space="preserve">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 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 xml:space="preserve">1.3, that section </w:t>
      </w:r>
      <w:r>
        <w:rPr>
          <w:rFonts w:ascii="TimesNewRomanPSMT" w:hAnsi="TimesNewRomanPSMT"/>
        </w:rPr>
        <w:t xml:space="preserve">47 CFR § 54.1608(g) </w:t>
      </w:r>
      <w:r w:rsidRPr="00DC3D98">
        <w:rPr>
          <w:szCs w:val="22"/>
        </w:rPr>
        <w:t>of the Commission’s rules is WAIVED to the limited extent provided herein</w:t>
      </w:r>
      <w:r>
        <w:rPr>
          <w:szCs w:val="22"/>
        </w:rPr>
        <w:t xml:space="preserve"> and </w:t>
      </w:r>
      <w:r w:rsidRPr="00B53331">
        <w:rPr>
          <w:szCs w:val="22"/>
        </w:rPr>
        <w:t>SHALL BE EFFECTIVE upon release</w:t>
      </w:r>
      <w:r w:rsidRPr="00DC3D98">
        <w:rPr>
          <w:szCs w:val="22"/>
        </w:rPr>
        <w:t xml:space="preserve">. </w:t>
      </w:r>
    </w:p>
    <w:p w:rsidR="00D71074" w:rsidP="00D71074" w14:paraId="31C4A4E2" w14:textId="77777777">
      <w:pPr>
        <w:pStyle w:val="ParaNum"/>
        <w:numPr>
          <w:ilvl w:val="0"/>
          <w:numId w:val="0"/>
        </w:numPr>
        <w:rPr>
          <w:szCs w:val="22"/>
        </w:rPr>
      </w:pPr>
    </w:p>
    <w:p w:rsidR="00D71074" w:rsidP="0017296B" w14:paraId="5FF651EF" w14:textId="77777777">
      <w:r>
        <w:tab/>
      </w:r>
      <w:r>
        <w:tab/>
      </w:r>
      <w:r>
        <w:tab/>
      </w:r>
      <w:r>
        <w:tab/>
      </w:r>
      <w:r>
        <w:tab/>
      </w:r>
      <w:r>
        <w:tab/>
        <w:t>FEDERAL COMMUNICATIONS COMMISSION</w:t>
      </w:r>
    </w:p>
    <w:p w:rsidR="00D71074" w:rsidP="0017296B" w14:paraId="07B223E1" w14:textId="77777777"/>
    <w:p w:rsidR="00D71074" w:rsidP="0017296B" w14:paraId="58173159" w14:textId="77777777"/>
    <w:p w:rsidR="00D71074" w:rsidP="0017296B" w14:paraId="0CCD0F88" w14:textId="77777777"/>
    <w:p w:rsidR="00D71074" w:rsidP="0017296B" w14:paraId="31D992F9" w14:textId="77777777"/>
    <w:p w:rsidR="00D71074" w:rsidRPr="00B53331" w:rsidP="00D71074" w14:paraId="02E827A3" w14:textId="3CE90D16">
      <w:pPr>
        <w:pStyle w:val="NormalWeb"/>
        <w:ind w:left="4320"/>
      </w:pPr>
      <w:r>
        <w:rPr>
          <w:sz w:val="22"/>
          <w:szCs w:val="22"/>
        </w:rPr>
        <w:t xml:space="preserve">Kris </w:t>
      </w:r>
      <w:r w:rsidR="00D44424">
        <w:rPr>
          <w:sz w:val="22"/>
          <w:szCs w:val="22"/>
        </w:rPr>
        <w:t>Anne</w:t>
      </w:r>
      <w:r w:rsidR="00A92252">
        <w:rPr>
          <w:sz w:val="22"/>
          <w:szCs w:val="22"/>
        </w:rPr>
        <w:t xml:space="preserve"> </w:t>
      </w:r>
      <w:r>
        <w:rPr>
          <w:sz w:val="22"/>
          <w:szCs w:val="22"/>
        </w:rPr>
        <w:t xml:space="preserve">Monteith </w:t>
      </w:r>
      <w:r w:rsidRPr="00B53331" w:rsidR="006E1610">
        <w:rPr>
          <w:sz w:val="22"/>
          <w:szCs w:val="22"/>
        </w:rPr>
        <w:br/>
        <w:t>Chief</w:t>
      </w:r>
      <w:r w:rsidRPr="00B53331" w:rsidR="006E1610">
        <w:rPr>
          <w:sz w:val="22"/>
          <w:szCs w:val="22"/>
        </w:rPr>
        <w:br/>
        <w:t xml:space="preserve">Wireline Competition Bureau </w:t>
      </w:r>
    </w:p>
    <w:p w:rsidR="00412FC5" w:rsidP="00D71074" w14:paraId="1F454F24"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4B83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00F4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D2739" w14:paraId="2453C6F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A0F73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1E9A" w14:paraId="2944C83F" w14:textId="77777777">
      <w:r>
        <w:separator/>
      </w:r>
    </w:p>
  </w:footnote>
  <w:footnote w:type="continuationSeparator" w:id="1">
    <w:p w:rsidR="00B41E9A" w:rsidP="00C721AC" w14:paraId="27E69B3E" w14:textId="77777777">
      <w:pPr>
        <w:spacing w:before="120"/>
        <w:rPr>
          <w:sz w:val="20"/>
        </w:rPr>
      </w:pPr>
      <w:r>
        <w:rPr>
          <w:sz w:val="20"/>
        </w:rPr>
        <w:t xml:space="preserve">(Continued from previous page)  </w:t>
      </w:r>
      <w:r>
        <w:rPr>
          <w:sz w:val="20"/>
        </w:rPr>
        <w:separator/>
      </w:r>
    </w:p>
  </w:footnote>
  <w:footnote w:type="continuationNotice" w:id="2">
    <w:p w:rsidR="00B41E9A" w:rsidP="00C721AC" w14:paraId="74EB493B" w14:textId="77777777">
      <w:pPr>
        <w:jc w:val="right"/>
        <w:rPr>
          <w:sz w:val="20"/>
        </w:rPr>
      </w:pPr>
      <w:r>
        <w:rPr>
          <w:sz w:val="20"/>
        </w:rPr>
        <w:t>(continued….)</w:t>
      </w:r>
    </w:p>
  </w:footnote>
  <w:footnote w:id="3">
    <w:p w:rsidR="00D71074" w:rsidP="00D71074" w14:paraId="05C495A6" w14:textId="45FDF92B">
      <w:pPr>
        <w:pStyle w:val="FootnoteText"/>
      </w:pPr>
      <w:r>
        <w:rPr>
          <w:rStyle w:val="FootnoteReference"/>
        </w:rPr>
        <w:footnoteRef/>
      </w:r>
      <w:r>
        <w:t xml:space="preserve"> Petition of </w:t>
      </w:r>
      <w:r w:rsidR="00041D4E">
        <w:t>Altice</w:t>
      </w:r>
      <w:r>
        <w:t xml:space="preserve"> for a Limited Waiver</w:t>
      </w:r>
      <w:r w:rsidR="00926B11">
        <w:t xml:space="preserve"> of the Emergency Broadband Benefit Program Reimbursement Rules</w:t>
      </w:r>
      <w:r>
        <w:t xml:space="preserve">, WC Docket No. 20-445 (filed Apr. </w:t>
      </w:r>
      <w:r w:rsidR="00041D4E">
        <w:t>27</w:t>
      </w:r>
      <w:r>
        <w:t xml:space="preserve">, 2021), </w:t>
      </w:r>
      <w:hyperlink r:id="rId1" w:history="1">
        <w:r w:rsidRPr="00925122" w:rsidR="0057242A">
          <w:rPr>
            <w:rStyle w:val="Hyperlink"/>
          </w:rPr>
          <w:t>https://ecfsapi.fcc.gov/file/10427072065680/Altice%20Petition%20for%20Limited%20Waiver%20(2021.04.27).pdf</w:t>
        </w:r>
      </w:hyperlink>
      <w:r w:rsidR="0057242A">
        <w:t xml:space="preserve"> </w:t>
      </w:r>
      <w:r w:rsidRPr="0057242A" w:rsidR="0057242A">
        <w:t xml:space="preserve"> </w:t>
      </w:r>
      <w:r w:rsidR="0057242A">
        <w:t xml:space="preserve"> </w:t>
      </w:r>
      <w:r>
        <w:t>(</w:t>
      </w:r>
      <w:r w:rsidR="00041D4E">
        <w:t>Altice</w:t>
      </w:r>
      <w:r>
        <w:t xml:space="preserve"> EBB Waiver Petition). </w:t>
      </w:r>
    </w:p>
  </w:footnote>
  <w:footnote w:id="4">
    <w:p w:rsidR="00D71074" w:rsidRPr="007B1C51" w:rsidP="00D71074" w14:paraId="61ADA259" w14:textId="3EBDED44">
      <w:pPr>
        <w:pStyle w:val="FootnoteText"/>
      </w:pPr>
      <w:r w:rsidRPr="007B1C51">
        <w:rPr>
          <w:rStyle w:val="FootnoteReference"/>
        </w:rPr>
        <w:footnoteRef/>
      </w:r>
      <w:r w:rsidRPr="007B1C51">
        <w:t xml:space="preserve"> </w:t>
      </w:r>
      <w:r>
        <w:rPr>
          <w:i/>
        </w:rPr>
        <w:t>Id</w:t>
      </w:r>
      <w:r>
        <w:t>.</w:t>
      </w:r>
      <w:r w:rsidRPr="007B1C51">
        <w:t xml:space="preserve"> at 1</w:t>
      </w:r>
      <w:r w:rsidR="00FB11D0">
        <w:t>,3</w:t>
      </w:r>
      <w:r w:rsidRPr="007B1C51">
        <w:t>.</w:t>
      </w:r>
    </w:p>
  </w:footnote>
  <w:footnote w:id="5">
    <w:p w:rsidR="00D71074" w:rsidRPr="00FB11D0" w:rsidP="00FB11D0" w14:paraId="5D3A0E24" w14:textId="29B6043D">
      <w:pPr>
        <w:widowControl/>
        <w:spacing w:after="120"/>
        <w:rPr>
          <w:snapToGrid/>
          <w:kern w:val="0"/>
          <w:sz w:val="20"/>
        </w:rPr>
      </w:pPr>
      <w:r w:rsidRPr="00FB11D0">
        <w:rPr>
          <w:rStyle w:val="FootnoteReference"/>
        </w:rPr>
        <w:footnoteRef/>
      </w:r>
      <w:r w:rsidRPr="00FB11D0">
        <w:rPr>
          <w:sz w:val="20"/>
        </w:rPr>
        <w:t xml:space="preserve"> </w:t>
      </w:r>
      <w:r w:rsidRPr="00FB11D0">
        <w:rPr>
          <w:i/>
          <w:sz w:val="20"/>
        </w:rPr>
        <w:t>Id</w:t>
      </w:r>
      <w:r w:rsidRPr="00FB11D0">
        <w:rPr>
          <w:sz w:val="20"/>
        </w:rPr>
        <w:t xml:space="preserve">. </w:t>
      </w:r>
      <w:r w:rsidRPr="00FB11D0" w:rsidR="00FB11D0">
        <w:rPr>
          <w:sz w:val="20"/>
        </w:rPr>
        <w:t xml:space="preserve"> </w:t>
      </w:r>
      <w:r w:rsidRPr="00FB11D0">
        <w:rPr>
          <w:sz w:val="20"/>
        </w:rPr>
        <w:t xml:space="preserve"> </w:t>
      </w:r>
    </w:p>
  </w:footnote>
  <w:footnote w:id="6">
    <w:p w:rsidR="00D71074" w:rsidRPr="007A18D3" w:rsidP="00FB11D0" w14:paraId="173D64CE" w14:textId="77777777">
      <w:pPr>
        <w:pStyle w:val="FootnoteText"/>
      </w:pPr>
      <w:r w:rsidRPr="00FB11D0">
        <w:rPr>
          <w:rStyle w:val="FootnoteReference"/>
        </w:rPr>
        <w:footnoteRef/>
      </w:r>
      <w:r w:rsidRPr="00FB11D0">
        <w:t xml:space="preserve"> Consolidated Appropriations Act, 2021, Pub. L. No. 116-260, 134 Stat. 1182 (2020), </w:t>
      </w:r>
      <w:r w:rsidRPr="00FB11D0">
        <w:rPr>
          <w:i/>
        </w:rPr>
        <w:t xml:space="preserve">available at </w:t>
      </w:r>
      <w:r w:rsidRPr="00FB11D0">
        <w:rPr>
          <w:color w:val="0000FF"/>
        </w:rPr>
        <w:t xml:space="preserve">https://www.congress.gov/bill/116th-congress/house-bill/133/text </w:t>
      </w:r>
      <w:r w:rsidRPr="00FB11D0">
        <w:rPr>
          <w:color w:val="000000"/>
        </w:rPr>
        <w:t>(Consolidated Appropriations Act).</w:t>
      </w:r>
    </w:p>
  </w:footnote>
  <w:footnote w:id="7">
    <w:p w:rsidR="00D71074" w:rsidRPr="007A18D3" w:rsidP="00D71074" w14:paraId="2950F1A1" w14:textId="77777777">
      <w:pPr>
        <w:pStyle w:val="FootnoteText"/>
      </w:pPr>
      <w:r w:rsidRPr="007754C9">
        <w:rPr>
          <w:rStyle w:val="FootnoteReference"/>
        </w:rPr>
        <w:footnoteRef/>
      </w:r>
      <w:r w:rsidRPr="007754C9">
        <w:t xml:space="preserve"> </w:t>
      </w:r>
      <w:r w:rsidRPr="006034CF">
        <w:t>Consolidated Appropriations Act,</w:t>
      </w:r>
      <w:r w:rsidRPr="00A65923">
        <w:t xml:space="preserve"> </w:t>
      </w:r>
      <w:r w:rsidRPr="00890C6A">
        <w:t>2021</w:t>
      </w:r>
      <w:r w:rsidRPr="00A24423">
        <w:t>,</w:t>
      </w:r>
      <w:r w:rsidRPr="007A18D3">
        <w:t xml:space="preserve"> Pub. L. No. 116-260, div. N, tit. IX, § 904(i), 134 Stat. 2130, 2135.</w:t>
      </w:r>
    </w:p>
  </w:footnote>
  <w:footnote w:id="8">
    <w:p w:rsidR="00D71074" w:rsidRPr="007A18D3" w:rsidP="00D71074" w14:paraId="21526935" w14:textId="77777777">
      <w:pPr>
        <w:pStyle w:val="FootnoteText"/>
      </w:pPr>
      <w:r w:rsidRPr="007754C9">
        <w:rPr>
          <w:rStyle w:val="FootnoteReference"/>
        </w:rPr>
        <w:footnoteRef/>
      </w:r>
      <w:r w:rsidRPr="007754C9">
        <w:t xml:space="preserve"> </w:t>
      </w:r>
      <w:r w:rsidRPr="006034CF">
        <w:rPr>
          <w:i/>
          <w:iCs/>
        </w:rPr>
        <w:t>Id.</w:t>
      </w:r>
      <w:r w:rsidRPr="00A65923">
        <w:t xml:space="preserve"> § 904(b)(1</w:t>
      </w:r>
      <w:r>
        <w:t xml:space="preserve">).  </w:t>
      </w:r>
    </w:p>
  </w:footnote>
  <w:footnote w:id="9">
    <w:p w:rsidR="00D71074" w:rsidRPr="00002DF0" w:rsidP="00D71074" w14:paraId="719AE72C" w14:textId="77777777">
      <w:pPr>
        <w:pStyle w:val="FootnoteText"/>
      </w:pPr>
      <w:r>
        <w:rPr>
          <w:rStyle w:val="FootnoteReference"/>
        </w:rPr>
        <w:footnoteRef/>
      </w:r>
      <w:r>
        <w:t xml:space="preserve"> </w:t>
      </w:r>
      <w:r>
        <w:rPr>
          <w:i/>
        </w:rPr>
        <w:t>Id</w:t>
      </w:r>
      <w:r>
        <w:t xml:space="preserve">.  </w:t>
      </w:r>
      <w:r w:rsidRPr="00913EB0">
        <w:t xml:space="preserve">Under Section 904, the emergency period “ends on the date that is 6 months after the date on which the determination by the Secretary of Health and Human Services pursuant to section 319 of the Public Health Service Act (42 U.S.C. </w:t>
      </w:r>
      <w:r>
        <w:t xml:space="preserve">§ </w:t>
      </w:r>
      <w:r w:rsidRPr="00913EB0">
        <w:t xml:space="preserve">247d) that a public health emergency exists as a result of COVID-19, including any renewal thereof, terminates.”  </w:t>
      </w:r>
      <w:r w:rsidRPr="00913EB0">
        <w:rPr>
          <w:i/>
          <w:iCs/>
        </w:rPr>
        <w:t>Id.</w:t>
      </w:r>
      <w:r w:rsidRPr="00913EB0">
        <w:t xml:space="preserve"> § 904(a)(8)</w:t>
      </w:r>
      <w:r>
        <w:t>.</w:t>
      </w:r>
    </w:p>
  </w:footnote>
  <w:footnote w:id="10">
    <w:p w:rsidR="00D71074" w:rsidRPr="005A50B6" w:rsidP="00D71074" w14:paraId="5EA389C7" w14:textId="77777777">
      <w:pPr>
        <w:pStyle w:val="FootnoteText"/>
      </w:pPr>
      <w:r w:rsidRPr="005A50B6">
        <w:rPr>
          <w:rStyle w:val="FootnoteReference"/>
        </w:rPr>
        <w:footnoteRef/>
      </w:r>
      <w:r w:rsidRPr="005A50B6">
        <w:t xml:space="preserve"> </w:t>
      </w:r>
      <w:r w:rsidRPr="005A50B6">
        <w:rPr>
          <w:i/>
          <w:iCs/>
        </w:rPr>
        <w:t>See Wireline Competition Bureau Seeks Comment on Emergency Broadband Connectivity Fund Assistance</w:t>
      </w:r>
      <w:r w:rsidRPr="005A50B6">
        <w:t>, WC Docket No. 20-445, Public Notice, DA 21-6, at 2 (WCB 2021</w:t>
      </w:r>
      <w:r>
        <w:t>).</w:t>
      </w:r>
    </w:p>
  </w:footnote>
  <w:footnote w:id="11">
    <w:p w:rsidR="00D71074" w:rsidRPr="005A50B6" w:rsidP="00D71074" w14:paraId="42E98ECE" w14:textId="77777777">
      <w:pPr>
        <w:pStyle w:val="NormalWeb"/>
        <w:spacing w:before="0" w:beforeAutospacing="0" w:after="120" w:afterAutospacing="0"/>
        <w:rPr>
          <w:sz w:val="20"/>
          <w:szCs w:val="20"/>
        </w:rPr>
      </w:pPr>
      <w:r w:rsidRPr="005A50B6">
        <w:rPr>
          <w:rStyle w:val="FootnoteReference"/>
          <w:szCs w:val="20"/>
        </w:rPr>
        <w:footnoteRef/>
      </w:r>
      <w:r w:rsidRPr="005A50B6">
        <w:rPr>
          <w:sz w:val="20"/>
          <w:szCs w:val="20"/>
        </w:rPr>
        <w:t xml:space="preserve"> </w:t>
      </w:r>
      <w:r w:rsidRPr="005A50B6">
        <w:rPr>
          <w:i/>
          <w:iCs/>
          <w:sz w:val="20"/>
          <w:szCs w:val="20"/>
        </w:rPr>
        <w:t>Emergency Broadband Benefit Program</w:t>
      </w:r>
      <w:r w:rsidRPr="005A50B6">
        <w:rPr>
          <w:sz w:val="20"/>
          <w:szCs w:val="20"/>
        </w:rPr>
        <w:t>, WC Docket No. 20-445</w:t>
      </w:r>
      <w:r>
        <w:rPr>
          <w:sz w:val="20"/>
          <w:szCs w:val="20"/>
        </w:rPr>
        <w:t xml:space="preserve">, </w:t>
      </w:r>
      <w:r w:rsidRPr="005A50B6">
        <w:rPr>
          <w:sz w:val="20"/>
          <w:szCs w:val="20"/>
        </w:rPr>
        <w:t xml:space="preserve">Report and Order, FCC 21- 29, </w:t>
      </w:r>
      <w:r>
        <w:rPr>
          <w:sz w:val="20"/>
          <w:szCs w:val="20"/>
        </w:rPr>
        <w:t xml:space="preserve">50, </w:t>
      </w:r>
      <w:r w:rsidRPr="005A50B6">
        <w:rPr>
          <w:sz w:val="20"/>
          <w:szCs w:val="20"/>
        </w:rPr>
        <w:t>para. 98 (2021) (</w:t>
      </w:r>
      <w:r w:rsidRPr="005A50B6">
        <w:rPr>
          <w:i/>
          <w:iCs/>
          <w:sz w:val="20"/>
          <w:szCs w:val="20"/>
        </w:rPr>
        <w:t>EBB Program Order</w:t>
      </w:r>
      <w:r w:rsidRPr="005A50B6">
        <w:rPr>
          <w:sz w:val="20"/>
          <w:szCs w:val="20"/>
        </w:rPr>
        <w:t xml:space="preserve">). </w:t>
      </w:r>
    </w:p>
  </w:footnote>
  <w:footnote w:id="12">
    <w:p w:rsidR="00D71074" w:rsidP="00D71074" w14:paraId="151843D0" w14:textId="77777777">
      <w:pPr>
        <w:pStyle w:val="FootnoteText"/>
      </w:pPr>
      <w:r>
        <w:rPr>
          <w:rStyle w:val="FootnoteReference"/>
        </w:rPr>
        <w:footnoteRef/>
      </w:r>
      <w:r>
        <w:t xml:space="preserve"> 4</w:t>
      </w:r>
      <w:r w:rsidRPr="005A50B6">
        <w:t>7 CFR § 54.160</w:t>
      </w:r>
      <w:r>
        <w:t>2</w:t>
      </w:r>
      <w:r w:rsidRPr="005A50B6">
        <w:t>.</w:t>
      </w:r>
    </w:p>
  </w:footnote>
  <w:footnote w:id="13">
    <w:p w:rsidR="00D71074" w:rsidRPr="00890C6A" w:rsidP="00D71074" w14:paraId="5EEE4745" w14:textId="77777777">
      <w:pPr>
        <w:pStyle w:val="FootnoteText"/>
      </w:pPr>
      <w:r w:rsidRPr="005A50B6">
        <w:rPr>
          <w:rStyle w:val="FootnoteReference"/>
        </w:rPr>
        <w:footnoteRef/>
      </w:r>
      <w:r w:rsidRPr="005A50B6">
        <w:t xml:space="preserve"> </w:t>
      </w:r>
      <w:r>
        <w:rPr>
          <w:i/>
        </w:rPr>
        <w:t>Id.</w:t>
      </w:r>
      <w:r>
        <w:t xml:space="preserve"> </w:t>
      </w:r>
      <w:r w:rsidRPr="005A50B6">
        <w:t>§ 54.160</w:t>
      </w:r>
      <w:r>
        <w:t>1</w:t>
      </w:r>
      <w:r w:rsidRPr="005A50B6">
        <w:t>.</w:t>
      </w:r>
    </w:p>
  </w:footnote>
  <w:footnote w:id="14">
    <w:p w:rsidR="00D71074" w:rsidRPr="00A24423" w:rsidP="00D71074" w14:paraId="7631118F" w14:textId="77777777">
      <w:pPr>
        <w:pStyle w:val="FootnoteText"/>
      </w:pPr>
      <w:r w:rsidRPr="006034CF">
        <w:rPr>
          <w:rStyle w:val="FootnoteReference"/>
        </w:rPr>
        <w:footnoteRef/>
      </w:r>
      <w:r w:rsidRPr="006034CF">
        <w:t xml:space="preserve"> </w:t>
      </w:r>
      <w:r>
        <w:rPr>
          <w:i/>
        </w:rPr>
        <w:t>Id.</w:t>
      </w:r>
      <w:r>
        <w:t xml:space="preserve"> </w:t>
      </w:r>
      <w:r w:rsidRPr="005A50B6">
        <w:t>§ 54.160</w:t>
      </w:r>
      <w:r>
        <w:t>3(a)</w:t>
      </w:r>
      <w:r w:rsidRPr="005A50B6">
        <w:t>.</w:t>
      </w:r>
    </w:p>
  </w:footnote>
  <w:footnote w:id="15">
    <w:p w:rsidR="00D71074" w:rsidRPr="005A50B6" w:rsidP="00D71074" w14:paraId="537B7F94" w14:textId="77777777">
      <w:pPr>
        <w:pStyle w:val="FootnoteText"/>
      </w:pPr>
      <w:r w:rsidRPr="006034CF">
        <w:rPr>
          <w:rStyle w:val="FootnoteReference"/>
        </w:rPr>
        <w:footnoteRef/>
      </w:r>
      <w:r w:rsidRPr="006034CF">
        <w:t xml:space="preserve"> </w:t>
      </w:r>
      <w:r>
        <w:rPr>
          <w:i/>
        </w:rPr>
        <w:t>Id.</w:t>
      </w:r>
    </w:p>
  </w:footnote>
  <w:footnote w:id="16">
    <w:p w:rsidR="00D71074" w:rsidRPr="005A50B6" w:rsidP="00D71074" w14:paraId="43DA2882" w14:textId="77777777">
      <w:pPr>
        <w:pStyle w:val="FootnoteText"/>
      </w:pPr>
      <w:r w:rsidRPr="005A50B6">
        <w:rPr>
          <w:rStyle w:val="FootnoteReference"/>
        </w:rPr>
        <w:footnoteRef/>
      </w:r>
      <w:r w:rsidRPr="005A50B6">
        <w:t xml:space="preserve"> </w:t>
      </w:r>
      <w:r>
        <w:rPr>
          <w:i/>
        </w:rPr>
        <w:t>Id.</w:t>
      </w:r>
      <w:r>
        <w:t xml:space="preserve"> </w:t>
      </w:r>
      <w:r w:rsidRPr="005A50B6">
        <w:t>§ 54.160</w:t>
      </w:r>
      <w:r>
        <w:t>8.</w:t>
      </w:r>
    </w:p>
  </w:footnote>
  <w:footnote w:id="17">
    <w:p w:rsidR="00D71074" w:rsidRPr="005A50B6" w:rsidP="00D71074" w14:paraId="2350D19B" w14:textId="77777777">
      <w:pPr>
        <w:pStyle w:val="FootnoteText"/>
      </w:pPr>
      <w:r w:rsidRPr="005A50B6">
        <w:rPr>
          <w:rStyle w:val="FootnoteReference"/>
        </w:rPr>
        <w:footnoteRef/>
      </w:r>
      <w:r w:rsidRPr="005A50B6">
        <w:t xml:space="preserve"> </w:t>
      </w:r>
      <w:r w:rsidRPr="005A50B6">
        <w:rPr>
          <w:i/>
          <w:iCs/>
        </w:rPr>
        <w:t>Id</w:t>
      </w:r>
      <w:r>
        <w:rPr>
          <w:i/>
          <w:iCs/>
        </w:rPr>
        <w:t xml:space="preserve"> </w:t>
      </w:r>
      <w:r w:rsidRPr="005A50B6">
        <w:t xml:space="preserve">§§ </w:t>
      </w:r>
      <w:r>
        <w:t xml:space="preserve">54.1603(b), </w:t>
      </w:r>
      <w:r w:rsidRPr="005A50B6">
        <w:t>54.160</w:t>
      </w:r>
      <w:r>
        <w:t>8(d)</w:t>
      </w:r>
      <w:r w:rsidRPr="005A50B6">
        <w:t>.</w:t>
      </w:r>
    </w:p>
  </w:footnote>
  <w:footnote w:id="18">
    <w:p w:rsidR="00D71074" w:rsidRPr="005A50B6" w:rsidP="00D71074" w14:paraId="6E85DAA2" w14:textId="77777777">
      <w:pPr>
        <w:pStyle w:val="FootnoteText"/>
        <w:rPr>
          <w:i/>
          <w:iCs/>
        </w:rPr>
      </w:pPr>
      <w:r w:rsidRPr="005A50B6">
        <w:rPr>
          <w:rStyle w:val="FootnoteReference"/>
        </w:rPr>
        <w:footnoteRef/>
      </w:r>
      <w:r w:rsidRPr="005A50B6">
        <w:t xml:space="preserve"> </w:t>
      </w:r>
      <w:r w:rsidRPr="005A50B6">
        <w:rPr>
          <w:i/>
          <w:iCs/>
        </w:rPr>
        <w:t>Id</w:t>
      </w:r>
      <w:r>
        <w:rPr>
          <w:i/>
          <w:iCs/>
        </w:rPr>
        <w:t xml:space="preserve"> </w:t>
      </w:r>
      <w:r w:rsidRPr="005A50B6">
        <w:t>§§ 54.160</w:t>
      </w:r>
      <w:r>
        <w:t xml:space="preserve">8(a), </w:t>
      </w:r>
      <w:r w:rsidRPr="005A50B6">
        <w:t>54.160</w:t>
      </w:r>
      <w:r>
        <w:t>5(b)</w:t>
      </w:r>
      <w:r w:rsidRPr="005A50B6">
        <w:t>.</w:t>
      </w:r>
    </w:p>
  </w:footnote>
  <w:footnote w:id="19">
    <w:p w:rsidR="00D71074" w:rsidRPr="005A50B6" w:rsidP="00D71074" w14:paraId="202162F4" w14:textId="77777777">
      <w:pPr>
        <w:pStyle w:val="FootnoteText"/>
      </w:pPr>
      <w:r w:rsidRPr="005A50B6">
        <w:rPr>
          <w:rStyle w:val="FootnoteReference"/>
        </w:rPr>
        <w:footnoteRef/>
      </w:r>
      <w:r w:rsidRPr="005A50B6">
        <w:t xml:space="preserve"> </w:t>
      </w:r>
      <w:r w:rsidRPr="005A50B6">
        <w:rPr>
          <w:i/>
          <w:iCs/>
        </w:rPr>
        <w:t>Id.</w:t>
      </w:r>
      <w:r w:rsidRPr="005A50B6">
        <w:t xml:space="preserve"> § 54.160</w:t>
      </w:r>
      <w:r>
        <w:t>8(e)</w:t>
      </w:r>
      <w:r w:rsidRPr="005A50B6">
        <w:t>.</w:t>
      </w:r>
    </w:p>
  </w:footnote>
  <w:footnote w:id="20">
    <w:p w:rsidR="00D71074" w:rsidRPr="00F65D7C" w:rsidP="00D71074" w14:paraId="3BDDE5E9" w14:textId="77777777">
      <w:pPr>
        <w:pStyle w:val="FootnoteText"/>
      </w:pPr>
      <w:r>
        <w:rPr>
          <w:rStyle w:val="FootnoteReference"/>
        </w:rPr>
        <w:footnoteRef/>
      </w:r>
      <w:r>
        <w:t xml:space="preserve"> </w:t>
      </w:r>
      <w:r>
        <w:rPr>
          <w:i/>
          <w:iCs/>
        </w:rPr>
        <w:t xml:space="preserve">Id. </w:t>
      </w:r>
      <w:r>
        <w:t>§ 54.1608(a).</w:t>
      </w:r>
    </w:p>
  </w:footnote>
  <w:footnote w:id="21">
    <w:p w:rsidR="00D71074" w:rsidRPr="00052B87" w:rsidP="00D71074" w14:paraId="4AC9E91F" w14:textId="77777777">
      <w:pPr>
        <w:pStyle w:val="FootnoteText"/>
      </w:pPr>
      <w:r>
        <w:rPr>
          <w:rStyle w:val="FootnoteReference"/>
        </w:rPr>
        <w:footnoteRef/>
      </w:r>
      <w:r>
        <w:t xml:space="preserve"> </w:t>
      </w:r>
      <w:r>
        <w:rPr>
          <w:i/>
          <w:iCs/>
        </w:rPr>
        <w:t>Id.</w:t>
      </w:r>
      <w:r>
        <w:t xml:space="preserve"> § 54.1608(g).</w:t>
      </w:r>
    </w:p>
  </w:footnote>
  <w:footnote w:id="22">
    <w:p w:rsidR="00D71074" w:rsidRPr="005A50B6" w:rsidP="00D71074" w14:paraId="3F011D0F" w14:textId="77777777">
      <w:pPr>
        <w:pStyle w:val="NormalWeb"/>
        <w:spacing w:before="0" w:beforeAutospacing="0" w:after="120" w:afterAutospacing="0"/>
        <w:rPr>
          <w:sz w:val="20"/>
          <w:szCs w:val="20"/>
        </w:rPr>
      </w:pPr>
      <w:r w:rsidRPr="005A50B6">
        <w:rPr>
          <w:rStyle w:val="FootnoteReference"/>
          <w:szCs w:val="20"/>
        </w:rPr>
        <w:footnoteRef/>
      </w:r>
      <w:r w:rsidRPr="005A50B6">
        <w:rPr>
          <w:sz w:val="20"/>
          <w:szCs w:val="20"/>
        </w:rPr>
        <w:t xml:space="preserve"> </w:t>
      </w:r>
      <w:r>
        <w:rPr>
          <w:i/>
          <w:sz w:val="20"/>
          <w:szCs w:val="20"/>
        </w:rPr>
        <w:t>Id.</w:t>
      </w:r>
    </w:p>
  </w:footnote>
  <w:footnote w:id="23">
    <w:p w:rsidR="00D71074" w:rsidRPr="00DF58F6" w:rsidP="00D71074" w14:paraId="28C49747" w14:textId="77777777">
      <w:pPr>
        <w:pStyle w:val="FootnoteText"/>
      </w:pPr>
      <w:r w:rsidRPr="00DF58F6">
        <w:rPr>
          <w:rStyle w:val="FootnoteReference"/>
        </w:rPr>
        <w:footnoteRef/>
      </w:r>
      <w:r w:rsidRPr="00DF58F6">
        <w:t xml:space="preserve"> </w:t>
      </w:r>
      <w:r w:rsidRPr="00DF58F6">
        <w:rPr>
          <w:i/>
          <w:iCs/>
        </w:rPr>
        <w:t xml:space="preserve">EBB Program Order </w:t>
      </w:r>
      <w:r w:rsidRPr="00DF58F6">
        <w:rPr>
          <w:iCs/>
        </w:rPr>
        <w:t xml:space="preserve">at </w:t>
      </w:r>
      <w:r>
        <w:rPr>
          <w:iCs/>
        </w:rPr>
        <w:t xml:space="preserve">50, </w:t>
      </w:r>
      <w:r w:rsidRPr="00DF58F6">
        <w:rPr>
          <w:iCs/>
        </w:rPr>
        <w:t>para. 98</w:t>
      </w:r>
      <w:r>
        <w:rPr>
          <w:iCs/>
        </w:rPr>
        <w:t>, 100</w:t>
      </w:r>
      <w:r w:rsidRPr="00DF58F6">
        <w:rPr>
          <w:iCs/>
        </w:rPr>
        <w:t>.</w:t>
      </w:r>
    </w:p>
  </w:footnote>
  <w:footnote w:id="24">
    <w:p w:rsidR="00D71074" w:rsidRPr="00DF58F6" w:rsidP="00D71074" w14:paraId="18EC3591" w14:textId="77777777">
      <w:pPr>
        <w:pStyle w:val="NormalWeb"/>
        <w:spacing w:before="0" w:beforeAutospacing="0" w:after="120" w:afterAutospacing="0"/>
      </w:pPr>
      <w:r w:rsidRPr="00DF58F6">
        <w:rPr>
          <w:rStyle w:val="FootnoteReference"/>
          <w:szCs w:val="20"/>
        </w:rPr>
        <w:footnoteRef/>
      </w:r>
      <w:r w:rsidRPr="00DF58F6">
        <w:t xml:space="preserve"> </w:t>
      </w:r>
      <w:r w:rsidRPr="00DF58F6">
        <w:rPr>
          <w:i/>
          <w:iCs/>
          <w:sz w:val="20"/>
          <w:szCs w:val="20"/>
        </w:rPr>
        <w:t>NetworkIP</w:t>
      </w:r>
      <w:r w:rsidRPr="00DF58F6">
        <w:rPr>
          <w:i/>
          <w:iCs/>
          <w:sz w:val="20"/>
          <w:szCs w:val="20"/>
        </w:rPr>
        <w:t>, LLC v. FCC</w:t>
      </w:r>
      <w:r w:rsidRPr="00DF58F6">
        <w:rPr>
          <w:sz w:val="20"/>
          <w:szCs w:val="20"/>
        </w:rPr>
        <w:t>, 548 F.3d 116, 127 (D.C. Cir. 2008).</w:t>
      </w:r>
      <w:r w:rsidRPr="00DF58F6">
        <w:t xml:space="preserve"> </w:t>
      </w:r>
    </w:p>
  </w:footnote>
  <w:footnote w:id="25">
    <w:p w:rsidR="00D71074" w:rsidRPr="00DF58F6" w:rsidP="00D71074" w14:paraId="38CFCD0C" w14:textId="77777777">
      <w:pPr>
        <w:pStyle w:val="NormalWeb"/>
        <w:spacing w:before="0" w:beforeAutospacing="0" w:after="120" w:afterAutospacing="0"/>
      </w:pPr>
      <w:r w:rsidRPr="00DF58F6">
        <w:rPr>
          <w:rStyle w:val="FootnoteReference"/>
        </w:rPr>
        <w:footnoteRef/>
      </w:r>
      <w:r w:rsidRPr="00DF58F6">
        <w:t xml:space="preserve"> </w:t>
      </w:r>
      <w:r w:rsidRPr="00DF58F6">
        <w:rPr>
          <w:i/>
          <w:iCs/>
          <w:sz w:val="20"/>
          <w:szCs w:val="20"/>
        </w:rPr>
        <w:t xml:space="preserve">Mary </w:t>
      </w:r>
      <w:r>
        <w:rPr>
          <w:i/>
          <w:iCs/>
          <w:sz w:val="20"/>
          <w:szCs w:val="20"/>
        </w:rPr>
        <w:t>v</w:t>
      </w:r>
      <w:r w:rsidRPr="00DF58F6">
        <w:rPr>
          <w:i/>
          <w:iCs/>
          <w:sz w:val="20"/>
          <w:szCs w:val="20"/>
        </w:rPr>
        <w:t>. Harris Found. v. FCC</w:t>
      </w:r>
      <w:r w:rsidRPr="00DF58F6">
        <w:rPr>
          <w:sz w:val="20"/>
          <w:szCs w:val="20"/>
        </w:rPr>
        <w:t>, 776 F.3d 21, 28 (D.C. Cir. 2015).</w:t>
      </w:r>
    </w:p>
  </w:footnote>
  <w:footnote w:id="26">
    <w:p w:rsidR="00D71074" w:rsidRPr="00E90A96" w:rsidP="00D71074" w14:paraId="16FA293E" w14:textId="77777777">
      <w:pPr>
        <w:pStyle w:val="NormalWeb"/>
        <w:spacing w:before="0" w:beforeAutospacing="0" w:after="120" w:afterAutospacing="0"/>
      </w:pPr>
      <w:r w:rsidRPr="00DF58F6">
        <w:rPr>
          <w:rStyle w:val="FootnoteReference"/>
        </w:rPr>
        <w:footnoteRef/>
      </w:r>
      <w:r w:rsidRPr="00DF58F6">
        <w:t xml:space="preserve"> </w:t>
      </w:r>
      <w:r w:rsidRPr="00E90A96">
        <w:rPr>
          <w:sz w:val="20"/>
          <w:szCs w:val="20"/>
        </w:rPr>
        <w:t>47 CFR § 1.3.</w:t>
      </w:r>
    </w:p>
  </w:footnote>
  <w:footnote w:id="27">
    <w:p w:rsidR="00D71074" w:rsidRPr="00E90A96" w:rsidP="00D71074" w14:paraId="160CE7DF"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F.2d 1164, 1166 (D.C. Cir. 1990). </w:t>
      </w:r>
    </w:p>
  </w:footnote>
  <w:footnote w:id="28">
    <w:p w:rsidR="00D71074" w:rsidRPr="00E90A96" w:rsidP="00D71074" w14:paraId="08282045"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w:t>
      </w:r>
      <w:r w:rsidRPr="00E90A96">
        <w:rPr>
          <w:sz w:val="20"/>
          <w:szCs w:val="20"/>
        </w:rPr>
        <w:t xml:space="preserve">, 897 F.2d at 1166; </w:t>
      </w:r>
      <w:r w:rsidRPr="00E90A96">
        <w:rPr>
          <w:i/>
          <w:iCs/>
          <w:sz w:val="20"/>
          <w:szCs w:val="20"/>
        </w:rPr>
        <w:t>WAIT Radio v. FCC</w:t>
      </w:r>
      <w:r w:rsidRPr="00E90A96">
        <w:rPr>
          <w:sz w:val="20"/>
          <w:szCs w:val="20"/>
        </w:rPr>
        <w:t>, 418 F.2d 1153, 1159 (D.C. Cir. 1969)</w:t>
      </w:r>
      <w:r>
        <w:rPr>
          <w:sz w:val="20"/>
          <w:szCs w:val="20"/>
        </w:rPr>
        <w:t>.</w:t>
      </w:r>
    </w:p>
  </w:footnote>
  <w:footnote w:id="29">
    <w:p w:rsidR="00D71074" w:rsidRPr="00E90A96" w:rsidP="00D71074" w14:paraId="066AAAC5" w14:textId="77777777">
      <w:pPr>
        <w:pStyle w:val="NormalWeb"/>
        <w:spacing w:before="0" w:beforeAutospacing="0" w:after="120" w:afterAutospacing="0"/>
      </w:pPr>
      <w:r w:rsidRPr="00E90A96">
        <w:rPr>
          <w:rStyle w:val="FootnoteReference"/>
        </w:rPr>
        <w:footnoteRef/>
      </w:r>
      <w:r w:rsidRPr="00E90A96">
        <w:t xml:space="preserve"> </w:t>
      </w:r>
      <w:r w:rsidRPr="00E90A96">
        <w:rPr>
          <w:sz w:val="20"/>
          <w:szCs w:val="20"/>
        </w:rPr>
        <w:t xml:space="preserve">47 CFR § 0.291(b). </w:t>
      </w:r>
    </w:p>
  </w:footnote>
  <w:footnote w:id="30">
    <w:p w:rsidR="00D71074" w:rsidRPr="007B1C51" w:rsidP="00D71074" w14:paraId="452607C8" w14:textId="5302550B">
      <w:pPr>
        <w:pStyle w:val="FootnoteText"/>
      </w:pPr>
      <w:r w:rsidRPr="007B1C51">
        <w:rPr>
          <w:rStyle w:val="FootnoteReference"/>
        </w:rPr>
        <w:footnoteRef/>
      </w:r>
      <w:r w:rsidRPr="007B1C51">
        <w:t xml:space="preserve"> </w:t>
      </w:r>
      <w:r w:rsidR="00584485">
        <w:t>Altice</w:t>
      </w:r>
      <w:r>
        <w:t xml:space="preserve"> EBB Waiver Petition</w:t>
      </w:r>
      <w:r w:rsidRPr="007B1C51">
        <w:t xml:space="preserve"> at 1, 3.</w:t>
      </w:r>
    </w:p>
  </w:footnote>
  <w:footnote w:id="31">
    <w:p w:rsidR="00D71074" w:rsidRPr="00C76D92" w:rsidP="00D71074" w14:paraId="5F0550AE" w14:textId="77777777">
      <w:pPr>
        <w:pStyle w:val="NormalWeb"/>
        <w:spacing w:before="0" w:beforeAutospacing="0" w:after="120" w:afterAutospacing="0"/>
      </w:pPr>
      <w:r w:rsidRPr="007B1C51">
        <w:rPr>
          <w:rStyle w:val="FootnoteReference"/>
          <w:szCs w:val="20"/>
        </w:rPr>
        <w:footnoteRef/>
      </w:r>
      <w:r w:rsidRPr="007B1C51">
        <w:rPr>
          <w:sz w:val="20"/>
          <w:szCs w:val="20"/>
        </w:rPr>
        <w:t xml:space="preserve"> </w:t>
      </w:r>
      <w:r w:rsidRPr="007B1C51">
        <w:rPr>
          <w:i/>
          <w:sz w:val="20"/>
          <w:szCs w:val="20"/>
        </w:rPr>
        <w:t>Id</w:t>
      </w:r>
      <w:r w:rsidRPr="007B1C51">
        <w:rPr>
          <w:sz w:val="20"/>
          <w:szCs w:val="20"/>
        </w:rPr>
        <w:t xml:space="preserve">. </w:t>
      </w:r>
    </w:p>
  </w:footnote>
  <w:footnote w:id="32">
    <w:p w:rsidR="00D71074" w:rsidP="00D71074" w14:paraId="69F518EC" w14:textId="77777777">
      <w:pPr>
        <w:pStyle w:val="FootnoteText"/>
      </w:pPr>
      <w:r w:rsidRPr="00E90A96">
        <w:rPr>
          <w:rStyle w:val="FootnoteReference"/>
        </w:rPr>
        <w:footnoteRef/>
      </w:r>
      <w:r w:rsidRPr="00E90A96">
        <w:t xml:space="preserve"> </w:t>
      </w:r>
      <w:r w:rsidRPr="007B1C51">
        <w:rPr>
          <w:i/>
        </w:rPr>
        <w:t>Id</w:t>
      </w:r>
      <w:r w:rsidRPr="007B1C51">
        <w:t xml:space="preserve">. </w:t>
      </w:r>
      <w:r>
        <w:t>at 3.</w:t>
      </w:r>
    </w:p>
  </w:footnote>
  <w:footnote w:id="33">
    <w:p w:rsidR="00D71074" w:rsidP="00D71074" w14:paraId="7AC9FD48" w14:textId="77777777">
      <w:pPr>
        <w:pStyle w:val="FootnoteText"/>
      </w:pPr>
      <w:r>
        <w:rPr>
          <w:rStyle w:val="FootnoteReference"/>
        </w:rPr>
        <w:footnoteRef/>
      </w:r>
      <w:r>
        <w:t xml:space="preserve"> </w:t>
      </w:r>
      <w:r>
        <w:rPr>
          <w:i/>
        </w:rPr>
        <w:t>Id</w:t>
      </w:r>
      <w:r>
        <w:t>.</w:t>
      </w:r>
    </w:p>
  </w:footnote>
  <w:footnote w:id="34">
    <w:p w:rsidR="00D71074" w:rsidP="00D71074" w14:paraId="3206B469" w14:textId="77777777">
      <w:pPr>
        <w:pStyle w:val="FootnoteText"/>
      </w:pPr>
      <w:r>
        <w:rPr>
          <w:rStyle w:val="FootnoteReference"/>
        </w:rPr>
        <w:footnoteRef/>
      </w:r>
      <w:r>
        <w:t xml:space="preserve"> </w:t>
      </w:r>
      <w:r>
        <w:rPr>
          <w:i/>
        </w:rPr>
        <w:t>Id</w:t>
      </w:r>
      <w:r>
        <w:t>.</w:t>
      </w:r>
    </w:p>
  </w:footnote>
  <w:footnote w:id="35">
    <w:p w:rsidR="000C2A88" w14:paraId="6431B5F7" w14:textId="0387F461">
      <w:pPr>
        <w:pStyle w:val="FootnoteText"/>
      </w:pPr>
      <w:r>
        <w:rPr>
          <w:rStyle w:val="FootnoteReference"/>
        </w:rPr>
        <w:footnoteRef/>
      </w:r>
      <w:r>
        <w:t xml:space="preserve"> </w:t>
      </w:r>
      <w:r w:rsidRPr="007B1C51">
        <w:rPr>
          <w:i/>
        </w:rPr>
        <w:t>Id</w:t>
      </w:r>
      <w:r w:rsidRPr="007B1C51">
        <w:t xml:space="preserve">. </w:t>
      </w:r>
      <w:r>
        <w:t>at 4.</w:t>
      </w:r>
    </w:p>
  </w:footnote>
  <w:footnote w:id="36">
    <w:p w:rsidR="001636DF" w14:paraId="03018E2A" w14:textId="11B6EDFB">
      <w:pPr>
        <w:pStyle w:val="FootnoteText"/>
      </w:pPr>
      <w:r>
        <w:rPr>
          <w:rStyle w:val="FootnoteReference"/>
        </w:rPr>
        <w:footnoteRef/>
      </w:r>
      <w:r>
        <w:t xml:space="preserve"> </w:t>
      </w:r>
      <w:r w:rsidRPr="007B1C51">
        <w:rPr>
          <w:i/>
        </w:rPr>
        <w:t>Id</w:t>
      </w:r>
      <w:r w:rsidRPr="007B1C51">
        <w:t xml:space="preserve">. </w:t>
      </w:r>
    </w:p>
  </w:footnote>
  <w:footnote w:id="37">
    <w:p w:rsidR="00D71074" w:rsidP="00D71074" w14:paraId="3502F673" w14:textId="2EE3C71D">
      <w:pPr>
        <w:pStyle w:val="FootnoteText"/>
      </w:pPr>
      <w:r>
        <w:rPr>
          <w:rStyle w:val="FootnoteReference"/>
        </w:rPr>
        <w:footnoteRef/>
      </w:r>
      <w:r>
        <w:t xml:space="preserve"> </w:t>
      </w:r>
      <w:r>
        <w:rPr>
          <w:i/>
        </w:rPr>
        <w:t>Id</w:t>
      </w:r>
      <w:r>
        <w:t>.</w:t>
      </w:r>
      <w:r w:rsidR="00E51ECC">
        <w:t xml:space="preserve"> </w:t>
      </w:r>
    </w:p>
  </w:footnote>
  <w:footnote w:id="38">
    <w:p w:rsidR="00D71074" w:rsidP="00D71074" w14:paraId="4DB56920" w14:textId="77777777">
      <w:pPr>
        <w:pStyle w:val="FootnoteText"/>
      </w:pPr>
      <w:r>
        <w:rPr>
          <w:rStyle w:val="FootnoteReference"/>
        </w:rPr>
        <w:footnoteRef/>
      </w:r>
      <w:r>
        <w:t xml:space="preserve"> </w:t>
      </w:r>
      <w:r>
        <w:rPr>
          <w:i/>
        </w:rPr>
        <w:t>Id</w:t>
      </w:r>
      <w:r>
        <w:t xml:space="preserve">. </w:t>
      </w:r>
    </w:p>
  </w:footnote>
  <w:footnote w:id="39">
    <w:p w:rsidR="00D71074" w:rsidP="00D71074" w14:paraId="438ED82D" w14:textId="21453540">
      <w:pPr>
        <w:pStyle w:val="FootnoteText"/>
      </w:pPr>
      <w:r>
        <w:rPr>
          <w:rStyle w:val="FootnoteReference"/>
        </w:rPr>
        <w:footnoteRef/>
      </w:r>
      <w:r>
        <w:t xml:space="preserve"> </w:t>
      </w:r>
      <w:r>
        <w:rPr>
          <w:i/>
        </w:rPr>
        <w:t>Id</w:t>
      </w:r>
      <w:r>
        <w:t xml:space="preserve">. at </w:t>
      </w:r>
      <w:r w:rsidR="002B4647">
        <w:t>4-</w:t>
      </w:r>
      <w: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2679C2" w14:textId="2536EBEB">
    <w:pPr>
      <w:pStyle w:val="Header"/>
      <w:rPr>
        <w:b w:val="0"/>
      </w:rPr>
    </w:pPr>
    <w:r>
      <w:tab/>
      <w:t>Federal Communications Commission</w:t>
    </w:r>
    <w:r>
      <w:tab/>
    </w:r>
    <w:r w:rsidR="00047029">
      <w:t>DA 21-</w:t>
    </w:r>
    <w:r w:rsidR="00F91A53">
      <w:t>557</w:t>
    </w:r>
  </w:p>
  <w:p w:rsidR="00D25FB5" w14:paraId="7219CD2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D25FB5" w14:paraId="62E074E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0E18E8" w14:textId="0AC4644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006E1610">
      <w:tab/>
      <w:t>Federal Communications Commission</w:t>
    </w:r>
    <w:r w:rsidR="006E1610">
      <w:tab/>
    </w:r>
    <w:r w:rsidR="00F91A53">
      <w:rPr>
        <w:spacing w:val="-2"/>
      </w:rPr>
      <w:t>DA 21-557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74"/>
    <w:rsid w:val="00002DF0"/>
    <w:rsid w:val="00036039"/>
    <w:rsid w:val="00037F90"/>
    <w:rsid w:val="00041D4E"/>
    <w:rsid w:val="00047029"/>
    <w:rsid w:val="00052B87"/>
    <w:rsid w:val="000875BF"/>
    <w:rsid w:val="00096D8C"/>
    <w:rsid w:val="000A4DA5"/>
    <w:rsid w:val="000C0B65"/>
    <w:rsid w:val="000C2A88"/>
    <w:rsid w:val="000E05FE"/>
    <w:rsid w:val="000E3D42"/>
    <w:rsid w:val="00122BD5"/>
    <w:rsid w:val="001304AF"/>
    <w:rsid w:val="00133F79"/>
    <w:rsid w:val="001636DF"/>
    <w:rsid w:val="0017296B"/>
    <w:rsid w:val="00194A66"/>
    <w:rsid w:val="001C3139"/>
    <w:rsid w:val="001D6BCF"/>
    <w:rsid w:val="001E01CA"/>
    <w:rsid w:val="001F4655"/>
    <w:rsid w:val="00275CF5"/>
    <w:rsid w:val="0028301F"/>
    <w:rsid w:val="00283021"/>
    <w:rsid w:val="00285017"/>
    <w:rsid w:val="002A2D2E"/>
    <w:rsid w:val="002B4647"/>
    <w:rsid w:val="002C00E8"/>
    <w:rsid w:val="003268B7"/>
    <w:rsid w:val="00343749"/>
    <w:rsid w:val="003660ED"/>
    <w:rsid w:val="00387CFD"/>
    <w:rsid w:val="003B0550"/>
    <w:rsid w:val="003B694F"/>
    <w:rsid w:val="003C6905"/>
    <w:rsid w:val="003D2739"/>
    <w:rsid w:val="003F171C"/>
    <w:rsid w:val="00412FC5"/>
    <w:rsid w:val="00422276"/>
    <w:rsid w:val="004242F1"/>
    <w:rsid w:val="00427A58"/>
    <w:rsid w:val="00445A00"/>
    <w:rsid w:val="00451B0F"/>
    <w:rsid w:val="00460C20"/>
    <w:rsid w:val="004C2EE3"/>
    <w:rsid w:val="004C483B"/>
    <w:rsid w:val="004D2C07"/>
    <w:rsid w:val="004D3A48"/>
    <w:rsid w:val="004E3F27"/>
    <w:rsid w:val="004E4A22"/>
    <w:rsid w:val="00511968"/>
    <w:rsid w:val="0055614C"/>
    <w:rsid w:val="00566D06"/>
    <w:rsid w:val="0057242A"/>
    <w:rsid w:val="00584485"/>
    <w:rsid w:val="005A50B6"/>
    <w:rsid w:val="005B05FA"/>
    <w:rsid w:val="005D5F81"/>
    <w:rsid w:val="005E07F4"/>
    <w:rsid w:val="005E14C2"/>
    <w:rsid w:val="006034CF"/>
    <w:rsid w:val="00607BA5"/>
    <w:rsid w:val="00607EF6"/>
    <w:rsid w:val="0061180A"/>
    <w:rsid w:val="00626EB6"/>
    <w:rsid w:val="00655D03"/>
    <w:rsid w:val="00683388"/>
    <w:rsid w:val="00683F84"/>
    <w:rsid w:val="006A6A81"/>
    <w:rsid w:val="006E1610"/>
    <w:rsid w:val="006E4121"/>
    <w:rsid w:val="006F7393"/>
    <w:rsid w:val="0070224F"/>
    <w:rsid w:val="007115F7"/>
    <w:rsid w:val="00734F9F"/>
    <w:rsid w:val="00745389"/>
    <w:rsid w:val="007754C9"/>
    <w:rsid w:val="00785689"/>
    <w:rsid w:val="0079754B"/>
    <w:rsid w:val="007A18D3"/>
    <w:rsid w:val="007A1E6D"/>
    <w:rsid w:val="007B0EB2"/>
    <w:rsid w:val="007B1C51"/>
    <w:rsid w:val="007D59EA"/>
    <w:rsid w:val="007F559D"/>
    <w:rsid w:val="00810B6F"/>
    <w:rsid w:val="00822CE0"/>
    <w:rsid w:val="00841AB1"/>
    <w:rsid w:val="00890C6A"/>
    <w:rsid w:val="008C68F1"/>
    <w:rsid w:val="008F7817"/>
    <w:rsid w:val="00913EB0"/>
    <w:rsid w:val="00921803"/>
    <w:rsid w:val="00925122"/>
    <w:rsid w:val="00926503"/>
    <w:rsid w:val="00926B11"/>
    <w:rsid w:val="009565BD"/>
    <w:rsid w:val="009726D8"/>
    <w:rsid w:val="009D7308"/>
    <w:rsid w:val="009F76DB"/>
    <w:rsid w:val="00A2430C"/>
    <w:rsid w:val="00A24423"/>
    <w:rsid w:val="00A32C3B"/>
    <w:rsid w:val="00A45F4F"/>
    <w:rsid w:val="00A600A9"/>
    <w:rsid w:val="00A65923"/>
    <w:rsid w:val="00A92252"/>
    <w:rsid w:val="00AA55B7"/>
    <w:rsid w:val="00AA5B9E"/>
    <w:rsid w:val="00AB2407"/>
    <w:rsid w:val="00AB53DF"/>
    <w:rsid w:val="00B07E5C"/>
    <w:rsid w:val="00B41E9A"/>
    <w:rsid w:val="00B53331"/>
    <w:rsid w:val="00B6777E"/>
    <w:rsid w:val="00B811F7"/>
    <w:rsid w:val="00BA5DC6"/>
    <w:rsid w:val="00BA6196"/>
    <w:rsid w:val="00BC6D8C"/>
    <w:rsid w:val="00C34006"/>
    <w:rsid w:val="00C36B4C"/>
    <w:rsid w:val="00C426B1"/>
    <w:rsid w:val="00C66160"/>
    <w:rsid w:val="00C721AC"/>
    <w:rsid w:val="00C76D92"/>
    <w:rsid w:val="00C90D6A"/>
    <w:rsid w:val="00CA247E"/>
    <w:rsid w:val="00CA6D21"/>
    <w:rsid w:val="00CC72B6"/>
    <w:rsid w:val="00D0218D"/>
    <w:rsid w:val="00D25FB5"/>
    <w:rsid w:val="00D44223"/>
    <w:rsid w:val="00D44424"/>
    <w:rsid w:val="00D71074"/>
    <w:rsid w:val="00D9547B"/>
    <w:rsid w:val="00DA2529"/>
    <w:rsid w:val="00DB130A"/>
    <w:rsid w:val="00DB176F"/>
    <w:rsid w:val="00DB2EBB"/>
    <w:rsid w:val="00DC10A1"/>
    <w:rsid w:val="00DC3D98"/>
    <w:rsid w:val="00DC655F"/>
    <w:rsid w:val="00DD0B59"/>
    <w:rsid w:val="00DD7EBD"/>
    <w:rsid w:val="00DE35D5"/>
    <w:rsid w:val="00DF58F6"/>
    <w:rsid w:val="00DF62B6"/>
    <w:rsid w:val="00E07225"/>
    <w:rsid w:val="00E12AC5"/>
    <w:rsid w:val="00E32ED9"/>
    <w:rsid w:val="00E51ECC"/>
    <w:rsid w:val="00E5409F"/>
    <w:rsid w:val="00E90A96"/>
    <w:rsid w:val="00EE6488"/>
    <w:rsid w:val="00F021FA"/>
    <w:rsid w:val="00F62E97"/>
    <w:rsid w:val="00F64209"/>
    <w:rsid w:val="00F65D7C"/>
    <w:rsid w:val="00F91A53"/>
    <w:rsid w:val="00F93BF5"/>
    <w:rsid w:val="00F961A6"/>
    <w:rsid w:val="00FB11D0"/>
    <w:rsid w:val="00FF4F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C67D09"/>
  <w15:chartTrackingRefBased/>
  <w15:docId w15:val="{A52B63A1-4D15-422F-9C91-49321F5B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D71074"/>
  </w:style>
  <w:style w:type="character" w:customStyle="1" w:styleId="ParaNumChar">
    <w:name w:val="ParaNum Char"/>
    <w:link w:val="ParaNum"/>
    <w:rsid w:val="00D71074"/>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D71074"/>
    <w:rPr>
      <w:rFonts w:ascii="Times New Roman Bold" w:hAnsi="Times New Roman Bold"/>
      <w:b/>
      <w:caps/>
      <w:snapToGrid w:val="0"/>
      <w:kern w:val="28"/>
      <w:sz w:val="22"/>
    </w:rPr>
  </w:style>
  <w:style w:type="paragraph" w:styleId="NormalWeb">
    <w:name w:val="Normal (Web)"/>
    <w:basedOn w:val="Normal"/>
    <w:uiPriority w:val="99"/>
    <w:unhideWhenUsed/>
    <w:rsid w:val="00D71074"/>
    <w:pPr>
      <w:widowControl/>
      <w:spacing w:before="100" w:beforeAutospacing="1" w:after="100" w:afterAutospacing="1"/>
    </w:pPr>
    <w:rPr>
      <w:snapToGrid/>
      <w:kern w:val="0"/>
      <w:sz w:val="24"/>
      <w:szCs w:val="24"/>
    </w:rPr>
  </w:style>
  <w:style w:type="character" w:customStyle="1" w:styleId="UnresolvedMention">
    <w:name w:val="Unresolved Mention"/>
    <w:basedOn w:val="DefaultParagraphFont"/>
    <w:rsid w:val="0004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27072065680/Altice%20Petition%20for%20Limited%20Waiver%20(2021.04.27).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