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20363" w:rsidP="00191F58" w14:paraId="72AB0249" w14:textId="1DEBB5D2">
      <w:pPr>
        <w:jc w:val="right"/>
        <w:rPr>
          <w:b/>
          <w:sz w:val="24"/>
        </w:rPr>
      </w:pPr>
      <w:r>
        <w:rPr>
          <w:b/>
          <w:sz w:val="24"/>
        </w:rPr>
        <w:t>DA 2</w:t>
      </w:r>
      <w:r w:rsidR="00A42CF9">
        <w:rPr>
          <w:b/>
          <w:sz w:val="24"/>
        </w:rPr>
        <w:t>1</w:t>
      </w:r>
      <w:r>
        <w:rPr>
          <w:b/>
          <w:sz w:val="24"/>
        </w:rPr>
        <w:t>-</w:t>
      </w:r>
      <w:r w:rsidR="00604B90">
        <w:rPr>
          <w:b/>
          <w:sz w:val="24"/>
        </w:rPr>
        <w:t>265</w:t>
      </w:r>
    </w:p>
    <w:p w:rsidR="00013A8B" w:rsidRPr="00B20363" w:rsidP="00013A8B" w14:paraId="25839884" w14:textId="47B7E5A0">
      <w:pPr>
        <w:spacing w:before="60"/>
        <w:jc w:val="right"/>
        <w:rPr>
          <w:b/>
          <w:sz w:val="24"/>
        </w:rPr>
      </w:pPr>
      <w:r>
        <w:rPr>
          <w:b/>
          <w:sz w:val="24"/>
        </w:rPr>
        <w:t xml:space="preserve">Released:  </w:t>
      </w:r>
      <w:r w:rsidR="00C75F05">
        <w:rPr>
          <w:b/>
          <w:sz w:val="24"/>
        </w:rPr>
        <w:t>March</w:t>
      </w:r>
      <w:r w:rsidR="00451613">
        <w:rPr>
          <w:b/>
          <w:sz w:val="24"/>
        </w:rPr>
        <w:t xml:space="preserve"> </w:t>
      </w:r>
      <w:r w:rsidR="00604B90">
        <w:rPr>
          <w:b/>
          <w:sz w:val="24"/>
        </w:rPr>
        <w:t>4</w:t>
      </w:r>
      <w:r w:rsidR="00451613">
        <w:rPr>
          <w:b/>
          <w:sz w:val="24"/>
        </w:rPr>
        <w:t>, 202</w:t>
      </w:r>
      <w:r w:rsidR="00191F58">
        <w:rPr>
          <w:b/>
          <w:sz w:val="24"/>
        </w:rPr>
        <w:t>1</w:t>
      </w:r>
    </w:p>
    <w:p w:rsidR="00013A8B" w:rsidRPr="004052D7" w:rsidP="00013A8B" w14:paraId="447ECC4E" w14:textId="77777777">
      <w:pPr>
        <w:jc w:val="right"/>
        <w:rPr>
          <w:sz w:val="12"/>
          <w:szCs w:val="12"/>
        </w:rPr>
      </w:pPr>
    </w:p>
    <w:p w:rsidR="00013A8B" w:rsidP="004052D7" w14:paraId="4F70A9B2" w14:textId="4362C7DD">
      <w:pPr>
        <w:spacing w:after="120"/>
        <w:jc w:val="center"/>
        <w:rPr>
          <w:rFonts w:ascii="Times New Roman Bold" w:hAnsi="Times New Roman Bold"/>
          <w:b/>
          <w:caps/>
          <w:sz w:val="24"/>
        </w:rPr>
      </w:pPr>
      <w:bookmarkStart w:id="0" w:name="_Hlk59119568"/>
      <w:r>
        <w:rPr>
          <w:rFonts w:ascii="Times New Roman Bold" w:hAnsi="Times New Roman Bold"/>
          <w:b/>
          <w:caps/>
          <w:sz w:val="24"/>
        </w:rPr>
        <w:t xml:space="preserve">WIRELINE COMPETITION BUREAU </w:t>
      </w:r>
      <w:r w:rsidR="00C75F05">
        <w:rPr>
          <w:rFonts w:ascii="Times New Roman Bold" w:hAnsi="Times New Roman Bold"/>
          <w:b/>
          <w:caps/>
          <w:sz w:val="24"/>
        </w:rPr>
        <w:t>Announces Initial Milestones for the Emergency Broadband Benefit Program</w:t>
      </w:r>
    </w:p>
    <w:bookmarkEnd w:id="0"/>
    <w:p w:rsidR="00863DDB" w:rsidRPr="00191F58" w:rsidP="004052D7" w14:paraId="134D5C03" w14:textId="4920EEAF">
      <w:pPr>
        <w:spacing w:after="120"/>
        <w:jc w:val="center"/>
        <w:rPr>
          <w:b/>
          <w:szCs w:val="18"/>
        </w:rPr>
      </w:pPr>
      <w:r w:rsidRPr="00191F58">
        <w:rPr>
          <w:b/>
          <w:szCs w:val="18"/>
        </w:rPr>
        <w:t xml:space="preserve">WC Docket No. </w:t>
      </w:r>
      <w:r w:rsidR="0083214E">
        <w:rPr>
          <w:b/>
          <w:szCs w:val="18"/>
        </w:rPr>
        <w:t>20-445</w:t>
      </w:r>
    </w:p>
    <w:p w:rsidR="002F49F2" w:rsidP="007241C0" w14:paraId="6A1A7842" w14:textId="1A69543A">
      <w:pPr>
        <w:spacing w:after="120"/>
        <w:ind w:firstLine="720"/>
      </w:pPr>
      <w:bookmarkStart w:id="1" w:name="TOChere"/>
      <w:r>
        <w:t xml:space="preserve">By this Public Notice, the Wireline Competition Bureau (Bureau) announces </w:t>
      </w:r>
      <w:r w:rsidR="00DA41F8">
        <w:t xml:space="preserve">upcoming </w:t>
      </w:r>
      <w:r>
        <w:t>milestone dates for the Emergency Broadband Benefit Program</w:t>
      </w:r>
      <w:r w:rsidR="00AD6D3E">
        <w:t xml:space="preserve"> (EBB Program)</w:t>
      </w:r>
      <w:r>
        <w:t>, a $3.2 billion federal initiative created by Congress in the Consolidated Appropriations Act of 2021,</w:t>
      </w:r>
      <w:r>
        <w:rPr>
          <w:rStyle w:val="FootnoteReference"/>
        </w:rPr>
        <w:footnoteReference w:id="3"/>
      </w:r>
      <w:r>
        <w:t xml:space="preserve"> to help lower the cost of high-speed internet for eligible households during the on-going COVID-19 pandemic.</w:t>
      </w:r>
      <w:r>
        <w:rPr>
          <w:rStyle w:val="FootnoteReference"/>
        </w:rPr>
        <w:footnoteReference w:id="4"/>
      </w:r>
      <w:r>
        <w:t xml:space="preserve">  </w:t>
      </w:r>
    </w:p>
    <w:p w:rsidR="00DA41F8" w:rsidP="00DA41F8" w14:paraId="65D87E51" w14:textId="0193AD82">
      <w:pPr>
        <w:spacing w:after="120"/>
        <w:ind w:firstLine="720"/>
        <w:rPr>
          <w:szCs w:val="18"/>
        </w:rPr>
      </w:pPr>
      <w:r>
        <w:t xml:space="preserve">On February 25th, the Federal Communications Commission (Commission) unanimously adopted a Report and Order that established the </w:t>
      </w:r>
      <w:r w:rsidR="00857030">
        <w:t>EBB Program</w:t>
      </w:r>
      <w:r>
        <w:t>.  T</w:t>
      </w:r>
      <w:r w:rsidR="00857030">
        <w:rPr>
          <w:szCs w:val="18"/>
        </w:rPr>
        <w:t xml:space="preserve">he </w:t>
      </w:r>
      <w:r w:rsidR="00857030">
        <w:rPr>
          <w:i/>
          <w:iCs/>
          <w:szCs w:val="18"/>
        </w:rPr>
        <w:t>EBB Program Order</w:t>
      </w:r>
      <w:r w:rsidR="00857030">
        <w:rPr>
          <w:szCs w:val="18"/>
        </w:rPr>
        <w:t xml:space="preserve"> directed the Bureau within seven days of adoption to announce a timeline for submission of information by broadband providers required by the Consolidated Appropriations Act to participate in the EBB Program.</w:t>
      </w:r>
      <w:r>
        <w:rPr>
          <w:rStyle w:val="FootnoteReference"/>
          <w:szCs w:val="18"/>
        </w:rPr>
        <w:footnoteReference w:id="5"/>
      </w:r>
    </w:p>
    <w:p w:rsidR="00857030" w14:paraId="165373DA" w14:textId="2EFD013C">
      <w:pPr>
        <w:spacing w:after="120"/>
        <w:ind w:firstLine="720"/>
        <w:rPr>
          <w:szCs w:val="18"/>
        </w:rPr>
      </w:pPr>
      <w:r>
        <w:rPr>
          <w:szCs w:val="18"/>
        </w:rPr>
        <w:t xml:space="preserve">As adopted in the </w:t>
      </w:r>
      <w:r w:rsidR="00424EEE">
        <w:rPr>
          <w:i/>
          <w:iCs/>
          <w:szCs w:val="18"/>
        </w:rPr>
        <w:t xml:space="preserve">EBB Program </w:t>
      </w:r>
      <w:r>
        <w:rPr>
          <w:i/>
          <w:iCs/>
          <w:szCs w:val="18"/>
        </w:rPr>
        <w:t>Order</w:t>
      </w:r>
      <w:r>
        <w:rPr>
          <w:szCs w:val="18"/>
        </w:rPr>
        <w:t xml:space="preserve"> and required by the </w:t>
      </w:r>
      <w:r w:rsidR="00424EEE">
        <w:rPr>
          <w:szCs w:val="18"/>
        </w:rPr>
        <w:t xml:space="preserve">Consolidated Appropriations </w:t>
      </w:r>
      <w:r>
        <w:rPr>
          <w:szCs w:val="18"/>
        </w:rPr>
        <w:t>Act</w:t>
      </w:r>
      <w:r w:rsidR="009963FE">
        <w:rPr>
          <w:szCs w:val="18"/>
        </w:rPr>
        <w:t>,</w:t>
      </w:r>
      <w:r>
        <w:rPr>
          <w:szCs w:val="18"/>
        </w:rPr>
        <w:t xml:space="preserve"> </w:t>
      </w:r>
      <w:r w:rsidR="00424EEE">
        <w:rPr>
          <w:szCs w:val="18"/>
        </w:rPr>
        <w:t xml:space="preserve">to participate </w:t>
      </w:r>
      <w:r w:rsidR="00B15B7F">
        <w:rPr>
          <w:szCs w:val="18"/>
        </w:rPr>
        <w:t>in</w:t>
      </w:r>
      <w:r w:rsidR="00424EEE">
        <w:rPr>
          <w:szCs w:val="18"/>
        </w:rPr>
        <w:t xml:space="preserve"> the EBB Program, </w:t>
      </w:r>
      <w:r>
        <w:rPr>
          <w:szCs w:val="18"/>
        </w:rPr>
        <w:t>broadband providers must submit information to the Bureau and the Universal Service Administrative Company (USAC) depending on the regulatory status of the broadband provider.</w:t>
      </w:r>
      <w:r>
        <w:rPr>
          <w:rStyle w:val="FootnoteReference"/>
          <w:szCs w:val="18"/>
        </w:rPr>
        <w:footnoteReference w:id="6"/>
      </w:r>
      <w:r>
        <w:rPr>
          <w:szCs w:val="18"/>
        </w:rPr>
        <w:t xml:space="preserve">  </w:t>
      </w:r>
      <w:r w:rsidR="00424EEE">
        <w:rPr>
          <w:szCs w:val="18"/>
        </w:rPr>
        <w:t>E</w:t>
      </w:r>
      <w:r w:rsidRPr="00857030" w:rsidR="00424EEE">
        <w:rPr>
          <w:szCs w:val="18"/>
        </w:rPr>
        <w:t xml:space="preserve">ligible </w:t>
      </w:r>
      <w:r w:rsidRPr="00857030">
        <w:rPr>
          <w:szCs w:val="18"/>
        </w:rPr>
        <w:t>telecommunications carriers (ETCs) and their affiliates in the states or territories where the ETC is designated can elect to participate in the EBB Program by filing the appropriate information with USAC and do not need to seek approval from the Bureau</w:t>
      </w:r>
      <w:r w:rsidR="003C7CD2">
        <w:rPr>
          <w:szCs w:val="18"/>
        </w:rPr>
        <w:t xml:space="preserve"> in those states</w:t>
      </w:r>
      <w:r w:rsidRPr="00857030">
        <w:rPr>
          <w:szCs w:val="18"/>
        </w:rPr>
        <w:t>.</w:t>
      </w:r>
      <w:r>
        <w:rPr>
          <w:rStyle w:val="FootnoteReference"/>
          <w:szCs w:val="18"/>
        </w:rPr>
        <w:footnoteReference w:id="7"/>
      </w:r>
      <w:r w:rsidRPr="00857030">
        <w:rPr>
          <w:szCs w:val="18"/>
        </w:rPr>
        <w:t xml:space="preserve">  All other broadband providers need to seek approval from the Bureau to participate in the EBB Program.</w:t>
      </w:r>
      <w:r>
        <w:rPr>
          <w:rStyle w:val="FootnoteReference"/>
          <w:szCs w:val="18"/>
        </w:rPr>
        <w:footnoteReference w:id="8"/>
      </w:r>
      <w:r>
        <w:rPr>
          <w:szCs w:val="18"/>
        </w:rPr>
        <w:t xml:space="preserve">  Additionally, any provider seeking </w:t>
      </w:r>
      <w:r w:rsidR="00D94FFD">
        <w:rPr>
          <w:szCs w:val="18"/>
        </w:rPr>
        <w:t xml:space="preserve">to use an alternative verification process to </w:t>
      </w:r>
      <w:r w:rsidR="00B75217">
        <w:rPr>
          <w:szCs w:val="18"/>
        </w:rPr>
        <w:t xml:space="preserve">make </w:t>
      </w:r>
      <w:r w:rsidR="00D94FFD">
        <w:rPr>
          <w:szCs w:val="18"/>
        </w:rPr>
        <w:t>household</w:t>
      </w:r>
      <w:r w:rsidR="00B75217">
        <w:rPr>
          <w:szCs w:val="18"/>
        </w:rPr>
        <w:t xml:space="preserve"> eligibility determinations</w:t>
      </w:r>
      <w:r w:rsidR="00D94FFD">
        <w:rPr>
          <w:szCs w:val="18"/>
        </w:rPr>
        <w:t xml:space="preserve"> in the EBB Program </w:t>
      </w:r>
      <w:r w:rsidR="006B5274">
        <w:rPr>
          <w:szCs w:val="18"/>
        </w:rPr>
        <w:t>must</w:t>
      </w:r>
      <w:r w:rsidR="00D94FFD">
        <w:rPr>
          <w:szCs w:val="18"/>
        </w:rPr>
        <w:t xml:space="preserve"> seek approval from the Bureau.</w:t>
      </w:r>
      <w:r>
        <w:rPr>
          <w:rStyle w:val="FootnoteReference"/>
          <w:szCs w:val="18"/>
        </w:rPr>
        <w:footnoteReference w:id="9"/>
      </w:r>
    </w:p>
    <w:p w:rsidR="00551F1E" w:rsidP="007B4E8D" w14:paraId="3882B70C" w14:textId="0B38C640">
      <w:pPr>
        <w:keepNext/>
        <w:widowControl/>
        <w:spacing w:after="240"/>
        <w:ind w:firstLine="720"/>
        <w:rPr>
          <w:szCs w:val="18"/>
        </w:rPr>
      </w:pPr>
      <w:r>
        <w:rPr>
          <w:szCs w:val="18"/>
        </w:rPr>
        <w:t xml:space="preserve">In establishing these </w:t>
      </w:r>
      <w:r w:rsidR="00424EEE">
        <w:rPr>
          <w:szCs w:val="18"/>
        </w:rPr>
        <w:t xml:space="preserve">review </w:t>
      </w:r>
      <w:r>
        <w:rPr>
          <w:szCs w:val="18"/>
        </w:rPr>
        <w:t xml:space="preserve">processes, the Commission directed the Bureau to </w:t>
      </w:r>
      <w:r w:rsidR="00600767">
        <w:rPr>
          <w:szCs w:val="18"/>
        </w:rPr>
        <w:t>designate</w:t>
      </w:r>
      <w:r>
        <w:rPr>
          <w:szCs w:val="18"/>
        </w:rPr>
        <w:t xml:space="preserve"> a priority application deadline by which non-ETC providers seeking approval to participate in the EBB Program will have the opportunity to obtain </w:t>
      </w:r>
      <w:r w:rsidR="004C3AC1">
        <w:rPr>
          <w:szCs w:val="18"/>
        </w:rPr>
        <w:t xml:space="preserve">that </w:t>
      </w:r>
      <w:r>
        <w:rPr>
          <w:szCs w:val="18"/>
        </w:rPr>
        <w:t>approval prior to commencement of household enrollments.</w:t>
      </w:r>
      <w:r>
        <w:rPr>
          <w:rStyle w:val="FootnoteReference"/>
          <w:szCs w:val="18"/>
        </w:rPr>
        <w:footnoteReference w:id="10"/>
      </w:r>
      <w:r w:rsidR="00600767">
        <w:rPr>
          <w:szCs w:val="18"/>
        </w:rPr>
        <w:t xml:space="preserve">  Applications received after the priority application deadline will be expeditiously reviewed </w:t>
      </w:r>
      <w:r w:rsidR="00600767">
        <w:rPr>
          <w:szCs w:val="18"/>
        </w:rPr>
        <w:t>on a rolling basis.</w:t>
      </w:r>
      <w:r>
        <w:rPr>
          <w:rStyle w:val="FootnoteReference"/>
          <w:szCs w:val="18"/>
        </w:rPr>
        <w:footnoteReference w:id="11"/>
      </w:r>
      <w:r w:rsidR="00600767">
        <w:rPr>
          <w:szCs w:val="18"/>
        </w:rPr>
        <w:t xml:space="preserve">  </w:t>
      </w:r>
      <w:r>
        <w:rPr>
          <w:szCs w:val="18"/>
        </w:rPr>
        <w:t xml:space="preserve">Accordingly, the Bureau announces the </w:t>
      </w:r>
      <w:r w:rsidR="004C3AC1">
        <w:rPr>
          <w:szCs w:val="18"/>
        </w:rPr>
        <w:t xml:space="preserve">following </w:t>
      </w:r>
      <w:r>
        <w:rPr>
          <w:szCs w:val="18"/>
        </w:rPr>
        <w:t xml:space="preserve">milestone dates for </w:t>
      </w:r>
      <w:r w:rsidR="00600767">
        <w:rPr>
          <w:szCs w:val="18"/>
        </w:rPr>
        <w:t>the provider application and election processes.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1980"/>
        <w:gridCol w:w="1980"/>
      </w:tblGrid>
      <w:tr w14:paraId="31ECBBD6" w14:textId="77777777" w:rsidTr="00797AB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4788" w:type="dxa"/>
            <w:shd w:val="clear" w:color="auto" w:fill="D9D9D9"/>
            <w:vAlign w:val="center"/>
          </w:tcPr>
          <w:p w:rsidR="00424EEE" w:rsidRPr="006334B3" w:rsidP="006334B3" w14:paraId="653485EF" w14:textId="4BA0B90E">
            <w:pPr>
              <w:keepNext/>
              <w:widowControl/>
              <w:rPr>
                <w:b/>
                <w:bCs/>
                <w:szCs w:val="18"/>
              </w:rPr>
            </w:pPr>
            <w:r w:rsidRPr="006334B3">
              <w:rPr>
                <w:b/>
                <w:bCs/>
                <w:szCs w:val="18"/>
              </w:rPr>
              <w:t xml:space="preserve">EBB Program </w:t>
            </w:r>
            <w:r>
              <w:rPr>
                <w:b/>
                <w:bCs/>
                <w:szCs w:val="18"/>
              </w:rPr>
              <w:t>Milestone</w:t>
            </w:r>
          </w:p>
        </w:tc>
        <w:tc>
          <w:tcPr>
            <w:tcW w:w="1980" w:type="dxa"/>
            <w:shd w:val="clear" w:color="auto" w:fill="D9D9D9"/>
          </w:tcPr>
          <w:p w:rsidR="00424EEE" w:rsidRPr="006334B3" w:rsidP="006334B3" w14:paraId="408C5A30" w14:textId="6657EF25">
            <w:pPr>
              <w:keepNext/>
              <w:widowControl/>
              <w:rPr>
                <w:b/>
                <w:bCs/>
                <w:szCs w:val="18"/>
              </w:rPr>
            </w:pPr>
            <w:r>
              <w:rPr>
                <w:b/>
                <w:bCs/>
                <w:szCs w:val="18"/>
              </w:rPr>
              <w:t>Filing Location</w:t>
            </w:r>
          </w:p>
        </w:tc>
        <w:tc>
          <w:tcPr>
            <w:tcW w:w="1980" w:type="dxa"/>
            <w:shd w:val="clear" w:color="auto" w:fill="D9D9D9"/>
            <w:vAlign w:val="center"/>
          </w:tcPr>
          <w:p w:rsidR="00424EEE" w:rsidRPr="006334B3" w:rsidP="006334B3" w14:paraId="2B031FEE" w14:textId="2F0A7DE4">
            <w:pPr>
              <w:keepNext/>
              <w:widowControl/>
              <w:rPr>
                <w:b/>
                <w:bCs/>
                <w:szCs w:val="18"/>
              </w:rPr>
            </w:pPr>
            <w:r w:rsidRPr="006334B3">
              <w:rPr>
                <w:b/>
                <w:bCs/>
                <w:szCs w:val="18"/>
              </w:rPr>
              <w:t>Date</w:t>
            </w:r>
          </w:p>
        </w:tc>
      </w:tr>
      <w:tr w14:paraId="335C5915" w14:textId="77777777" w:rsidTr="007B4E8D">
        <w:tblPrEx>
          <w:tblW w:w="0" w:type="auto"/>
          <w:jc w:val="center"/>
          <w:tblLook w:val="04A0"/>
        </w:tblPrEx>
        <w:trPr>
          <w:jc w:val="center"/>
        </w:trPr>
        <w:tc>
          <w:tcPr>
            <w:tcW w:w="4788" w:type="dxa"/>
            <w:shd w:val="clear" w:color="auto" w:fill="auto"/>
            <w:vAlign w:val="center"/>
          </w:tcPr>
          <w:p w:rsidR="00424EEE" w:rsidRPr="006334B3" w:rsidP="00551F1E" w14:paraId="61EEDA6E" w14:textId="77D8B8A4">
            <w:pPr>
              <w:rPr>
                <w:szCs w:val="18"/>
              </w:rPr>
            </w:pPr>
            <w:r>
              <w:rPr>
                <w:szCs w:val="18"/>
              </w:rPr>
              <w:t>Non-ETC</w:t>
            </w:r>
            <w:r w:rsidRPr="006334B3">
              <w:rPr>
                <w:szCs w:val="18"/>
              </w:rPr>
              <w:t xml:space="preserve"> </w:t>
            </w:r>
            <w:r w:rsidRPr="006334B3">
              <w:rPr>
                <w:szCs w:val="18"/>
              </w:rPr>
              <w:t>Provider Application</w:t>
            </w:r>
            <w:r w:rsidR="00F2026E">
              <w:rPr>
                <w:szCs w:val="18"/>
              </w:rPr>
              <w:t xml:space="preserve"> &amp; Alternative Eligibility </w:t>
            </w:r>
            <w:r w:rsidR="00AD6D3E">
              <w:rPr>
                <w:szCs w:val="18"/>
              </w:rPr>
              <w:t xml:space="preserve">Verification </w:t>
            </w:r>
            <w:r w:rsidR="00F2026E">
              <w:rPr>
                <w:szCs w:val="18"/>
              </w:rPr>
              <w:t>Process</w:t>
            </w:r>
            <w:r w:rsidRPr="006334B3">
              <w:rPr>
                <w:szCs w:val="18"/>
              </w:rPr>
              <w:t xml:space="preserve"> Portal Opens</w:t>
            </w:r>
          </w:p>
        </w:tc>
        <w:tc>
          <w:tcPr>
            <w:tcW w:w="1980" w:type="dxa"/>
            <w:vAlign w:val="center"/>
          </w:tcPr>
          <w:p w:rsidR="00424EEE" w:rsidRPr="006334B3" w:rsidP="007B4E8D" w14:paraId="5B1F5B90" w14:textId="44CB9CAB">
            <w:pPr>
              <w:rPr>
                <w:szCs w:val="18"/>
              </w:rPr>
            </w:pPr>
            <w:r>
              <w:rPr>
                <w:szCs w:val="18"/>
              </w:rPr>
              <w:t>Bureau</w:t>
            </w:r>
          </w:p>
        </w:tc>
        <w:tc>
          <w:tcPr>
            <w:tcW w:w="1980" w:type="dxa"/>
            <w:shd w:val="clear" w:color="auto" w:fill="auto"/>
            <w:vAlign w:val="center"/>
          </w:tcPr>
          <w:p w:rsidR="00424EEE" w:rsidRPr="006334B3" w:rsidP="00551F1E" w14:paraId="233E9810" w14:textId="636CAC6A">
            <w:pPr>
              <w:rPr>
                <w:szCs w:val="18"/>
              </w:rPr>
            </w:pPr>
            <w:r w:rsidRPr="006334B3">
              <w:rPr>
                <w:szCs w:val="18"/>
              </w:rPr>
              <w:t>March 8, 2021</w:t>
            </w:r>
          </w:p>
        </w:tc>
      </w:tr>
      <w:tr w14:paraId="457B3735" w14:textId="77777777" w:rsidTr="007B4E8D">
        <w:tblPrEx>
          <w:tblW w:w="0" w:type="auto"/>
          <w:jc w:val="center"/>
          <w:tblLook w:val="04A0"/>
        </w:tblPrEx>
        <w:trPr>
          <w:jc w:val="center"/>
        </w:trPr>
        <w:tc>
          <w:tcPr>
            <w:tcW w:w="4788" w:type="dxa"/>
            <w:shd w:val="clear" w:color="auto" w:fill="auto"/>
            <w:vAlign w:val="center"/>
          </w:tcPr>
          <w:p w:rsidR="00424EEE" w:rsidRPr="006334B3" w:rsidP="00551F1E" w14:paraId="78D2481A" w14:textId="12E93308">
            <w:pPr>
              <w:rPr>
                <w:szCs w:val="18"/>
              </w:rPr>
            </w:pPr>
            <w:r w:rsidRPr="006334B3">
              <w:rPr>
                <w:szCs w:val="18"/>
              </w:rPr>
              <w:t>Provider Election Notice Inbox Opens</w:t>
            </w:r>
          </w:p>
        </w:tc>
        <w:tc>
          <w:tcPr>
            <w:tcW w:w="1980" w:type="dxa"/>
            <w:vAlign w:val="center"/>
          </w:tcPr>
          <w:p w:rsidR="00424EEE" w:rsidRPr="006334B3" w:rsidP="007B4E8D" w14:paraId="2A9EE85E" w14:textId="0F03D075">
            <w:pPr>
              <w:rPr>
                <w:szCs w:val="18"/>
              </w:rPr>
            </w:pPr>
            <w:r>
              <w:rPr>
                <w:szCs w:val="18"/>
              </w:rPr>
              <w:t>USAC</w:t>
            </w:r>
          </w:p>
        </w:tc>
        <w:tc>
          <w:tcPr>
            <w:tcW w:w="1980" w:type="dxa"/>
            <w:shd w:val="clear" w:color="auto" w:fill="auto"/>
            <w:vAlign w:val="center"/>
          </w:tcPr>
          <w:p w:rsidR="00424EEE" w:rsidRPr="006334B3" w:rsidP="00551F1E" w14:paraId="3625069B" w14:textId="5D088338">
            <w:pPr>
              <w:rPr>
                <w:szCs w:val="18"/>
              </w:rPr>
            </w:pPr>
            <w:r w:rsidRPr="006334B3">
              <w:rPr>
                <w:szCs w:val="18"/>
              </w:rPr>
              <w:t>March 11, 2021</w:t>
            </w:r>
          </w:p>
        </w:tc>
      </w:tr>
      <w:tr w14:paraId="690F78BC" w14:textId="77777777" w:rsidTr="007B4E8D">
        <w:tblPrEx>
          <w:tblW w:w="0" w:type="auto"/>
          <w:jc w:val="center"/>
          <w:tblLook w:val="04A0"/>
        </w:tblPrEx>
        <w:trPr>
          <w:jc w:val="center"/>
        </w:trPr>
        <w:tc>
          <w:tcPr>
            <w:tcW w:w="4788" w:type="dxa"/>
            <w:shd w:val="clear" w:color="auto" w:fill="auto"/>
            <w:vAlign w:val="center"/>
          </w:tcPr>
          <w:p w:rsidR="00424EEE" w:rsidRPr="006334B3" w:rsidP="00551F1E" w14:paraId="2301D05C" w14:textId="5951F9BB">
            <w:pPr>
              <w:rPr>
                <w:szCs w:val="18"/>
              </w:rPr>
            </w:pPr>
            <w:r>
              <w:rPr>
                <w:szCs w:val="18"/>
              </w:rPr>
              <w:t xml:space="preserve">Non-ETC </w:t>
            </w:r>
            <w:r w:rsidRPr="006334B3">
              <w:rPr>
                <w:szCs w:val="18"/>
              </w:rPr>
              <w:t>Provider Priority Application</w:t>
            </w:r>
            <w:r w:rsidR="00F2026E">
              <w:rPr>
                <w:szCs w:val="18"/>
              </w:rPr>
              <w:t xml:space="preserve"> &amp; Alternative Eligibility </w:t>
            </w:r>
            <w:r w:rsidR="00AD6D3E">
              <w:rPr>
                <w:szCs w:val="18"/>
              </w:rPr>
              <w:t xml:space="preserve">Verification </w:t>
            </w:r>
            <w:r w:rsidR="00F2026E">
              <w:rPr>
                <w:szCs w:val="18"/>
              </w:rPr>
              <w:t>Process</w:t>
            </w:r>
            <w:r w:rsidRPr="006334B3">
              <w:rPr>
                <w:szCs w:val="18"/>
              </w:rPr>
              <w:t xml:space="preserve"> Deadline</w:t>
            </w:r>
          </w:p>
        </w:tc>
        <w:tc>
          <w:tcPr>
            <w:tcW w:w="1980" w:type="dxa"/>
            <w:vAlign w:val="center"/>
          </w:tcPr>
          <w:p w:rsidR="00424EEE" w:rsidRPr="006334B3" w:rsidP="007B4E8D" w14:paraId="4F6885C9" w14:textId="7E50918C">
            <w:pPr>
              <w:rPr>
                <w:szCs w:val="18"/>
              </w:rPr>
            </w:pPr>
            <w:r>
              <w:rPr>
                <w:szCs w:val="18"/>
              </w:rPr>
              <w:t>Bureau</w:t>
            </w:r>
          </w:p>
        </w:tc>
        <w:tc>
          <w:tcPr>
            <w:tcW w:w="1980" w:type="dxa"/>
            <w:shd w:val="clear" w:color="auto" w:fill="auto"/>
            <w:vAlign w:val="center"/>
          </w:tcPr>
          <w:p w:rsidR="00424EEE" w:rsidRPr="006334B3" w:rsidP="00551F1E" w14:paraId="17A326AD" w14:textId="451A3DA0">
            <w:pPr>
              <w:rPr>
                <w:szCs w:val="18"/>
              </w:rPr>
            </w:pPr>
            <w:r w:rsidRPr="006334B3">
              <w:rPr>
                <w:szCs w:val="18"/>
              </w:rPr>
              <w:t xml:space="preserve">March </w:t>
            </w:r>
            <w:r w:rsidR="002E1F94">
              <w:rPr>
                <w:szCs w:val="18"/>
              </w:rPr>
              <w:t>22</w:t>
            </w:r>
            <w:r w:rsidRPr="006334B3">
              <w:rPr>
                <w:szCs w:val="18"/>
              </w:rPr>
              <w:t>, 2021</w:t>
            </w:r>
          </w:p>
        </w:tc>
      </w:tr>
    </w:tbl>
    <w:p w:rsidR="00551F1E" w:rsidRPr="00857030" w:rsidP="007B4E8D" w14:paraId="07B9758B" w14:textId="77777777">
      <w:pPr>
        <w:rPr>
          <w:szCs w:val="18"/>
        </w:rPr>
      </w:pPr>
    </w:p>
    <w:p w:rsidR="00857030" w:rsidRPr="009932CE" w:rsidP="007241C0" w14:paraId="282FDB94" w14:textId="53A49B4C">
      <w:pPr>
        <w:spacing w:after="120"/>
        <w:ind w:firstLine="720"/>
        <w:rPr>
          <w:szCs w:val="18"/>
        </w:rPr>
      </w:pPr>
      <w:r>
        <w:rPr>
          <w:szCs w:val="18"/>
        </w:rPr>
        <w:t xml:space="preserve">As discussed in the </w:t>
      </w:r>
      <w:r w:rsidR="00424EEE">
        <w:rPr>
          <w:i/>
          <w:iCs/>
          <w:szCs w:val="18"/>
        </w:rPr>
        <w:t xml:space="preserve">EBB Program </w:t>
      </w:r>
      <w:r w:rsidRPr="00E70090">
        <w:rPr>
          <w:i/>
          <w:iCs/>
          <w:szCs w:val="18"/>
        </w:rPr>
        <w:t>Order</w:t>
      </w:r>
      <w:r>
        <w:rPr>
          <w:szCs w:val="18"/>
        </w:rPr>
        <w:t xml:space="preserve">, the priority application </w:t>
      </w:r>
      <w:r w:rsidR="00762986">
        <w:rPr>
          <w:szCs w:val="18"/>
        </w:rPr>
        <w:t xml:space="preserve">deadline </w:t>
      </w:r>
      <w:r>
        <w:rPr>
          <w:szCs w:val="18"/>
        </w:rPr>
        <w:t xml:space="preserve">allows </w:t>
      </w:r>
      <w:r>
        <w:t xml:space="preserve">time for prospective providers to evaluate the rules of the EBB Program and prepare applications while </w:t>
      </w:r>
      <w:r w:rsidR="00762986">
        <w:t xml:space="preserve">at the same time </w:t>
      </w:r>
      <w:r>
        <w:t xml:space="preserve">also encouraging providers </w:t>
      </w:r>
      <w:r w:rsidR="00762986">
        <w:t>“</w:t>
      </w:r>
      <w:r>
        <w:t>to accelerate their consideration consistent with the need to quickly begin providing these supported broadband services.”</w:t>
      </w:r>
      <w:r>
        <w:rPr>
          <w:rStyle w:val="FootnoteReference"/>
        </w:rPr>
        <w:footnoteReference w:id="12"/>
      </w:r>
      <w:r>
        <w:rPr>
          <w:szCs w:val="18"/>
        </w:rPr>
        <w:t xml:space="preserve">  The Bureau anticipates a large number of provider applications and elections</w:t>
      </w:r>
      <w:r w:rsidR="00B15B7F">
        <w:rPr>
          <w:szCs w:val="18"/>
        </w:rPr>
        <w:t>,</w:t>
      </w:r>
      <w:r w:rsidR="00762986">
        <w:rPr>
          <w:szCs w:val="18"/>
        </w:rPr>
        <w:t xml:space="preserve"> and these </w:t>
      </w:r>
      <w:r>
        <w:rPr>
          <w:szCs w:val="18"/>
        </w:rPr>
        <w:t xml:space="preserve">deadlines reflect the </w:t>
      </w:r>
      <w:r w:rsidR="00762986">
        <w:rPr>
          <w:szCs w:val="18"/>
        </w:rPr>
        <w:t xml:space="preserve">time </w:t>
      </w:r>
      <w:r>
        <w:rPr>
          <w:szCs w:val="18"/>
        </w:rPr>
        <w:t xml:space="preserve">needed </w:t>
      </w:r>
      <w:r w:rsidR="00762986">
        <w:rPr>
          <w:szCs w:val="18"/>
        </w:rPr>
        <w:t xml:space="preserve">for the Bureau and USAC </w:t>
      </w:r>
      <w:r>
        <w:rPr>
          <w:szCs w:val="18"/>
        </w:rPr>
        <w:t xml:space="preserve">to review </w:t>
      </w:r>
      <w:r w:rsidR="00762986">
        <w:rPr>
          <w:szCs w:val="18"/>
        </w:rPr>
        <w:t xml:space="preserve">the filings </w:t>
      </w:r>
      <w:r>
        <w:rPr>
          <w:szCs w:val="18"/>
        </w:rPr>
        <w:t xml:space="preserve">and provide sufficient notice to providers prior to the start of the EBB Program.  </w:t>
      </w:r>
      <w:r w:rsidRPr="00E70090" w:rsidR="009932CE">
        <w:rPr>
          <w:szCs w:val="18"/>
        </w:rPr>
        <w:t>The</w:t>
      </w:r>
      <w:r w:rsidR="009932CE">
        <w:rPr>
          <w:szCs w:val="18"/>
        </w:rPr>
        <w:t xml:space="preserve"> Commission also directed the Bureau to announce </w:t>
      </w:r>
      <w:r w:rsidR="009932CE">
        <w:rPr>
          <w:szCs w:val="18"/>
        </w:rPr>
        <w:t>at a later date</w:t>
      </w:r>
      <w:r w:rsidR="009932CE">
        <w:rPr>
          <w:szCs w:val="18"/>
        </w:rPr>
        <w:t xml:space="preserve"> other administrative deadlines or milestones, such as when the EBB Program will begin and when providers may begin enrolling </w:t>
      </w:r>
      <w:r w:rsidR="00B15B7F">
        <w:rPr>
          <w:szCs w:val="18"/>
        </w:rPr>
        <w:t>households</w:t>
      </w:r>
      <w:r w:rsidR="009932CE">
        <w:rPr>
          <w:szCs w:val="18"/>
        </w:rPr>
        <w:t xml:space="preserve"> in the program.  The Commission expects that the EBB Program and enrollment process will begin in less than 60 days after the adoption of the </w:t>
      </w:r>
      <w:bookmarkStart w:id="2" w:name="_Hlk65673798"/>
      <w:r w:rsidR="00424EEE">
        <w:rPr>
          <w:i/>
          <w:iCs/>
          <w:szCs w:val="18"/>
        </w:rPr>
        <w:t xml:space="preserve">EBB Program </w:t>
      </w:r>
      <w:bookmarkEnd w:id="2"/>
      <w:r w:rsidR="009932CE">
        <w:rPr>
          <w:i/>
          <w:iCs/>
          <w:szCs w:val="18"/>
        </w:rPr>
        <w:t>Order</w:t>
      </w:r>
      <w:r w:rsidR="009932CE">
        <w:rPr>
          <w:szCs w:val="18"/>
        </w:rPr>
        <w:t>.</w:t>
      </w:r>
      <w:r>
        <w:rPr>
          <w:rStyle w:val="FootnoteReference"/>
          <w:szCs w:val="18"/>
        </w:rPr>
        <w:footnoteReference w:id="13"/>
      </w:r>
      <w:r w:rsidR="009932CE">
        <w:rPr>
          <w:szCs w:val="18"/>
        </w:rPr>
        <w:t xml:space="preserve">  The Bureau will announce in a future public notice the official commencement.</w:t>
      </w:r>
    </w:p>
    <w:p w:rsidR="00F2026E" w:rsidP="009932CE" w14:paraId="48C7F4C8" w14:textId="50305706">
      <w:pPr>
        <w:spacing w:after="120"/>
        <w:ind w:firstLine="720"/>
        <w:rPr>
          <w:szCs w:val="18"/>
        </w:rPr>
      </w:pPr>
      <w:r>
        <w:rPr>
          <w:szCs w:val="18"/>
        </w:rPr>
        <w:t xml:space="preserve">Providers seeking to participate in the EBB Program or receive approval of an alternative eligibility verification process must </w:t>
      </w:r>
      <w:r w:rsidRPr="009932CE">
        <w:rPr>
          <w:szCs w:val="18"/>
        </w:rPr>
        <w:t xml:space="preserve">review all applicable program requirements and procedures as set forth in the </w:t>
      </w:r>
      <w:r w:rsidR="009A067C">
        <w:rPr>
          <w:i/>
          <w:iCs/>
          <w:szCs w:val="18"/>
        </w:rPr>
        <w:t xml:space="preserve">EBB Program </w:t>
      </w:r>
      <w:r>
        <w:rPr>
          <w:i/>
          <w:iCs/>
          <w:szCs w:val="18"/>
        </w:rPr>
        <w:t>Order</w:t>
      </w:r>
      <w:r>
        <w:rPr>
          <w:szCs w:val="18"/>
        </w:rPr>
        <w:t xml:space="preserve"> </w:t>
      </w:r>
      <w:r w:rsidRPr="009932CE">
        <w:rPr>
          <w:szCs w:val="18"/>
        </w:rPr>
        <w:t>and any subsequent guidance for compliance with the EBB Program’s requirements.</w:t>
      </w:r>
      <w:r>
        <w:rPr>
          <w:szCs w:val="18"/>
        </w:rPr>
        <w:t xml:space="preserve">  T</w:t>
      </w:r>
      <w:r w:rsidR="00E2522E">
        <w:rPr>
          <w:szCs w:val="18"/>
        </w:rPr>
        <w:t>o assist, t</w:t>
      </w:r>
      <w:r>
        <w:rPr>
          <w:szCs w:val="18"/>
        </w:rPr>
        <w:t xml:space="preserve">he Bureau has created a webpage providing additional information about these approval processes and how to submit an application: </w:t>
      </w:r>
      <w:hyperlink r:id="rId5" w:history="1">
        <w:r w:rsidRPr="00AA468E">
          <w:rPr>
            <w:rStyle w:val="Hyperlink"/>
            <w:szCs w:val="18"/>
          </w:rPr>
          <w:t>https://www.fcc.gov/emergency-broadband-benefit-program</w:t>
        </w:r>
      </w:hyperlink>
      <w:r>
        <w:rPr>
          <w:szCs w:val="18"/>
        </w:rPr>
        <w:t xml:space="preserve">.  </w:t>
      </w:r>
      <w:r>
        <w:rPr>
          <w:szCs w:val="18"/>
        </w:rPr>
        <w:t xml:space="preserve">Providers should use the same online application portal for </w:t>
      </w:r>
      <w:r w:rsidR="00116781">
        <w:rPr>
          <w:szCs w:val="18"/>
        </w:rPr>
        <w:t>n</w:t>
      </w:r>
      <w:r>
        <w:rPr>
          <w:szCs w:val="18"/>
        </w:rPr>
        <w:t xml:space="preserve">on-ETC provider </w:t>
      </w:r>
      <w:r w:rsidR="00B15B7F">
        <w:rPr>
          <w:szCs w:val="18"/>
        </w:rPr>
        <w:t>applications</w:t>
      </w:r>
      <w:r>
        <w:rPr>
          <w:szCs w:val="18"/>
        </w:rPr>
        <w:t xml:space="preserve"> and </w:t>
      </w:r>
      <w:r w:rsidR="00B15B7F">
        <w:rPr>
          <w:szCs w:val="18"/>
        </w:rPr>
        <w:t xml:space="preserve">requests for approval of an </w:t>
      </w:r>
      <w:r>
        <w:rPr>
          <w:szCs w:val="18"/>
        </w:rPr>
        <w:t>alternative eligibility verification process.  This online application portal will be available on the Bureau’s webpage under the “Provider FCC Approvals” section beginning March 8, 2021.</w:t>
      </w:r>
      <w:r w:rsidR="00116781">
        <w:rPr>
          <w:szCs w:val="18"/>
        </w:rPr>
        <w:t xml:space="preserve">  Non-ETCs </w:t>
      </w:r>
      <w:r w:rsidR="00116781">
        <w:t>that file complete applications for approval meeting the necessary criteria by the priority application deadline will know of their status prior to the start date for the EBB Program.</w:t>
      </w:r>
      <w:r>
        <w:rPr>
          <w:rStyle w:val="FootnoteReference"/>
        </w:rPr>
        <w:footnoteReference w:id="14"/>
      </w:r>
      <w:r w:rsidR="00116781">
        <w:rPr>
          <w:szCs w:val="18"/>
        </w:rPr>
        <w:t xml:space="preserve">  These providers should obtain Bureau approval prior to filing their elections with USAC.</w:t>
      </w:r>
      <w:r>
        <w:rPr>
          <w:rStyle w:val="FootnoteReference"/>
          <w:szCs w:val="18"/>
        </w:rPr>
        <w:footnoteReference w:id="15"/>
      </w:r>
      <w:r w:rsidR="00116781">
        <w:rPr>
          <w:szCs w:val="18"/>
        </w:rPr>
        <w:t xml:space="preserve">  </w:t>
      </w:r>
    </w:p>
    <w:p w:rsidR="00B60E6E" w:rsidRPr="00CF6F4F" w:rsidP="009932CE" w14:paraId="47F98A7C" w14:textId="0D21B72E">
      <w:pPr>
        <w:spacing w:after="120"/>
        <w:ind w:firstLine="720"/>
        <w:rPr>
          <w:szCs w:val="18"/>
        </w:rPr>
      </w:pPr>
      <w:r>
        <w:rPr>
          <w:szCs w:val="18"/>
        </w:rPr>
        <w:t>Further information about the EBB Program, USAC’s role, and the provider election process can be found on the USAC</w:t>
      </w:r>
      <w:bookmarkStart w:id="3" w:name="_GoBack"/>
      <w:bookmarkEnd w:id="3"/>
      <w:r>
        <w:rPr>
          <w:szCs w:val="18"/>
        </w:rPr>
        <w:t xml:space="preserve"> webpage: </w:t>
      </w:r>
      <w:hyperlink r:id="rId6" w:history="1">
        <w:r w:rsidRPr="00AA468E">
          <w:rPr>
            <w:rStyle w:val="Hyperlink"/>
            <w:szCs w:val="18"/>
          </w:rPr>
          <w:t>https://www.usac.org/about/emergency-broadband-benefit-program/</w:t>
        </w:r>
      </w:hyperlink>
      <w:r>
        <w:rPr>
          <w:szCs w:val="18"/>
        </w:rPr>
        <w:t xml:space="preserve">.  </w:t>
      </w:r>
      <w:r w:rsidR="00116781">
        <w:rPr>
          <w:szCs w:val="18"/>
        </w:rPr>
        <w:t>Providers seeking to file election notices should review the instructional information found on the USAC webpage for details about required information and how to submit the election.</w:t>
      </w:r>
      <w:r>
        <w:rPr>
          <w:szCs w:val="18"/>
        </w:rPr>
        <w:t xml:space="preserve"> </w:t>
      </w:r>
      <w:bookmarkEnd w:id="1"/>
      <w:r w:rsidR="00D425AD">
        <w:rPr>
          <w:szCs w:val="18"/>
        </w:rPr>
        <w:t xml:space="preserve"> B</w:t>
      </w:r>
      <w:r w:rsidRPr="00D425AD" w:rsidR="00D425AD">
        <w:rPr>
          <w:szCs w:val="18"/>
        </w:rPr>
        <w:t xml:space="preserve">eginning March 11, providers can submit their forms and required attachments via email to </w:t>
      </w:r>
      <w:hyperlink r:id="rId7" w:tgtFrame="_blank" w:history="1">
        <w:r w:rsidRPr="00D425AD" w:rsidR="00D425AD">
          <w:rPr>
            <w:rStyle w:val="Hyperlink"/>
            <w:szCs w:val="18"/>
          </w:rPr>
          <w:t>EBBElection@usac.org</w:t>
        </w:r>
      </w:hyperlink>
      <w:r w:rsidR="00D425AD">
        <w:rPr>
          <w:szCs w:val="18"/>
        </w:rPr>
        <w:t>.</w:t>
      </w:r>
      <w:r w:rsidRPr="00D425AD" w:rsidR="00D425AD">
        <w:rPr>
          <w:szCs w:val="18"/>
        </w:rPr>
        <w:t xml:space="preserve"> </w:t>
      </w:r>
      <w:r w:rsidR="00D425AD">
        <w:rPr>
          <w:szCs w:val="18"/>
        </w:rPr>
        <w:t xml:space="preserve">The </w:t>
      </w:r>
      <w:r w:rsidRPr="00D425AD" w:rsidR="00D425AD">
        <w:rPr>
          <w:szCs w:val="18"/>
        </w:rPr>
        <w:t xml:space="preserve">form and directions will be available soon at </w:t>
      </w:r>
      <w:hyperlink r:id="rId8" w:history="1">
        <w:r w:rsidRPr="00D425AD" w:rsidR="00D425AD">
          <w:rPr>
            <w:rStyle w:val="Hyperlink"/>
            <w:szCs w:val="18"/>
          </w:rPr>
          <w:t>https://www.usac.org/about/emergency-broadband-benefit-program/system-resources/get-started</w:t>
        </w:r>
      </w:hyperlink>
      <w:r w:rsidRPr="00D425AD" w:rsidR="00D425AD">
        <w:rPr>
          <w:szCs w:val="18"/>
        </w:rPr>
        <w:t>.</w:t>
      </w:r>
    </w:p>
    <w:p w:rsidR="00930ECF" w:rsidRPr="00191F58" w:rsidP="00E355B2" w14:paraId="0339FDE7" w14:textId="0A5C60F9">
      <w:pPr>
        <w:keepNext/>
        <w:widowControl/>
        <w:jc w:val="center"/>
        <w:rPr>
          <w:b/>
          <w:bCs/>
          <w:szCs w:val="18"/>
        </w:rPr>
      </w:pPr>
      <w:r>
        <w:rPr>
          <w:b/>
          <w:bCs/>
          <w:szCs w:val="18"/>
        </w:rPr>
        <w:t xml:space="preserve">- </w:t>
      </w:r>
      <w:r w:rsidRPr="00191F58" w:rsidR="00754B58">
        <w:rPr>
          <w:b/>
          <w:bCs/>
          <w:szCs w:val="18"/>
        </w:rPr>
        <w:t>FCC</w:t>
      </w:r>
      <w:r>
        <w:rPr>
          <w:b/>
          <w:bCs/>
          <w:szCs w:val="18"/>
        </w:rPr>
        <w:t xml:space="preserve"> </w:t>
      </w:r>
      <w:r w:rsidRPr="00191F58" w:rsidR="00754B58">
        <w:rPr>
          <w:b/>
          <w:bCs/>
          <w:szCs w:val="18"/>
        </w:rPr>
        <w:t>-</w:t>
      </w: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95D9BC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72EF7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AB5E2F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56C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34B3" w14:paraId="7CAA1987" w14:textId="77777777">
      <w:r>
        <w:separator/>
      </w:r>
    </w:p>
  </w:footnote>
  <w:footnote w:type="continuationSeparator" w:id="1">
    <w:p w:rsidR="006334B3" w14:paraId="0010281B" w14:textId="77777777">
      <w:pPr>
        <w:rPr>
          <w:sz w:val="20"/>
        </w:rPr>
      </w:pPr>
      <w:r>
        <w:rPr>
          <w:sz w:val="20"/>
        </w:rPr>
        <w:t xml:space="preserve">(Continued from previous page)  </w:t>
      </w:r>
      <w:r>
        <w:rPr>
          <w:sz w:val="20"/>
        </w:rPr>
        <w:separator/>
      </w:r>
    </w:p>
  </w:footnote>
  <w:footnote w:type="continuationNotice" w:id="2">
    <w:p w:rsidR="006334B3" w:rsidP="00910F12" w14:paraId="3EC16D10" w14:textId="77777777">
      <w:pPr>
        <w:jc w:val="right"/>
        <w:rPr>
          <w:sz w:val="20"/>
        </w:rPr>
      </w:pPr>
      <w:r>
        <w:rPr>
          <w:sz w:val="20"/>
        </w:rPr>
        <w:t>(continued….)</w:t>
      </w:r>
    </w:p>
  </w:footnote>
  <w:footnote w:id="3">
    <w:p w:rsidR="002F49F2" w:rsidP="002F49F2" w14:paraId="15A610CD" w14:textId="77777777">
      <w:pPr>
        <w:pStyle w:val="FootnoteText"/>
      </w:pPr>
      <w:r>
        <w:rPr>
          <w:rStyle w:val="FootnoteReference"/>
        </w:rPr>
        <w:footnoteRef/>
      </w:r>
      <w:r>
        <w:t xml:space="preserve"> Consolidated Appropriations Act, 2021, Pub. L. No. </w:t>
      </w:r>
      <w:r w:rsidRPr="00006EAB">
        <w:t>116-260</w:t>
      </w:r>
      <w:r>
        <w:t xml:space="preserve">, div. N, tit. IX, § 904, 134 Stat. 1182, 2130 (2020), </w:t>
      </w:r>
      <w:r w:rsidRPr="007D7DF8">
        <w:rPr>
          <w:i/>
          <w:iCs/>
        </w:rPr>
        <w:t>available at</w:t>
      </w:r>
      <w:r>
        <w:t xml:space="preserve"> </w:t>
      </w:r>
      <w:hyperlink r:id="rId1" w:history="1">
        <w:r w:rsidRPr="00E373FE">
          <w:rPr>
            <w:rStyle w:val="Hyperlink"/>
          </w:rPr>
          <w:t>https://www.congress.gov/bill/116th-congress/house-bill/133/text</w:t>
        </w:r>
      </w:hyperlink>
      <w:r>
        <w:t xml:space="preserve"> (Consolidated Appropriations Act).</w:t>
      </w:r>
    </w:p>
  </w:footnote>
  <w:footnote w:id="4">
    <w:p w:rsidR="002F49F2" w:rsidRPr="00C75F05" w:rsidP="002F49F2" w14:paraId="5D28D66D" w14:textId="41365B10">
      <w:pPr>
        <w:pStyle w:val="FootnoteText"/>
      </w:pPr>
      <w:r>
        <w:rPr>
          <w:rStyle w:val="FootnoteReference"/>
        </w:rPr>
        <w:footnoteRef/>
      </w:r>
      <w:r>
        <w:t xml:space="preserve"> </w:t>
      </w:r>
      <w:r>
        <w:rPr>
          <w:i/>
          <w:iCs/>
        </w:rPr>
        <w:t xml:space="preserve">See </w:t>
      </w:r>
      <w:r w:rsidRPr="00C75F05">
        <w:rPr>
          <w:i/>
          <w:iCs/>
        </w:rPr>
        <w:t>Emergency Broadband Benefit Program</w:t>
      </w:r>
      <w:r>
        <w:t>, WC Docket No. 20-445, Report and Order, FCC 21-29 (2021) (</w:t>
      </w:r>
      <w:r>
        <w:rPr>
          <w:i/>
          <w:iCs/>
        </w:rPr>
        <w:t>EBB Program Order</w:t>
      </w:r>
      <w:r>
        <w:t xml:space="preserve">). </w:t>
      </w:r>
    </w:p>
  </w:footnote>
  <w:footnote w:id="5">
    <w:p w:rsidR="00857030" w:rsidRPr="00857030" w14:paraId="466D11EB" w14:textId="0AB2F866">
      <w:pPr>
        <w:pStyle w:val="FootnoteText"/>
      </w:pPr>
      <w:r>
        <w:rPr>
          <w:rStyle w:val="FootnoteReference"/>
        </w:rPr>
        <w:footnoteRef/>
      </w:r>
      <w:r>
        <w:t xml:space="preserve"> </w:t>
      </w:r>
      <w:r>
        <w:rPr>
          <w:i/>
          <w:iCs/>
        </w:rPr>
        <w:t>EBB Program Order</w:t>
      </w:r>
      <w:r>
        <w:t>, at para. 11.</w:t>
      </w:r>
    </w:p>
  </w:footnote>
  <w:footnote w:id="6">
    <w:p w:rsidR="00857030" w:rsidRPr="00857030" w14:paraId="71DDC9E6" w14:textId="10BDC998">
      <w:pPr>
        <w:pStyle w:val="FootnoteText"/>
      </w:pPr>
      <w:r>
        <w:rPr>
          <w:rStyle w:val="FootnoteReference"/>
        </w:rPr>
        <w:footnoteRef/>
      </w:r>
      <w:r>
        <w:t xml:space="preserve"> </w:t>
      </w:r>
      <w:r>
        <w:rPr>
          <w:i/>
          <w:iCs/>
        </w:rPr>
        <w:t>Id.</w:t>
      </w:r>
      <w:r>
        <w:t xml:space="preserve"> at para. 15.</w:t>
      </w:r>
    </w:p>
  </w:footnote>
  <w:footnote w:id="7">
    <w:p w:rsidR="00857030" w:rsidRPr="00857030" w14:paraId="3AEFA6BB" w14:textId="6A3FF684">
      <w:pPr>
        <w:pStyle w:val="FootnoteText"/>
      </w:pPr>
      <w:r>
        <w:rPr>
          <w:rStyle w:val="FootnoteReference"/>
        </w:rPr>
        <w:footnoteRef/>
      </w:r>
      <w:r>
        <w:t xml:space="preserve"> </w:t>
      </w:r>
      <w:r>
        <w:rPr>
          <w:i/>
          <w:iCs/>
        </w:rPr>
        <w:t>Id.</w:t>
      </w:r>
    </w:p>
  </w:footnote>
  <w:footnote w:id="8">
    <w:p w:rsidR="00857030" w:rsidRPr="00857030" w14:paraId="01C6C69D" w14:textId="31F56799">
      <w:pPr>
        <w:pStyle w:val="FootnoteText"/>
      </w:pPr>
      <w:r>
        <w:rPr>
          <w:rStyle w:val="FootnoteReference"/>
        </w:rPr>
        <w:footnoteRef/>
      </w:r>
      <w:r>
        <w:t xml:space="preserve"> </w:t>
      </w:r>
      <w:r>
        <w:rPr>
          <w:i/>
          <w:iCs/>
        </w:rPr>
        <w:t>Id.</w:t>
      </w:r>
      <w:r>
        <w:t xml:space="preserve"> at para. 25.</w:t>
      </w:r>
    </w:p>
  </w:footnote>
  <w:footnote w:id="9">
    <w:p w:rsidR="00D94FFD" w:rsidRPr="00D94FFD" w14:paraId="586C9BB6" w14:textId="00ECE6D8">
      <w:pPr>
        <w:pStyle w:val="FootnoteText"/>
      </w:pPr>
      <w:r>
        <w:rPr>
          <w:rStyle w:val="FootnoteReference"/>
        </w:rPr>
        <w:footnoteRef/>
      </w:r>
      <w:r>
        <w:t xml:space="preserve"> </w:t>
      </w:r>
      <w:r>
        <w:rPr>
          <w:i/>
          <w:iCs/>
        </w:rPr>
        <w:t>Id.</w:t>
      </w:r>
      <w:r>
        <w:t xml:space="preserve"> at para. 62.</w:t>
      </w:r>
    </w:p>
  </w:footnote>
  <w:footnote w:id="10">
    <w:p w:rsidR="00D94FFD" w:rsidRPr="00D94FFD" w14:paraId="3AFB46F8" w14:textId="4A8602C8">
      <w:pPr>
        <w:pStyle w:val="FootnoteText"/>
      </w:pPr>
      <w:r>
        <w:rPr>
          <w:rStyle w:val="FootnoteReference"/>
        </w:rPr>
        <w:footnoteRef/>
      </w:r>
      <w:r>
        <w:t xml:space="preserve"> </w:t>
      </w:r>
      <w:r>
        <w:rPr>
          <w:i/>
          <w:iCs/>
        </w:rPr>
        <w:t>Id.</w:t>
      </w:r>
      <w:r>
        <w:t xml:space="preserve"> at para. 15. </w:t>
      </w:r>
    </w:p>
  </w:footnote>
  <w:footnote w:id="11">
    <w:p w:rsidR="00600767" w:rsidRPr="00600767" w14:paraId="576B9143" w14:textId="00608D38">
      <w:pPr>
        <w:pStyle w:val="FootnoteText"/>
      </w:pPr>
      <w:r>
        <w:rPr>
          <w:rStyle w:val="FootnoteReference"/>
        </w:rPr>
        <w:footnoteRef/>
      </w:r>
      <w:r>
        <w:t xml:space="preserve"> </w:t>
      </w:r>
      <w:r>
        <w:rPr>
          <w:i/>
          <w:iCs/>
        </w:rPr>
        <w:t>Id.</w:t>
      </w:r>
      <w:r>
        <w:t xml:space="preserve"> at para. 25.</w:t>
      </w:r>
    </w:p>
  </w:footnote>
  <w:footnote w:id="12">
    <w:p w:rsidR="00E70090" w:rsidRPr="00EF5854" w14:paraId="1EE37F31" w14:textId="26C3E943">
      <w:pPr>
        <w:pStyle w:val="FootnoteText"/>
      </w:pPr>
      <w:r>
        <w:rPr>
          <w:rStyle w:val="FootnoteReference"/>
        </w:rPr>
        <w:footnoteRef/>
      </w:r>
      <w:r>
        <w:t xml:space="preserve"> </w:t>
      </w:r>
      <w:r w:rsidR="00EF5854">
        <w:rPr>
          <w:i/>
          <w:iCs/>
        </w:rPr>
        <w:t>Id.</w:t>
      </w:r>
      <w:r w:rsidR="00EF5854">
        <w:t xml:space="preserve"> at para. 15.</w:t>
      </w:r>
    </w:p>
  </w:footnote>
  <w:footnote w:id="13">
    <w:p w:rsidR="005B4FF9" w:rsidRPr="005B4FF9" w14:paraId="2BA81493" w14:textId="3FA1B590">
      <w:pPr>
        <w:pStyle w:val="FootnoteText"/>
      </w:pPr>
      <w:r>
        <w:rPr>
          <w:rStyle w:val="FootnoteReference"/>
        </w:rPr>
        <w:footnoteRef/>
      </w:r>
      <w:r>
        <w:t xml:space="preserve"> </w:t>
      </w:r>
      <w:r>
        <w:rPr>
          <w:i/>
          <w:iCs/>
        </w:rPr>
        <w:t>Id.</w:t>
      </w:r>
      <w:r>
        <w:t xml:space="preserve"> at para. 11.</w:t>
      </w:r>
    </w:p>
  </w:footnote>
  <w:footnote w:id="14">
    <w:p w:rsidR="00116781" w:rsidRPr="00116781" w14:paraId="0E823B78" w14:textId="3D0D8CC2">
      <w:pPr>
        <w:pStyle w:val="FootnoteText"/>
      </w:pPr>
      <w:r>
        <w:rPr>
          <w:rStyle w:val="FootnoteReference"/>
        </w:rPr>
        <w:footnoteRef/>
      </w:r>
      <w:r>
        <w:t xml:space="preserve"> </w:t>
      </w:r>
      <w:r>
        <w:rPr>
          <w:i/>
          <w:iCs/>
        </w:rPr>
        <w:t>Id.</w:t>
      </w:r>
      <w:r>
        <w:t xml:space="preserve"> at para. 15.</w:t>
      </w:r>
    </w:p>
  </w:footnote>
  <w:footnote w:id="15">
    <w:p w:rsidR="00116781" w:rsidRPr="00116781" w14:paraId="0BCFCA89" w14:textId="15BF6A08">
      <w:pPr>
        <w:pStyle w:val="FootnoteText"/>
      </w:pPr>
      <w:r>
        <w:rPr>
          <w:rStyle w:val="FootnoteReference"/>
        </w:rPr>
        <w:footnoteRef/>
      </w:r>
      <w:r>
        <w:t xml:space="preserve"> </w:t>
      </w:r>
      <w:r w:rsidRPr="00116781">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08FCFB1" w14:textId="445CBBC4">
    <w:pPr>
      <w:tabs>
        <w:tab w:val="center" w:pos="4680"/>
        <w:tab w:val="right" w:pos="9360"/>
      </w:tabs>
    </w:pPr>
    <w:r w:rsidRPr="009838BC">
      <w:rPr>
        <w:b/>
      </w:rPr>
      <w:tab/>
      <w:t>Federal Communications Commission</w:t>
    </w:r>
    <w:r w:rsidRPr="009838BC">
      <w:rPr>
        <w:b/>
      </w:rPr>
      <w:tab/>
    </w:r>
    <w:r w:rsidR="00E355B2">
      <w:rPr>
        <w:b/>
      </w:rPr>
      <w:t>DA 21-</w:t>
    </w:r>
    <w:r w:rsidR="00604B90">
      <w:rPr>
        <w:b/>
      </w:rPr>
      <w:t>265</w:t>
    </w:r>
  </w:p>
  <w:p w:rsidR="009838BC" w:rsidRPr="009838BC" w:rsidP="009838BC" w14:paraId="481F8188" w14:textId="77777777">
    <w:pPr>
      <w:tabs>
        <w:tab w:val="left" w:pos="-720"/>
      </w:tabs>
      <w:suppressAutoHyphens/>
      <w:spacing w:line="19" w:lineRule="exact"/>
      <w:rPr>
        <w:spacing w:val="-2"/>
      </w:rPr>
    </w:pPr>
    <w:r>
      <w:rPr>
        <w:noProof/>
      </w:rPr>
      <w:pict>
        <v:rect id="Rectangle 15" o:spid="_x0000_s2049" style="width:468pt;height:0.95pt;margin-top:0;margin-left:0;mso-height-percent:0;mso-position-horizontal-relative:margin;mso-width-percent:0;mso-wrap-edited:f;position:absolute;visibility:visible;z-index:-251654144" o:allowincell="f" fillcolor="black" stroked="f" strokeweight="0.05pt">
          <w10:wrap anchorx="margin"/>
        </v:rect>
      </w:pict>
    </w:r>
  </w:p>
  <w:p w:rsidR="009838BC" w:rsidRPr="009838BC" w:rsidP="009838BC" w14:paraId="7BB91C2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35CAB48"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position-horizontal-relative:margin;mso-width-percent:0;mso-wrap-edited:f;mso-wrap-style:square;position:absolute;visibility:visible;v-text-anchor:top;z-index:251658240" o:allowincell="f" stroked="f">
          <v:textbox>
            <w:txbxContent>
              <w:p w:rsidR="009838BC" w:rsidP="009838BC" w14:paraId="0788A0C3" w14:textId="77777777">
                <w:pPr>
                  <w:rPr>
                    <w:rFonts w:ascii="Arial" w:hAnsi="Arial"/>
                    <w:b/>
                  </w:rPr>
                </w:pPr>
                <w:r>
                  <w:rPr>
                    <w:rFonts w:ascii="Arial" w:hAnsi="Arial"/>
                    <w:b/>
                  </w:rPr>
                  <w:t>Federal Communications Commission</w:t>
                </w:r>
              </w:p>
              <w:p w:rsidR="009838BC" w:rsidP="009838BC" w14:paraId="1F8C1F0D" w14:textId="07B8C504">
                <w:pPr>
                  <w:rPr>
                    <w:rFonts w:ascii="Arial" w:hAnsi="Arial"/>
                    <w:b/>
                  </w:rPr>
                </w:pPr>
                <w:r w:rsidRPr="00184BB4">
                  <w:rPr>
                    <w:rFonts w:ascii="Arial" w:hAnsi="Arial"/>
                    <w:b/>
                  </w:rPr>
                  <w:t>45 L Street NE</w:t>
                </w:r>
              </w:p>
              <w:p w:rsidR="009838BC" w:rsidP="009838BC" w14:paraId="5D9007C2" w14:textId="5F578808">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mso-height-percent:0;mso-width-percent:0;mso-wrap-edited:f;position:absolute;visibility:visible;z-index:251659264" o:allowincell="f">
          <v:imagedata r:id="rId1" o:title="fcc_logo"/>
          <w10:wrap type="topAndBottom"/>
        </v:shape>
      </w:pict>
    </w:r>
    <w:r w:rsidRPr="00A866AC" w:rsidR="0078377C">
      <w:rPr>
        <w:rFonts w:ascii="Arial" w:hAnsi="Arial" w:cs="Arial"/>
        <w:b/>
        <w:sz w:val="96"/>
      </w:rPr>
      <w:t>PUBLIC NOTICE</w:t>
    </w:r>
  </w:p>
  <w:p w:rsidR="009838BC" w:rsidRPr="00357D50" w:rsidP="009838BC" w14:paraId="6523AA1E" w14:textId="77777777">
    <w:pPr>
      <w:spacing w:before="40"/>
      <w:rPr>
        <w:rFonts w:ascii="Arial" w:hAnsi="Arial" w:cs="Arial"/>
        <w:b/>
        <w:sz w:val="96"/>
      </w:rPr>
    </w:pPr>
    <w:r>
      <w:rPr>
        <w:noProof/>
      </w:rPr>
      <w:pict>
        <v:line id="Straight Connector 10" o:spid="_x0000_s2052" style="mso-height-percent:0;mso-position-horizontal:right;mso-position-horizontal-relative:margin;mso-width-percent:0;mso-wrap-distance-bottom:0;mso-wrap-distance-top:0;mso-wrap-edited:f;position:absolute;visibility:visible;z-index:251660288" from="7085.6pt,56.7pt" to="7553.6pt,56.7pt" o:allowincell="f">
          <w10:wrap anchorx="margin"/>
        </v:line>
      </w:pict>
    </w:r>
    <w:r>
      <w:rPr>
        <w:noProof/>
      </w:rPr>
      <w:pict>
        <v:shape id="Text Box 9" o:spid="_x0000_s2053" type="#_x0000_t202" style="width:207.95pt;height:35.25pt;margin-top:14.05pt;margin-left:263.25pt;mso-height-percent:0;mso-width-percent:0;mso-wrap-edited:f;mso-wrap-style:square;position:absolute;visibility:visible;v-text-anchor:top;z-index:251661312" o:allowincell="f" stroked="f">
          <v:textbox inset=",0,,0">
            <w:txbxContent>
              <w:p w:rsidR="009838BC" w:rsidP="009838BC" w14:paraId="397A9F18" w14:textId="77777777">
                <w:pPr>
                  <w:spacing w:before="40"/>
                  <w:jc w:val="right"/>
                  <w:rPr>
                    <w:rFonts w:ascii="Arial" w:hAnsi="Arial"/>
                    <w:b/>
                    <w:sz w:val="16"/>
                  </w:rPr>
                </w:pPr>
                <w:r>
                  <w:rPr>
                    <w:rFonts w:ascii="Arial" w:hAnsi="Arial"/>
                    <w:b/>
                    <w:sz w:val="16"/>
                  </w:rPr>
                  <w:t>News Media Information 202 / 418-0500</w:t>
                </w:r>
              </w:p>
              <w:p w:rsidR="009838BC" w:rsidP="009838BC" w14:paraId="30362779"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289518F0" w14:textId="77777777">
                <w:pPr>
                  <w:jc w:val="right"/>
                </w:pPr>
                <w:r>
                  <w:rPr>
                    <w:rFonts w:ascii="Arial" w:hAnsi="Arial"/>
                    <w:b/>
                    <w:sz w:val="16"/>
                  </w:rPr>
                  <w:t>TTY: 1-888-835-5322</w:t>
                </w:r>
              </w:p>
            </w:txbxContent>
          </v:textbox>
        </v:shape>
      </w:pict>
    </w:r>
  </w:p>
  <w:p w:rsidR="006F7393" w:rsidRPr="009838BC" w:rsidP="009838BC" w14:paraId="24422D3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846860"/>
    <w:multiLevelType w:val="hybridMultilevel"/>
    <w:tmpl w:val="04DCC3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3EB58C9"/>
    <w:multiLevelType w:val="hybridMultilevel"/>
    <w:tmpl w:val="DE667546"/>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DB"/>
    <w:rsid w:val="00006EAB"/>
    <w:rsid w:val="000072CE"/>
    <w:rsid w:val="000121CA"/>
    <w:rsid w:val="00013A8B"/>
    <w:rsid w:val="00021445"/>
    <w:rsid w:val="00036039"/>
    <w:rsid w:val="000370A3"/>
    <w:rsid w:val="00037F90"/>
    <w:rsid w:val="00073404"/>
    <w:rsid w:val="000760F2"/>
    <w:rsid w:val="00084A3D"/>
    <w:rsid w:val="000875BF"/>
    <w:rsid w:val="00096D8C"/>
    <w:rsid w:val="000A4393"/>
    <w:rsid w:val="000C0B65"/>
    <w:rsid w:val="000E3D42"/>
    <w:rsid w:val="000E5884"/>
    <w:rsid w:val="00116781"/>
    <w:rsid w:val="00121D1F"/>
    <w:rsid w:val="00122BD5"/>
    <w:rsid w:val="00124CA9"/>
    <w:rsid w:val="00126C8A"/>
    <w:rsid w:val="00133E55"/>
    <w:rsid w:val="00137B8A"/>
    <w:rsid w:val="001608F5"/>
    <w:rsid w:val="00162846"/>
    <w:rsid w:val="00164429"/>
    <w:rsid w:val="00180631"/>
    <w:rsid w:val="00184BB4"/>
    <w:rsid w:val="00185D8C"/>
    <w:rsid w:val="00191F58"/>
    <w:rsid w:val="00194CE6"/>
    <w:rsid w:val="001979D9"/>
    <w:rsid w:val="001A5731"/>
    <w:rsid w:val="001A64DB"/>
    <w:rsid w:val="001D6BCF"/>
    <w:rsid w:val="001E011E"/>
    <w:rsid w:val="001E01CA"/>
    <w:rsid w:val="001F3451"/>
    <w:rsid w:val="00201037"/>
    <w:rsid w:val="002060D9"/>
    <w:rsid w:val="002157F9"/>
    <w:rsid w:val="002209B5"/>
    <w:rsid w:val="00223B89"/>
    <w:rsid w:val="00226822"/>
    <w:rsid w:val="00240EB2"/>
    <w:rsid w:val="002459B1"/>
    <w:rsid w:val="00260594"/>
    <w:rsid w:val="00263674"/>
    <w:rsid w:val="00276BB0"/>
    <w:rsid w:val="0028474D"/>
    <w:rsid w:val="00285017"/>
    <w:rsid w:val="002A2D2E"/>
    <w:rsid w:val="002B3172"/>
    <w:rsid w:val="002E1F94"/>
    <w:rsid w:val="002F1031"/>
    <w:rsid w:val="002F49F2"/>
    <w:rsid w:val="002F7235"/>
    <w:rsid w:val="002F7E6F"/>
    <w:rsid w:val="003100DD"/>
    <w:rsid w:val="00315C19"/>
    <w:rsid w:val="00343749"/>
    <w:rsid w:val="00357D50"/>
    <w:rsid w:val="003925DC"/>
    <w:rsid w:val="003B0550"/>
    <w:rsid w:val="003B694F"/>
    <w:rsid w:val="003C7CD2"/>
    <w:rsid w:val="003D0ABF"/>
    <w:rsid w:val="003D4147"/>
    <w:rsid w:val="003F171C"/>
    <w:rsid w:val="003F6689"/>
    <w:rsid w:val="004052D7"/>
    <w:rsid w:val="004067CE"/>
    <w:rsid w:val="00412FC5"/>
    <w:rsid w:val="00422276"/>
    <w:rsid w:val="00422308"/>
    <w:rsid w:val="004242F1"/>
    <w:rsid w:val="00424EEE"/>
    <w:rsid w:val="00445A00"/>
    <w:rsid w:val="00451613"/>
    <w:rsid w:val="00451B0F"/>
    <w:rsid w:val="0046125F"/>
    <w:rsid w:val="00487524"/>
    <w:rsid w:val="00493A61"/>
    <w:rsid w:val="00496106"/>
    <w:rsid w:val="004A20C5"/>
    <w:rsid w:val="004B529B"/>
    <w:rsid w:val="004C12D0"/>
    <w:rsid w:val="004C2EE3"/>
    <w:rsid w:val="004C3AC1"/>
    <w:rsid w:val="004E0A76"/>
    <w:rsid w:val="004E1E6C"/>
    <w:rsid w:val="004E4A22"/>
    <w:rsid w:val="004E7C39"/>
    <w:rsid w:val="004F11DE"/>
    <w:rsid w:val="004F4183"/>
    <w:rsid w:val="00500050"/>
    <w:rsid w:val="00511968"/>
    <w:rsid w:val="005148C5"/>
    <w:rsid w:val="005277D0"/>
    <w:rsid w:val="00535EDE"/>
    <w:rsid w:val="00536DF7"/>
    <w:rsid w:val="00551F1E"/>
    <w:rsid w:val="0055614C"/>
    <w:rsid w:val="005578F5"/>
    <w:rsid w:val="00592131"/>
    <w:rsid w:val="00597BE0"/>
    <w:rsid w:val="005B1716"/>
    <w:rsid w:val="005B4FF9"/>
    <w:rsid w:val="005B5AF4"/>
    <w:rsid w:val="005D62BA"/>
    <w:rsid w:val="005E2FDD"/>
    <w:rsid w:val="00600767"/>
    <w:rsid w:val="00604B90"/>
    <w:rsid w:val="00607BA5"/>
    <w:rsid w:val="00610A43"/>
    <w:rsid w:val="00622B00"/>
    <w:rsid w:val="00626EB6"/>
    <w:rsid w:val="00631AE3"/>
    <w:rsid w:val="006334B3"/>
    <w:rsid w:val="006353A3"/>
    <w:rsid w:val="00655D03"/>
    <w:rsid w:val="00657952"/>
    <w:rsid w:val="00683F84"/>
    <w:rsid w:val="00696424"/>
    <w:rsid w:val="006A57E8"/>
    <w:rsid w:val="006A6A81"/>
    <w:rsid w:val="006B5274"/>
    <w:rsid w:val="006C7940"/>
    <w:rsid w:val="006D24F3"/>
    <w:rsid w:val="006D7551"/>
    <w:rsid w:val="006E26AF"/>
    <w:rsid w:val="006F4E1B"/>
    <w:rsid w:val="006F7393"/>
    <w:rsid w:val="006F7BB9"/>
    <w:rsid w:val="00700584"/>
    <w:rsid w:val="0070224F"/>
    <w:rsid w:val="007115F7"/>
    <w:rsid w:val="00713474"/>
    <w:rsid w:val="00723F2E"/>
    <w:rsid w:val="007241C0"/>
    <w:rsid w:val="00730391"/>
    <w:rsid w:val="007319D1"/>
    <w:rsid w:val="007334D3"/>
    <w:rsid w:val="00737362"/>
    <w:rsid w:val="00754B58"/>
    <w:rsid w:val="00762986"/>
    <w:rsid w:val="0078377C"/>
    <w:rsid w:val="007842D9"/>
    <w:rsid w:val="00785689"/>
    <w:rsid w:val="007964FC"/>
    <w:rsid w:val="0079754B"/>
    <w:rsid w:val="007A1E6D"/>
    <w:rsid w:val="007B4E8D"/>
    <w:rsid w:val="007D7DF8"/>
    <w:rsid w:val="007E54DB"/>
    <w:rsid w:val="008070E9"/>
    <w:rsid w:val="00822CE0"/>
    <w:rsid w:val="0083214E"/>
    <w:rsid w:val="008335B9"/>
    <w:rsid w:val="00837C62"/>
    <w:rsid w:val="00841AB1"/>
    <w:rsid w:val="00857030"/>
    <w:rsid w:val="00863DDB"/>
    <w:rsid w:val="00893C55"/>
    <w:rsid w:val="008A6168"/>
    <w:rsid w:val="008C22FD"/>
    <w:rsid w:val="008D7902"/>
    <w:rsid w:val="008F7FDC"/>
    <w:rsid w:val="00910F12"/>
    <w:rsid w:val="00912148"/>
    <w:rsid w:val="0091299A"/>
    <w:rsid w:val="00916E45"/>
    <w:rsid w:val="00926503"/>
    <w:rsid w:val="00930ECF"/>
    <w:rsid w:val="00943AEE"/>
    <w:rsid w:val="0095245C"/>
    <w:rsid w:val="00980543"/>
    <w:rsid w:val="009835A2"/>
    <w:rsid w:val="009838BC"/>
    <w:rsid w:val="009932CE"/>
    <w:rsid w:val="009963FE"/>
    <w:rsid w:val="009A067C"/>
    <w:rsid w:val="009C135F"/>
    <w:rsid w:val="009E5767"/>
    <w:rsid w:val="009E6CA2"/>
    <w:rsid w:val="00A05490"/>
    <w:rsid w:val="00A066D7"/>
    <w:rsid w:val="00A16C4B"/>
    <w:rsid w:val="00A27513"/>
    <w:rsid w:val="00A27A93"/>
    <w:rsid w:val="00A3215A"/>
    <w:rsid w:val="00A4246F"/>
    <w:rsid w:val="00A42CF9"/>
    <w:rsid w:val="00A45F4F"/>
    <w:rsid w:val="00A542F1"/>
    <w:rsid w:val="00A56887"/>
    <w:rsid w:val="00A600A9"/>
    <w:rsid w:val="00A665BF"/>
    <w:rsid w:val="00A866AC"/>
    <w:rsid w:val="00AA468E"/>
    <w:rsid w:val="00AA55B7"/>
    <w:rsid w:val="00AA5B9E"/>
    <w:rsid w:val="00AB2407"/>
    <w:rsid w:val="00AB53DF"/>
    <w:rsid w:val="00AD6D3E"/>
    <w:rsid w:val="00AE4990"/>
    <w:rsid w:val="00AF4612"/>
    <w:rsid w:val="00B07E5C"/>
    <w:rsid w:val="00B15B7F"/>
    <w:rsid w:val="00B20363"/>
    <w:rsid w:val="00B326E3"/>
    <w:rsid w:val="00B41E4F"/>
    <w:rsid w:val="00B60E6E"/>
    <w:rsid w:val="00B74D97"/>
    <w:rsid w:val="00B75217"/>
    <w:rsid w:val="00B807BB"/>
    <w:rsid w:val="00B811F7"/>
    <w:rsid w:val="00BA5DC6"/>
    <w:rsid w:val="00BA6196"/>
    <w:rsid w:val="00BB347D"/>
    <w:rsid w:val="00BC6D8C"/>
    <w:rsid w:val="00BC747D"/>
    <w:rsid w:val="00BD1D74"/>
    <w:rsid w:val="00BD3989"/>
    <w:rsid w:val="00BE2B84"/>
    <w:rsid w:val="00C00072"/>
    <w:rsid w:val="00C15E05"/>
    <w:rsid w:val="00C16AF2"/>
    <w:rsid w:val="00C16FA6"/>
    <w:rsid w:val="00C2189B"/>
    <w:rsid w:val="00C222F5"/>
    <w:rsid w:val="00C26ACF"/>
    <w:rsid w:val="00C34006"/>
    <w:rsid w:val="00C426B1"/>
    <w:rsid w:val="00C43B95"/>
    <w:rsid w:val="00C65575"/>
    <w:rsid w:val="00C75F05"/>
    <w:rsid w:val="00C82B6B"/>
    <w:rsid w:val="00C90D6A"/>
    <w:rsid w:val="00C9151B"/>
    <w:rsid w:val="00CB45C0"/>
    <w:rsid w:val="00CC72B6"/>
    <w:rsid w:val="00CD428E"/>
    <w:rsid w:val="00CE25D5"/>
    <w:rsid w:val="00CF6F4F"/>
    <w:rsid w:val="00D0218D"/>
    <w:rsid w:val="00D1739C"/>
    <w:rsid w:val="00D2154A"/>
    <w:rsid w:val="00D216CD"/>
    <w:rsid w:val="00D27B1D"/>
    <w:rsid w:val="00D425AD"/>
    <w:rsid w:val="00D42B3D"/>
    <w:rsid w:val="00D528C1"/>
    <w:rsid w:val="00D57B76"/>
    <w:rsid w:val="00D86DCA"/>
    <w:rsid w:val="00D94FFD"/>
    <w:rsid w:val="00D978C1"/>
    <w:rsid w:val="00DA2529"/>
    <w:rsid w:val="00DA41F8"/>
    <w:rsid w:val="00DB0C72"/>
    <w:rsid w:val="00DB130A"/>
    <w:rsid w:val="00DB1974"/>
    <w:rsid w:val="00DC086F"/>
    <w:rsid w:val="00DC10A1"/>
    <w:rsid w:val="00DC4050"/>
    <w:rsid w:val="00DC655F"/>
    <w:rsid w:val="00DD7EBD"/>
    <w:rsid w:val="00DF2C9F"/>
    <w:rsid w:val="00DF62B6"/>
    <w:rsid w:val="00E03E55"/>
    <w:rsid w:val="00E07225"/>
    <w:rsid w:val="00E155B7"/>
    <w:rsid w:val="00E2522E"/>
    <w:rsid w:val="00E355B2"/>
    <w:rsid w:val="00E373FE"/>
    <w:rsid w:val="00E5409F"/>
    <w:rsid w:val="00E676BC"/>
    <w:rsid w:val="00E70090"/>
    <w:rsid w:val="00E90CB8"/>
    <w:rsid w:val="00EA755F"/>
    <w:rsid w:val="00EC0185"/>
    <w:rsid w:val="00EC458B"/>
    <w:rsid w:val="00ED0990"/>
    <w:rsid w:val="00EE653A"/>
    <w:rsid w:val="00EF3237"/>
    <w:rsid w:val="00EF5854"/>
    <w:rsid w:val="00F021FA"/>
    <w:rsid w:val="00F12319"/>
    <w:rsid w:val="00F2026E"/>
    <w:rsid w:val="00F24F8B"/>
    <w:rsid w:val="00F40B5E"/>
    <w:rsid w:val="00F5014A"/>
    <w:rsid w:val="00F56FBF"/>
    <w:rsid w:val="00F57ACA"/>
    <w:rsid w:val="00F60910"/>
    <w:rsid w:val="00F62E97"/>
    <w:rsid w:val="00F64209"/>
    <w:rsid w:val="00F730D7"/>
    <w:rsid w:val="00F85036"/>
    <w:rsid w:val="00F85D00"/>
    <w:rsid w:val="00F93BF5"/>
    <w:rsid w:val="00F94B4C"/>
    <w:rsid w:val="00F96F63"/>
    <w:rsid w:val="00FA02BC"/>
    <w:rsid w:val="00FA105A"/>
    <w:rsid w:val="00FE15AD"/>
    <w:rsid w:val="00FE68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05BFF53-55B3-40E4-98C8-24736FC6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90"/>
    <w:pPr>
      <w:widowControl w:val="0"/>
    </w:pPr>
    <w:rPr>
      <w:snapToGrid w:val="0"/>
      <w:kern w:val="28"/>
      <w:sz w:val="22"/>
    </w:rPr>
  </w:style>
  <w:style w:type="paragraph" w:styleId="Heading1">
    <w:name w:val="heading 1"/>
    <w:basedOn w:val="Normal"/>
    <w:next w:val="ParaNum"/>
    <w:qFormat/>
    <w:rsid w:val="00604B9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04B90"/>
    <w:pPr>
      <w:keepNext/>
      <w:numPr>
        <w:ilvl w:val="1"/>
        <w:numId w:val="3"/>
      </w:numPr>
      <w:spacing w:after="120"/>
      <w:outlineLvl w:val="1"/>
    </w:pPr>
    <w:rPr>
      <w:b/>
    </w:rPr>
  </w:style>
  <w:style w:type="paragraph" w:styleId="Heading3">
    <w:name w:val="heading 3"/>
    <w:basedOn w:val="Normal"/>
    <w:next w:val="ParaNum"/>
    <w:qFormat/>
    <w:rsid w:val="00604B90"/>
    <w:pPr>
      <w:keepNext/>
      <w:numPr>
        <w:ilvl w:val="2"/>
        <w:numId w:val="3"/>
      </w:numPr>
      <w:tabs>
        <w:tab w:val="left" w:pos="2160"/>
      </w:tabs>
      <w:spacing w:after="120"/>
      <w:outlineLvl w:val="2"/>
    </w:pPr>
    <w:rPr>
      <w:b/>
    </w:rPr>
  </w:style>
  <w:style w:type="paragraph" w:styleId="Heading4">
    <w:name w:val="heading 4"/>
    <w:basedOn w:val="Normal"/>
    <w:next w:val="ParaNum"/>
    <w:qFormat/>
    <w:rsid w:val="00604B90"/>
    <w:pPr>
      <w:keepNext/>
      <w:numPr>
        <w:ilvl w:val="3"/>
        <w:numId w:val="3"/>
      </w:numPr>
      <w:tabs>
        <w:tab w:val="left" w:pos="2880"/>
      </w:tabs>
      <w:spacing w:after="120"/>
      <w:outlineLvl w:val="3"/>
    </w:pPr>
    <w:rPr>
      <w:b/>
    </w:rPr>
  </w:style>
  <w:style w:type="paragraph" w:styleId="Heading5">
    <w:name w:val="heading 5"/>
    <w:basedOn w:val="Normal"/>
    <w:next w:val="ParaNum"/>
    <w:qFormat/>
    <w:rsid w:val="00604B9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04B90"/>
    <w:pPr>
      <w:numPr>
        <w:ilvl w:val="5"/>
        <w:numId w:val="3"/>
      </w:numPr>
      <w:tabs>
        <w:tab w:val="left" w:pos="4320"/>
      </w:tabs>
      <w:spacing w:after="120"/>
      <w:outlineLvl w:val="5"/>
    </w:pPr>
    <w:rPr>
      <w:b/>
    </w:rPr>
  </w:style>
  <w:style w:type="paragraph" w:styleId="Heading7">
    <w:name w:val="heading 7"/>
    <w:basedOn w:val="Normal"/>
    <w:next w:val="ParaNum"/>
    <w:qFormat/>
    <w:rsid w:val="00604B9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04B9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04B9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604B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04B90"/>
  </w:style>
  <w:style w:type="paragraph" w:customStyle="1" w:styleId="ParaNum">
    <w:name w:val="ParaNum"/>
    <w:basedOn w:val="Normal"/>
    <w:rsid w:val="00604B90"/>
    <w:pPr>
      <w:numPr>
        <w:numId w:val="2"/>
      </w:numPr>
      <w:tabs>
        <w:tab w:val="clear" w:pos="1080"/>
        <w:tab w:val="num" w:pos="1440"/>
      </w:tabs>
      <w:spacing w:after="120"/>
    </w:pPr>
  </w:style>
  <w:style w:type="paragraph" w:styleId="EndnoteText">
    <w:name w:val="endnote text"/>
    <w:basedOn w:val="Normal"/>
    <w:semiHidden/>
    <w:rsid w:val="00604B90"/>
    <w:rPr>
      <w:sz w:val="20"/>
    </w:rPr>
  </w:style>
  <w:style w:type="character" w:styleId="EndnoteReference">
    <w:name w:val="endnote reference"/>
    <w:semiHidden/>
    <w:rsid w:val="00604B90"/>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604B90"/>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604B90"/>
    <w:rPr>
      <w:rFonts w:ascii="Times New Roman" w:hAnsi="Times New Roman"/>
      <w:dstrike w:val="0"/>
      <w:color w:val="auto"/>
      <w:sz w:val="22"/>
      <w:vertAlign w:val="superscript"/>
    </w:rPr>
  </w:style>
  <w:style w:type="paragraph" w:styleId="TOC1">
    <w:name w:val="toc 1"/>
    <w:basedOn w:val="Normal"/>
    <w:next w:val="Normal"/>
    <w:uiPriority w:val="39"/>
    <w:rsid w:val="00604B9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04B90"/>
    <w:pPr>
      <w:tabs>
        <w:tab w:val="left" w:pos="720"/>
        <w:tab w:val="right" w:leader="dot" w:pos="9360"/>
      </w:tabs>
      <w:suppressAutoHyphens/>
      <w:ind w:left="720" w:right="720" w:hanging="360"/>
    </w:pPr>
    <w:rPr>
      <w:noProof/>
    </w:rPr>
  </w:style>
  <w:style w:type="paragraph" w:styleId="TOC3">
    <w:name w:val="toc 3"/>
    <w:basedOn w:val="Normal"/>
    <w:next w:val="Normal"/>
    <w:semiHidden/>
    <w:rsid w:val="00604B9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04B9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04B9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04B9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04B9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04B9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04B9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04B90"/>
    <w:pPr>
      <w:tabs>
        <w:tab w:val="right" w:pos="9360"/>
      </w:tabs>
      <w:suppressAutoHyphens/>
    </w:pPr>
  </w:style>
  <w:style w:type="character" w:customStyle="1" w:styleId="EquationCaption">
    <w:name w:val="_Equation Caption"/>
    <w:rsid w:val="00604B90"/>
  </w:style>
  <w:style w:type="paragraph" w:styleId="Header">
    <w:name w:val="header"/>
    <w:basedOn w:val="Normal"/>
    <w:autoRedefine/>
    <w:rsid w:val="00604B90"/>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604B90"/>
    <w:pPr>
      <w:tabs>
        <w:tab w:val="center" w:pos="4320"/>
        <w:tab w:val="right" w:pos="8640"/>
      </w:tabs>
    </w:pPr>
  </w:style>
  <w:style w:type="character" w:styleId="PageNumber">
    <w:name w:val="page number"/>
    <w:basedOn w:val="DefaultParagraphFont"/>
    <w:rsid w:val="00604B90"/>
  </w:style>
  <w:style w:type="paragraph" w:styleId="BlockText">
    <w:name w:val="Block Text"/>
    <w:basedOn w:val="Normal"/>
    <w:rsid w:val="00604B90"/>
    <w:pPr>
      <w:spacing w:after="240"/>
      <w:ind w:left="1440" w:right="1440"/>
    </w:pPr>
  </w:style>
  <w:style w:type="paragraph" w:customStyle="1" w:styleId="Paratitle">
    <w:name w:val="Para title"/>
    <w:basedOn w:val="Normal"/>
    <w:rsid w:val="00604B90"/>
    <w:pPr>
      <w:tabs>
        <w:tab w:val="center" w:pos="9270"/>
      </w:tabs>
      <w:spacing w:after="240"/>
    </w:pPr>
    <w:rPr>
      <w:spacing w:val="-2"/>
    </w:rPr>
  </w:style>
  <w:style w:type="paragraph" w:customStyle="1" w:styleId="Bullet">
    <w:name w:val="Bullet"/>
    <w:basedOn w:val="Normal"/>
    <w:rsid w:val="00604B90"/>
    <w:pPr>
      <w:numPr>
        <w:numId w:val="1"/>
      </w:numPr>
      <w:tabs>
        <w:tab w:val="clear" w:pos="360"/>
        <w:tab w:val="left" w:pos="2160"/>
      </w:tabs>
      <w:spacing w:after="220"/>
      <w:ind w:left="2160" w:hanging="720"/>
    </w:pPr>
  </w:style>
  <w:style w:type="paragraph" w:customStyle="1" w:styleId="TableFormat">
    <w:name w:val="TableFormat"/>
    <w:basedOn w:val="Bullet"/>
    <w:rsid w:val="00604B90"/>
    <w:pPr>
      <w:numPr>
        <w:numId w:val="0"/>
      </w:numPr>
      <w:tabs>
        <w:tab w:val="clear" w:pos="2160"/>
        <w:tab w:val="left" w:pos="5040"/>
      </w:tabs>
      <w:ind w:left="5040" w:hanging="3600"/>
    </w:pPr>
  </w:style>
  <w:style w:type="paragraph" w:customStyle="1" w:styleId="TOCTitle">
    <w:name w:val="TOC Title"/>
    <w:basedOn w:val="Normal"/>
    <w:rsid w:val="00604B9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04B90"/>
    <w:pPr>
      <w:jc w:val="center"/>
    </w:pPr>
    <w:rPr>
      <w:rFonts w:ascii="Times New Roman Bold" w:hAnsi="Times New Roman Bold"/>
      <w:b/>
      <w:bCs/>
      <w:caps/>
      <w:szCs w:val="22"/>
    </w:rPr>
  </w:style>
  <w:style w:type="character" w:styleId="Hyperlink">
    <w:name w:val="Hyperlink"/>
    <w:rsid w:val="00604B90"/>
    <w:rPr>
      <w:color w:val="0000FF"/>
      <w:u w:val="single"/>
    </w:rPr>
  </w:style>
  <w:style w:type="character" w:customStyle="1" w:styleId="FooterChar">
    <w:name w:val="Footer Char"/>
    <w:link w:val="Footer"/>
    <w:uiPriority w:val="99"/>
    <w:rsid w:val="00604B90"/>
    <w:rPr>
      <w:snapToGrid w:val="0"/>
      <w:kern w:val="28"/>
      <w:sz w:val="22"/>
    </w:rPr>
  </w:style>
  <w:style w:type="character" w:styleId="CommentReference">
    <w:name w:val="annotation reference"/>
    <w:uiPriority w:val="99"/>
    <w:semiHidden/>
    <w:unhideWhenUsed/>
    <w:rsid w:val="00BD3989"/>
    <w:rPr>
      <w:sz w:val="16"/>
      <w:szCs w:val="16"/>
    </w:rPr>
  </w:style>
  <w:style w:type="paragraph" w:styleId="CommentText">
    <w:name w:val="annotation text"/>
    <w:basedOn w:val="Normal"/>
    <w:link w:val="CommentTextChar"/>
    <w:uiPriority w:val="99"/>
    <w:semiHidden/>
    <w:unhideWhenUsed/>
    <w:rsid w:val="00BD3989"/>
    <w:rPr>
      <w:sz w:val="20"/>
    </w:rPr>
  </w:style>
  <w:style w:type="character" w:customStyle="1" w:styleId="CommentTextChar">
    <w:name w:val="Comment Text Char"/>
    <w:link w:val="CommentText"/>
    <w:uiPriority w:val="99"/>
    <w:semiHidden/>
    <w:rsid w:val="00BD3989"/>
    <w:rPr>
      <w:snapToGrid w:val="0"/>
      <w:kern w:val="28"/>
    </w:rPr>
  </w:style>
  <w:style w:type="paragraph" w:styleId="CommentSubject">
    <w:name w:val="annotation subject"/>
    <w:basedOn w:val="CommentText"/>
    <w:next w:val="CommentText"/>
    <w:link w:val="CommentSubjectChar"/>
    <w:uiPriority w:val="99"/>
    <w:semiHidden/>
    <w:unhideWhenUsed/>
    <w:rsid w:val="00BD3989"/>
    <w:rPr>
      <w:b/>
      <w:bCs/>
    </w:rPr>
  </w:style>
  <w:style w:type="character" w:customStyle="1" w:styleId="CommentSubjectChar">
    <w:name w:val="Comment Subject Char"/>
    <w:link w:val="CommentSubject"/>
    <w:uiPriority w:val="99"/>
    <w:semiHidden/>
    <w:rsid w:val="00BD3989"/>
    <w:rPr>
      <w:b/>
      <w:bCs/>
      <w:snapToGrid w:val="0"/>
      <w:kern w:val="28"/>
    </w:rPr>
  </w:style>
  <w:style w:type="paragraph" w:styleId="BalloonText">
    <w:name w:val="Balloon Text"/>
    <w:basedOn w:val="Normal"/>
    <w:link w:val="BalloonTextChar"/>
    <w:uiPriority w:val="99"/>
    <w:semiHidden/>
    <w:unhideWhenUsed/>
    <w:rsid w:val="00BD3989"/>
    <w:rPr>
      <w:rFonts w:ascii="Segoe UI" w:hAnsi="Segoe UI" w:cs="Segoe UI"/>
      <w:sz w:val="18"/>
      <w:szCs w:val="18"/>
    </w:rPr>
  </w:style>
  <w:style w:type="character" w:customStyle="1" w:styleId="BalloonTextChar">
    <w:name w:val="Balloon Text Char"/>
    <w:link w:val="BalloonText"/>
    <w:uiPriority w:val="99"/>
    <w:semiHidden/>
    <w:rsid w:val="00BD3989"/>
    <w:rPr>
      <w:rFonts w:ascii="Segoe UI" w:hAnsi="Segoe UI" w:cs="Segoe UI"/>
      <w:snapToGrid w:val="0"/>
      <w:kern w:val="28"/>
      <w:sz w:val="18"/>
      <w:szCs w:val="18"/>
    </w:rPr>
  </w:style>
  <w:style w:type="character" w:customStyle="1" w:styleId="UnresolvedMention1">
    <w:name w:val="Unresolved Mention1"/>
    <w:uiPriority w:val="99"/>
    <w:semiHidden/>
    <w:unhideWhenUsed/>
    <w:rsid w:val="00191F58"/>
    <w:rPr>
      <w:color w:val="605E5C"/>
      <w:shd w:val="clear" w:color="auto" w:fill="E1DFDD"/>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locked/>
    <w:rsid w:val="0095245C"/>
  </w:style>
  <w:style w:type="character" w:styleId="FollowedHyperlink">
    <w:name w:val="FollowedHyperlink"/>
    <w:uiPriority w:val="99"/>
    <w:semiHidden/>
    <w:unhideWhenUsed/>
    <w:rsid w:val="0095245C"/>
    <w:rPr>
      <w:color w:val="954F72"/>
      <w:u w:val="single"/>
    </w:rPr>
  </w:style>
  <w:style w:type="character" w:customStyle="1" w:styleId="UnresolvedMention2">
    <w:name w:val="Unresolved Mention2"/>
    <w:uiPriority w:val="99"/>
    <w:rsid w:val="006F7BB9"/>
    <w:rPr>
      <w:color w:val="605E5C"/>
      <w:shd w:val="clear" w:color="auto" w:fill="E1DFDD"/>
    </w:rPr>
  </w:style>
  <w:style w:type="paragraph" w:styleId="Revision">
    <w:name w:val="Revision"/>
    <w:hidden/>
    <w:uiPriority w:val="99"/>
    <w:semiHidden/>
    <w:rsid w:val="00730391"/>
    <w:rPr>
      <w:snapToGrid w:val="0"/>
      <w:kern w:val="28"/>
      <w:sz w:val="22"/>
    </w:rPr>
  </w:style>
  <w:style w:type="character" w:customStyle="1" w:styleId="UnresolvedMention">
    <w:name w:val="Unresolved Mention"/>
    <w:uiPriority w:val="99"/>
    <w:rsid w:val="00D528C1"/>
    <w:rPr>
      <w:color w:val="605E5C"/>
      <w:shd w:val="clear" w:color="auto" w:fill="E1DFDD"/>
    </w:rPr>
  </w:style>
  <w:style w:type="table" w:styleId="TableGrid">
    <w:name w:val="Table Grid"/>
    <w:basedOn w:val="TableNormal"/>
    <w:uiPriority w:val="59"/>
    <w:rsid w:val="0055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mergency-broadband-benefit-program" TargetMode="External" /><Relationship Id="rId6" Type="http://schemas.openxmlformats.org/officeDocument/2006/relationships/hyperlink" Target="https://www.usac.org/about/emergency-broadband-benefit-program/" TargetMode="External" /><Relationship Id="rId7" Type="http://schemas.openxmlformats.org/officeDocument/2006/relationships/hyperlink" Target="mailto:EBBElection@usac.org" TargetMode="External" /><Relationship Id="rId8" Type="http://schemas.openxmlformats.org/officeDocument/2006/relationships/hyperlink" Target="https://www.usac.org/about/emergency-broadband-benefit-program/system-resources/get-started"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ongress.gov/bill/116th-congress/house-bill/133/text"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