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B8BCD1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4789EC" w14:textId="77777777">
      <w:pPr>
        <w:pStyle w:val="StyleBoldCentered"/>
      </w:pPr>
      <w:r>
        <w:t>F</w:t>
      </w:r>
      <w:r>
        <w:rPr>
          <w:caps w:val="0"/>
        </w:rPr>
        <w:t>ederal Communications Commission</w:t>
      </w:r>
    </w:p>
    <w:p w:rsidR="004C2EE3" w:rsidP="00096D8C" w14:paraId="3C832722" w14:textId="77777777">
      <w:pPr>
        <w:pStyle w:val="StyleBoldCentered"/>
      </w:pPr>
      <w:r>
        <w:rPr>
          <w:caps w:val="0"/>
        </w:rPr>
        <w:t>Washington, D.C. 20554</w:t>
      </w:r>
    </w:p>
    <w:p w:rsidR="004C2EE3" w:rsidP="0070224F" w14:paraId="0E811BB2" w14:textId="77777777"/>
    <w:p w:rsidR="004C2EE3" w:rsidP="0070224F" w14:paraId="0A103510" w14:textId="77777777"/>
    <w:tbl>
      <w:tblPr>
        <w:tblW w:w="0" w:type="auto"/>
        <w:tblLayout w:type="fixed"/>
        <w:tblLook w:val="0000"/>
      </w:tblPr>
      <w:tblGrid>
        <w:gridCol w:w="4698"/>
        <w:gridCol w:w="630"/>
        <w:gridCol w:w="4248"/>
      </w:tblGrid>
      <w:tr w14:paraId="756117B8" w14:textId="77777777">
        <w:tblPrEx>
          <w:tblW w:w="0" w:type="auto"/>
          <w:tblLayout w:type="fixed"/>
          <w:tblLook w:val="0000"/>
        </w:tblPrEx>
        <w:tc>
          <w:tcPr>
            <w:tcW w:w="4698" w:type="dxa"/>
          </w:tcPr>
          <w:p w:rsidR="004C2EE3" w14:paraId="2AD05F89" w14:textId="77777777">
            <w:pPr>
              <w:tabs>
                <w:tab w:val="center" w:pos="4680"/>
              </w:tabs>
              <w:suppressAutoHyphens/>
              <w:rPr>
                <w:spacing w:val="-2"/>
              </w:rPr>
            </w:pPr>
            <w:r>
              <w:rPr>
                <w:spacing w:val="-2"/>
              </w:rPr>
              <w:t>In the Matter of</w:t>
            </w:r>
          </w:p>
          <w:p w:rsidR="004C2EE3" w14:paraId="16EDD181" w14:textId="77777777">
            <w:pPr>
              <w:tabs>
                <w:tab w:val="center" w:pos="4680"/>
              </w:tabs>
              <w:suppressAutoHyphens/>
              <w:rPr>
                <w:spacing w:val="-2"/>
              </w:rPr>
            </w:pPr>
          </w:p>
          <w:p w:rsidR="00CE09A9" w:rsidP="00CE09A9" w14:paraId="58476488" w14:textId="6DBB37C1">
            <w:pPr>
              <w:tabs>
                <w:tab w:val="center" w:pos="4680"/>
              </w:tabs>
              <w:suppressAutoHyphens/>
              <w:rPr>
                <w:spacing w:val="-2"/>
                <w:szCs w:val="22"/>
              </w:rPr>
            </w:pPr>
            <w:r w:rsidRPr="00717C31">
              <w:rPr>
                <w:spacing w:val="-2"/>
                <w:szCs w:val="22"/>
              </w:rPr>
              <w:t>Request for Review by Midwest Medical Center</w:t>
            </w:r>
          </w:p>
          <w:p w:rsidR="00CE09A9" w:rsidP="00CE09A9" w14:paraId="4256DFAC" w14:textId="19CFAD5E">
            <w:pPr>
              <w:tabs>
                <w:tab w:val="center" w:pos="4680"/>
              </w:tabs>
              <w:suppressAutoHyphens/>
              <w:rPr>
                <w:spacing w:val="-2"/>
                <w:szCs w:val="22"/>
              </w:rPr>
            </w:pPr>
          </w:p>
          <w:p w:rsidR="00CE09A9" w:rsidRPr="00717C31" w:rsidP="00CE09A9" w14:paraId="4A2F3F64" w14:textId="77777777">
            <w:pPr>
              <w:tabs>
                <w:tab w:val="center" w:pos="4680"/>
              </w:tabs>
              <w:suppressAutoHyphens/>
              <w:rPr>
                <w:spacing w:val="-2"/>
                <w:szCs w:val="22"/>
              </w:rPr>
            </w:pPr>
            <w:r w:rsidRPr="00717C31">
              <w:rPr>
                <w:spacing w:val="-2"/>
                <w:szCs w:val="22"/>
              </w:rPr>
              <w:t>Rural Health Care Universal Service Support Mechanism</w:t>
            </w:r>
          </w:p>
          <w:p w:rsidR="00CE09A9" w:rsidRPr="00717C31" w:rsidP="00CE09A9" w14:paraId="4F3AA77E" w14:textId="77777777">
            <w:pPr>
              <w:tabs>
                <w:tab w:val="center" w:pos="4680"/>
              </w:tabs>
              <w:suppressAutoHyphens/>
              <w:rPr>
                <w:spacing w:val="-2"/>
                <w:szCs w:val="22"/>
              </w:rPr>
            </w:pPr>
          </w:p>
          <w:p w:rsidR="004C2EE3" w:rsidRPr="007115F7" w:rsidP="007115F7" w14:paraId="3C8B0753" w14:textId="19832C4E">
            <w:pPr>
              <w:tabs>
                <w:tab w:val="center" w:pos="4680"/>
              </w:tabs>
              <w:suppressAutoHyphens/>
              <w:rPr>
                <w:spacing w:val="-2"/>
              </w:rPr>
            </w:pPr>
          </w:p>
        </w:tc>
        <w:tc>
          <w:tcPr>
            <w:tcW w:w="630" w:type="dxa"/>
          </w:tcPr>
          <w:p w:rsidR="004C2EE3" w14:paraId="3CA4BD3D" w14:textId="77777777">
            <w:pPr>
              <w:tabs>
                <w:tab w:val="center" w:pos="4680"/>
              </w:tabs>
              <w:suppressAutoHyphens/>
              <w:rPr>
                <w:b/>
                <w:spacing w:val="-2"/>
              </w:rPr>
            </w:pPr>
            <w:r>
              <w:rPr>
                <w:b/>
                <w:spacing w:val="-2"/>
              </w:rPr>
              <w:t>)</w:t>
            </w:r>
          </w:p>
          <w:p w:rsidR="004C2EE3" w14:paraId="16FCAEF2" w14:textId="77777777">
            <w:pPr>
              <w:tabs>
                <w:tab w:val="center" w:pos="4680"/>
              </w:tabs>
              <w:suppressAutoHyphens/>
              <w:rPr>
                <w:b/>
                <w:spacing w:val="-2"/>
              </w:rPr>
            </w:pPr>
            <w:r>
              <w:rPr>
                <w:b/>
                <w:spacing w:val="-2"/>
              </w:rPr>
              <w:t>)</w:t>
            </w:r>
          </w:p>
          <w:p w:rsidR="004C2EE3" w14:paraId="76D02EF6" w14:textId="77777777">
            <w:pPr>
              <w:tabs>
                <w:tab w:val="center" w:pos="4680"/>
              </w:tabs>
              <w:suppressAutoHyphens/>
              <w:rPr>
                <w:b/>
                <w:spacing w:val="-2"/>
              </w:rPr>
            </w:pPr>
            <w:r>
              <w:rPr>
                <w:b/>
                <w:spacing w:val="-2"/>
              </w:rPr>
              <w:t>)</w:t>
            </w:r>
          </w:p>
          <w:p w:rsidR="004C2EE3" w14:paraId="2BA68449" w14:textId="77777777">
            <w:pPr>
              <w:tabs>
                <w:tab w:val="center" w:pos="4680"/>
              </w:tabs>
              <w:suppressAutoHyphens/>
              <w:rPr>
                <w:b/>
                <w:spacing w:val="-2"/>
              </w:rPr>
            </w:pPr>
            <w:r>
              <w:rPr>
                <w:b/>
                <w:spacing w:val="-2"/>
              </w:rPr>
              <w:t>)</w:t>
            </w:r>
          </w:p>
          <w:p w:rsidR="004C2EE3" w14:paraId="2E2DB42B" w14:textId="77777777">
            <w:pPr>
              <w:tabs>
                <w:tab w:val="center" w:pos="4680"/>
              </w:tabs>
              <w:suppressAutoHyphens/>
              <w:rPr>
                <w:b/>
                <w:spacing w:val="-2"/>
              </w:rPr>
            </w:pPr>
            <w:r>
              <w:rPr>
                <w:b/>
                <w:spacing w:val="-2"/>
              </w:rPr>
              <w:t>)</w:t>
            </w:r>
          </w:p>
          <w:p w:rsidR="004C2EE3" w14:paraId="2A65B2AF" w14:textId="77777777">
            <w:pPr>
              <w:tabs>
                <w:tab w:val="center" w:pos="4680"/>
              </w:tabs>
              <w:suppressAutoHyphens/>
              <w:rPr>
                <w:b/>
                <w:spacing w:val="-2"/>
              </w:rPr>
            </w:pPr>
            <w:r>
              <w:rPr>
                <w:b/>
                <w:spacing w:val="-2"/>
              </w:rPr>
              <w:t>)</w:t>
            </w:r>
          </w:p>
          <w:p w:rsidR="004C2EE3" w14:paraId="1A84ADFB" w14:textId="77777777">
            <w:pPr>
              <w:tabs>
                <w:tab w:val="center" w:pos="4680"/>
              </w:tabs>
              <w:suppressAutoHyphens/>
              <w:rPr>
                <w:b/>
                <w:spacing w:val="-2"/>
              </w:rPr>
            </w:pPr>
            <w:r>
              <w:rPr>
                <w:b/>
                <w:spacing w:val="-2"/>
              </w:rPr>
              <w:t>)</w:t>
            </w:r>
          </w:p>
          <w:p w:rsidR="004C2EE3" w:rsidRPr="00C60316" w14:paraId="4F5151A0" w14:textId="2F8890F7">
            <w:pPr>
              <w:tabs>
                <w:tab w:val="center" w:pos="4680"/>
              </w:tabs>
              <w:suppressAutoHyphens/>
              <w:rPr>
                <w:b/>
                <w:spacing w:val="-2"/>
              </w:rPr>
            </w:pPr>
            <w:r>
              <w:rPr>
                <w:b/>
                <w:spacing w:val="-2"/>
              </w:rPr>
              <w:t>)</w:t>
            </w:r>
          </w:p>
        </w:tc>
        <w:tc>
          <w:tcPr>
            <w:tcW w:w="4248" w:type="dxa"/>
          </w:tcPr>
          <w:p w:rsidR="004C2EE3" w14:paraId="7DB534F9" w14:textId="77777777">
            <w:pPr>
              <w:tabs>
                <w:tab w:val="center" w:pos="4680"/>
              </w:tabs>
              <w:suppressAutoHyphens/>
              <w:rPr>
                <w:spacing w:val="-2"/>
              </w:rPr>
            </w:pPr>
          </w:p>
          <w:p w:rsidR="004C2EE3" w14:paraId="2BBE2A19" w14:textId="77777777">
            <w:pPr>
              <w:pStyle w:val="TOAHeading"/>
              <w:tabs>
                <w:tab w:val="center" w:pos="4680"/>
                <w:tab w:val="clear" w:pos="9360"/>
              </w:tabs>
              <w:rPr>
                <w:spacing w:val="-2"/>
              </w:rPr>
            </w:pPr>
          </w:p>
          <w:p w:rsidR="004C2EE3" w14:paraId="545863E8" w14:textId="77777777">
            <w:pPr>
              <w:tabs>
                <w:tab w:val="center" w:pos="4680"/>
              </w:tabs>
              <w:suppressAutoHyphens/>
              <w:rPr>
                <w:spacing w:val="-2"/>
              </w:rPr>
            </w:pPr>
          </w:p>
          <w:p w:rsidR="00CE09A9" w14:paraId="671777DC" w14:textId="77777777">
            <w:pPr>
              <w:tabs>
                <w:tab w:val="center" w:pos="4680"/>
              </w:tabs>
              <w:suppressAutoHyphens/>
              <w:rPr>
                <w:spacing w:val="-2"/>
              </w:rPr>
            </w:pPr>
          </w:p>
          <w:p w:rsidR="00CE09A9" w:rsidRPr="00717C31" w:rsidP="00CE09A9" w14:paraId="0A5E1A1A" w14:textId="77777777">
            <w:pPr>
              <w:tabs>
                <w:tab w:val="center" w:pos="4680"/>
              </w:tabs>
              <w:suppressAutoHyphens/>
              <w:rPr>
                <w:spacing w:val="-2"/>
                <w:szCs w:val="22"/>
              </w:rPr>
            </w:pPr>
            <w:r w:rsidRPr="00717C31">
              <w:rPr>
                <w:spacing w:val="-2"/>
                <w:szCs w:val="22"/>
              </w:rPr>
              <w:t>WC Docket No. 02-60</w:t>
            </w:r>
          </w:p>
          <w:p w:rsidR="00CE09A9" w14:paraId="3961BB74" w14:textId="5DFDA7B3">
            <w:pPr>
              <w:tabs>
                <w:tab w:val="center" w:pos="4680"/>
              </w:tabs>
              <w:suppressAutoHyphens/>
              <w:rPr>
                <w:spacing w:val="-2"/>
              </w:rPr>
            </w:pPr>
          </w:p>
        </w:tc>
      </w:tr>
    </w:tbl>
    <w:p w:rsidR="004C2EE3" w:rsidP="0070224F" w14:paraId="28D7F218" w14:textId="77777777"/>
    <w:p w:rsidR="00841AB1" w:rsidP="00F021FA" w14:paraId="7F6F4D1E" w14:textId="03DD0C7C">
      <w:pPr>
        <w:pStyle w:val="StyleBoldCentered"/>
      </w:pPr>
      <w:r>
        <w:t>Order</w:t>
      </w:r>
    </w:p>
    <w:p w:rsidR="004C2EE3" w14:paraId="6BEE8643" w14:textId="77777777">
      <w:pPr>
        <w:tabs>
          <w:tab w:val="left" w:pos="-720"/>
        </w:tabs>
        <w:suppressAutoHyphens/>
        <w:spacing w:line="227" w:lineRule="auto"/>
        <w:rPr>
          <w:spacing w:val="-2"/>
        </w:rPr>
      </w:pPr>
    </w:p>
    <w:p w:rsidR="004C2EE3" w:rsidP="00133F79" w14:paraId="38A196AD" w14:textId="008D985A">
      <w:pPr>
        <w:tabs>
          <w:tab w:val="left" w:pos="720"/>
          <w:tab w:val="right" w:pos="9360"/>
        </w:tabs>
        <w:suppressAutoHyphens/>
        <w:spacing w:line="227" w:lineRule="auto"/>
        <w:rPr>
          <w:spacing w:val="-2"/>
        </w:rPr>
      </w:pPr>
      <w:r>
        <w:rPr>
          <w:b/>
          <w:spacing w:val="-2"/>
        </w:rPr>
        <w:t xml:space="preserve">Adopted:  </w:t>
      </w:r>
      <w:r w:rsidR="00CE09A9">
        <w:rPr>
          <w:b/>
          <w:spacing w:val="-2"/>
        </w:rPr>
        <w:t>December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09A9">
        <w:rPr>
          <w:b/>
          <w:spacing w:val="-2"/>
        </w:rPr>
        <w:t>December 8, 2021</w:t>
      </w:r>
    </w:p>
    <w:p w:rsidR="00822CE0" w14:paraId="2A1E38B3" w14:textId="77777777"/>
    <w:p w:rsidR="004C2EE3" w14:paraId="6471FA4D" w14:textId="2E5DD154">
      <w:pPr>
        <w:rPr>
          <w:spacing w:val="-2"/>
        </w:rPr>
      </w:pPr>
      <w:r>
        <w:t xml:space="preserve">By </w:t>
      </w:r>
      <w:r w:rsidR="004E4A22">
        <w:t>the</w:t>
      </w:r>
      <w:r w:rsidR="002A2D2E">
        <w:t xml:space="preserve"> </w:t>
      </w:r>
      <w:r w:rsidR="00CE09A9">
        <w:rPr>
          <w:spacing w:val="-2"/>
        </w:rPr>
        <w:t>Chief, Wireline Competition Bureau</w:t>
      </w:r>
      <w:r>
        <w:rPr>
          <w:spacing w:val="-2"/>
        </w:rPr>
        <w:t>:</w:t>
      </w:r>
    </w:p>
    <w:p w:rsidR="00822CE0" w14:paraId="039C3C8F" w14:textId="77777777">
      <w:pPr>
        <w:rPr>
          <w:spacing w:val="-2"/>
        </w:rPr>
      </w:pPr>
    </w:p>
    <w:p w:rsidR="00CE09A9" w:rsidRPr="00717C31" w:rsidP="00CE09A9" w14:paraId="61921E75" w14:textId="77777777">
      <w:pPr>
        <w:pStyle w:val="Heading1"/>
        <w:rPr>
          <w:rFonts w:ascii="Times New Roman" w:hAnsi="Times New Roman"/>
          <w:szCs w:val="22"/>
        </w:rPr>
      </w:pPr>
      <w:r w:rsidRPr="00717C31">
        <w:rPr>
          <w:rFonts w:ascii="Times New Roman" w:hAnsi="Times New Roman"/>
          <w:szCs w:val="22"/>
        </w:rPr>
        <w:t>introduction</w:t>
      </w:r>
    </w:p>
    <w:p w:rsidR="00CE09A9" w:rsidRPr="00717C31" w:rsidP="00CE09A9" w14:paraId="3DA74ABE" w14:textId="77777777">
      <w:pPr>
        <w:pStyle w:val="ParaNum"/>
        <w:rPr>
          <w:szCs w:val="22"/>
        </w:rPr>
      </w:pPr>
      <w:r w:rsidRPr="00717C31">
        <w:rPr>
          <w:szCs w:val="22"/>
        </w:rPr>
        <w:t xml:space="preserve">In this Order, we </w:t>
      </w:r>
      <w:r>
        <w:rPr>
          <w:szCs w:val="22"/>
        </w:rPr>
        <w:t xml:space="preserve">address </w:t>
      </w:r>
      <w:r w:rsidRPr="00717C31">
        <w:rPr>
          <w:szCs w:val="22"/>
        </w:rPr>
        <w:t xml:space="preserve">a request for review of a decision by the Universal Service Administrative Company (USAC) </w:t>
      </w:r>
      <w:r>
        <w:rPr>
          <w:szCs w:val="22"/>
        </w:rPr>
        <w:t xml:space="preserve">to </w:t>
      </w:r>
      <w:r w:rsidRPr="00717C31">
        <w:rPr>
          <w:szCs w:val="22"/>
        </w:rPr>
        <w:t xml:space="preserve">deny </w:t>
      </w:r>
      <w:r>
        <w:rPr>
          <w:szCs w:val="22"/>
        </w:rPr>
        <w:t xml:space="preserve">a funding request from </w:t>
      </w:r>
      <w:r w:rsidRPr="00717C31">
        <w:rPr>
          <w:szCs w:val="22"/>
        </w:rPr>
        <w:t xml:space="preserve">Midwest Medical Center (MMC) for funding year </w:t>
      </w:r>
      <w:r>
        <w:rPr>
          <w:szCs w:val="22"/>
        </w:rPr>
        <w:t>(</w:t>
      </w:r>
      <w:r w:rsidRPr="00717C31">
        <w:rPr>
          <w:szCs w:val="22"/>
        </w:rPr>
        <w:t>FY</w:t>
      </w:r>
      <w:r>
        <w:rPr>
          <w:szCs w:val="22"/>
        </w:rPr>
        <w:t>)</w:t>
      </w:r>
      <w:r w:rsidRPr="00717C31">
        <w:rPr>
          <w:szCs w:val="22"/>
        </w:rPr>
        <w:t xml:space="preserve"> 2018 </w:t>
      </w:r>
      <w:r>
        <w:rPr>
          <w:szCs w:val="22"/>
        </w:rPr>
        <w:t>because it determined that the requested equipment was in</w:t>
      </w:r>
      <w:r w:rsidRPr="00717C31">
        <w:rPr>
          <w:szCs w:val="22"/>
        </w:rPr>
        <w:t xml:space="preserve">eligible </w:t>
      </w:r>
      <w:r>
        <w:rPr>
          <w:szCs w:val="22"/>
        </w:rPr>
        <w:t>in</w:t>
      </w:r>
      <w:r w:rsidRPr="00717C31">
        <w:rPr>
          <w:szCs w:val="22"/>
        </w:rPr>
        <w:t xml:space="preserve"> the Healthcare Connect Fund (HCF) Program.</w:t>
      </w:r>
      <w:r>
        <w:rPr>
          <w:rStyle w:val="FootnoteReference"/>
          <w:szCs w:val="22"/>
        </w:rPr>
        <w:footnoteReference w:id="3"/>
      </w:r>
      <w:r w:rsidRPr="00717C31">
        <w:rPr>
          <w:szCs w:val="22"/>
        </w:rPr>
        <w:t xml:space="preserve"> </w:t>
      </w:r>
      <w:r>
        <w:rPr>
          <w:szCs w:val="22"/>
        </w:rPr>
        <w:t xml:space="preserve"> </w:t>
      </w:r>
      <w:r w:rsidRPr="00717C31">
        <w:rPr>
          <w:szCs w:val="22"/>
        </w:rPr>
        <w:t>Based on our review of the record, we</w:t>
      </w:r>
      <w:bookmarkStart w:id="0" w:name="_Hlk87354595"/>
      <w:r w:rsidRPr="00717C31">
        <w:rPr>
          <w:szCs w:val="22"/>
        </w:rPr>
        <w:t xml:space="preserve"> conclude that the </w:t>
      </w:r>
      <w:r>
        <w:rPr>
          <w:szCs w:val="22"/>
        </w:rPr>
        <w:t>equipment requested on</w:t>
      </w:r>
      <w:r w:rsidRPr="00717C31">
        <w:rPr>
          <w:szCs w:val="22"/>
        </w:rPr>
        <w:t xml:space="preserve"> MMC’s </w:t>
      </w:r>
      <w:r>
        <w:rPr>
          <w:szCs w:val="22"/>
        </w:rPr>
        <w:t xml:space="preserve">FCC </w:t>
      </w:r>
      <w:r w:rsidRPr="00717C31">
        <w:rPr>
          <w:szCs w:val="22"/>
        </w:rPr>
        <w:t xml:space="preserve">Form 462 is eligible under the HCF Program </w:t>
      </w:r>
      <w:r>
        <w:rPr>
          <w:szCs w:val="22"/>
        </w:rPr>
        <w:t>and</w:t>
      </w:r>
      <w:r w:rsidRPr="00717C31">
        <w:rPr>
          <w:szCs w:val="22"/>
        </w:rPr>
        <w:t xml:space="preserve"> therefore grant MMC’s request for review.</w:t>
      </w:r>
    </w:p>
    <w:bookmarkEnd w:id="0"/>
    <w:p w:rsidR="00CE09A9" w:rsidRPr="00717C31" w:rsidP="00CE09A9" w14:paraId="0229DAC9" w14:textId="77777777">
      <w:pPr>
        <w:pStyle w:val="Heading1"/>
        <w:rPr>
          <w:rFonts w:ascii="Times New Roman" w:hAnsi="Times New Roman"/>
          <w:szCs w:val="22"/>
        </w:rPr>
      </w:pPr>
      <w:r w:rsidRPr="00717C31">
        <w:rPr>
          <w:rFonts w:ascii="Times New Roman" w:hAnsi="Times New Roman"/>
          <w:szCs w:val="22"/>
        </w:rPr>
        <w:t>Background</w:t>
      </w:r>
    </w:p>
    <w:p w:rsidR="00CE09A9" w:rsidRPr="00717C31" w:rsidP="00CE09A9" w14:paraId="1ABB10A3" w14:textId="77777777">
      <w:pPr>
        <w:pStyle w:val="ParaNum"/>
        <w:rPr>
          <w:snapToGrid/>
          <w:kern w:val="0"/>
          <w:szCs w:val="22"/>
        </w:rPr>
      </w:pPr>
      <w:r w:rsidRPr="00717C31">
        <w:rPr>
          <w:szCs w:val="22"/>
        </w:rPr>
        <w:t xml:space="preserve">The HCF Program provides support for advanced telecommunications or information services that enable </w:t>
      </w:r>
      <w:r>
        <w:rPr>
          <w:szCs w:val="22"/>
        </w:rPr>
        <w:t>health care providers (</w:t>
      </w:r>
      <w:r w:rsidRPr="00717C31">
        <w:rPr>
          <w:szCs w:val="22"/>
        </w:rPr>
        <w:t>HCPs</w:t>
      </w:r>
      <w:r>
        <w:rPr>
          <w:szCs w:val="22"/>
        </w:rPr>
        <w:t>)</w:t>
      </w:r>
      <w:r w:rsidRPr="00717C31">
        <w:rPr>
          <w:szCs w:val="22"/>
        </w:rPr>
        <w:t xml:space="preserve"> to post their own data, interact with stored data, generate new data, or communicate by providing connectivity over private dedicated networks or the public </w:t>
      </w:r>
      <w:r>
        <w:rPr>
          <w:szCs w:val="22"/>
        </w:rPr>
        <w:t>i</w:t>
      </w:r>
      <w:r w:rsidRPr="00717C31">
        <w:rPr>
          <w:szCs w:val="22"/>
        </w:rPr>
        <w:t>nternet for the provision of health information technology.</w:t>
      </w:r>
      <w:r>
        <w:rPr>
          <w:rStyle w:val="FootnoteReference"/>
          <w:sz w:val="22"/>
          <w:szCs w:val="22"/>
        </w:rPr>
        <w:footnoteReference w:id="4"/>
      </w:r>
      <w:r w:rsidRPr="00717C31">
        <w:rPr>
          <w:szCs w:val="22"/>
        </w:rPr>
        <w:t xml:space="preserve">  </w:t>
      </w:r>
      <w:r>
        <w:rPr>
          <w:szCs w:val="22"/>
        </w:rPr>
        <w:t>A</w:t>
      </w:r>
      <w:r w:rsidRPr="00717C31">
        <w:rPr>
          <w:szCs w:val="22"/>
        </w:rPr>
        <w:t>pplicants may receive support for network equipment necessary to make functional an eligible service that is supported under the HCF Program.</w:t>
      </w:r>
      <w:r>
        <w:rPr>
          <w:rStyle w:val="FootnoteReference"/>
          <w:sz w:val="22"/>
          <w:szCs w:val="22"/>
        </w:rPr>
        <w:footnoteReference w:id="5"/>
      </w:r>
      <w:r w:rsidRPr="00717C31">
        <w:rPr>
          <w:szCs w:val="22"/>
        </w:rPr>
        <w:t xml:space="preserve">  </w:t>
      </w:r>
      <w:r>
        <w:rPr>
          <w:szCs w:val="22"/>
        </w:rPr>
        <w:t>All</w:t>
      </w:r>
      <w:r w:rsidRPr="00717C31">
        <w:rPr>
          <w:szCs w:val="22"/>
        </w:rPr>
        <w:t xml:space="preserve"> eligible HCPs applying for discounts for eligible services through the HCF Program </w:t>
      </w:r>
      <w:r>
        <w:rPr>
          <w:szCs w:val="22"/>
        </w:rPr>
        <w:t>are required to</w:t>
      </w:r>
      <w:r w:rsidRPr="00717C31">
        <w:rPr>
          <w:szCs w:val="22"/>
        </w:rPr>
        <w:t xml:space="preserve"> submit a</w:t>
      </w:r>
      <w:r>
        <w:rPr>
          <w:szCs w:val="22"/>
        </w:rPr>
        <w:t>n</w:t>
      </w:r>
      <w:r w:rsidRPr="00717C31">
        <w:rPr>
          <w:szCs w:val="22"/>
        </w:rPr>
        <w:t xml:space="preserve"> FCC Form 462 to USAC.</w:t>
      </w:r>
      <w:r>
        <w:rPr>
          <w:rStyle w:val="FootnoteReference"/>
          <w:szCs w:val="22"/>
        </w:rPr>
        <w:footnoteReference w:id="6"/>
      </w:r>
    </w:p>
    <w:p w:rsidR="00CE09A9" w:rsidRPr="00717C31" w:rsidP="00CE09A9" w14:paraId="1579F8DD" w14:textId="77777777">
      <w:pPr>
        <w:pStyle w:val="ParaNum"/>
        <w:rPr>
          <w:szCs w:val="22"/>
        </w:rPr>
      </w:pPr>
      <w:r w:rsidRPr="00717C31">
        <w:rPr>
          <w:szCs w:val="22"/>
        </w:rPr>
        <w:t>On June 27, 2018, MMC submitted an FCC Form 462 seeking support for network equipment and installation of network equipment.</w:t>
      </w:r>
      <w:r>
        <w:rPr>
          <w:rStyle w:val="FootnoteReference"/>
          <w:sz w:val="22"/>
          <w:szCs w:val="22"/>
        </w:rPr>
        <w:footnoteReference w:id="7"/>
      </w:r>
      <w:r w:rsidRPr="00717C31">
        <w:rPr>
          <w:szCs w:val="22"/>
        </w:rPr>
        <w:t xml:space="preserve">  </w:t>
      </w:r>
      <w:r>
        <w:rPr>
          <w:szCs w:val="22"/>
        </w:rPr>
        <w:t xml:space="preserve">Specifically, </w:t>
      </w:r>
      <w:r w:rsidRPr="00717C31">
        <w:rPr>
          <w:szCs w:val="22"/>
        </w:rPr>
        <w:t xml:space="preserve">MMC sought support to replace two T-1 </w:t>
      </w:r>
      <w:r w:rsidRPr="00717C31">
        <w:rPr>
          <w:szCs w:val="22"/>
        </w:rPr>
        <w:t xml:space="preserve">circuits with </w:t>
      </w:r>
      <w:r>
        <w:rPr>
          <w:szCs w:val="22"/>
        </w:rPr>
        <w:t>wireless equipment</w:t>
      </w:r>
      <w:r w:rsidRPr="00717C31">
        <w:rPr>
          <w:szCs w:val="22"/>
        </w:rPr>
        <w:t xml:space="preserve"> that would </w:t>
      </w:r>
      <w:r>
        <w:rPr>
          <w:szCs w:val="22"/>
        </w:rPr>
        <w:t xml:space="preserve">provide it with </w:t>
      </w:r>
      <w:r w:rsidRPr="00717C31">
        <w:rPr>
          <w:szCs w:val="22"/>
        </w:rPr>
        <w:t>1</w:t>
      </w:r>
      <w:r>
        <w:rPr>
          <w:szCs w:val="22"/>
        </w:rPr>
        <w:t xml:space="preserve"> Gbps</w:t>
      </w:r>
      <w:r w:rsidRPr="00717C31">
        <w:rPr>
          <w:szCs w:val="22"/>
        </w:rPr>
        <w:t xml:space="preserve"> connection </w:t>
      </w:r>
      <w:r>
        <w:rPr>
          <w:szCs w:val="22"/>
        </w:rPr>
        <w:t xml:space="preserve">to another </w:t>
      </w:r>
      <w:r w:rsidRPr="00717C31">
        <w:rPr>
          <w:szCs w:val="22"/>
        </w:rPr>
        <w:t>eligible HCP.</w:t>
      </w:r>
      <w:r>
        <w:rPr>
          <w:rStyle w:val="FootnoteReference"/>
          <w:sz w:val="22"/>
          <w:szCs w:val="22"/>
        </w:rPr>
        <w:footnoteReference w:id="8"/>
      </w:r>
      <w:r w:rsidRPr="00717C31">
        <w:rPr>
          <w:szCs w:val="22"/>
        </w:rPr>
        <w:t xml:space="preserve">  The </w:t>
      </w:r>
      <w:r>
        <w:rPr>
          <w:szCs w:val="22"/>
        </w:rPr>
        <w:t xml:space="preserve">wireless equipment </w:t>
      </w:r>
      <w:r w:rsidRPr="00717C31">
        <w:rPr>
          <w:szCs w:val="22"/>
        </w:rPr>
        <w:t xml:space="preserve">is a type of networking hardware device that enables </w:t>
      </w:r>
      <w:r>
        <w:rPr>
          <w:szCs w:val="22"/>
        </w:rPr>
        <w:t xml:space="preserve">a </w:t>
      </w:r>
      <w:r w:rsidRPr="00717C31">
        <w:rPr>
          <w:szCs w:val="22"/>
        </w:rPr>
        <w:t xml:space="preserve">connection </w:t>
      </w:r>
      <w:r>
        <w:rPr>
          <w:szCs w:val="22"/>
        </w:rPr>
        <w:t>between</w:t>
      </w:r>
      <w:r w:rsidRPr="00717C31">
        <w:rPr>
          <w:szCs w:val="22"/>
        </w:rPr>
        <w:t xml:space="preserve"> two different </w:t>
      </w:r>
      <w:r>
        <w:rPr>
          <w:szCs w:val="22"/>
        </w:rPr>
        <w:t>locations</w:t>
      </w:r>
      <w:r w:rsidRPr="00717C31">
        <w:rPr>
          <w:szCs w:val="22"/>
        </w:rPr>
        <w:t xml:space="preserve"> by bridging a wireless connection between them.</w:t>
      </w:r>
      <w:r>
        <w:rPr>
          <w:rStyle w:val="FootnoteReference"/>
          <w:szCs w:val="22"/>
        </w:rPr>
        <w:footnoteReference w:id="9"/>
      </w:r>
      <w:r w:rsidRPr="00717C31">
        <w:rPr>
          <w:szCs w:val="22"/>
        </w:rPr>
        <w:t xml:space="preserve"> </w:t>
      </w:r>
      <w:r>
        <w:rPr>
          <w:szCs w:val="22"/>
        </w:rPr>
        <w:t xml:space="preserve"> </w:t>
      </w:r>
      <w:r w:rsidRPr="00717C31">
        <w:rPr>
          <w:szCs w:val="22"/>
        </w:rPr>
        <w:t xml:space="preserve">In MMC’s case, the </w:t>
      </w:r>
      <w:r>
        <w:rPr>
          <w:szCs w:val="22"/>
        </w:rPr>
        <w:t>wireless equipment</w:t>
      </w:r>
      <w:r w:rsidRPr="00717C31">
        <w:rPr>
          <w:szCs w:val="22"/>
        </w:rPr>
        <w:t xml:space="preserve"> would link </w:t>
      </w:r>
      <w:r>
        <w:rPr>
          <w:szCs w:val="22"/>
        </w:rPr>
        <w:t>MMC and Galena-Strauss Senior Care Community Center (Galena-Strauss),</w:t>
      </w:r>
      <w:r>
        <w:rPr>
          <w:rStyle w:val="FootnoteReference"/>
          <w:szCs w:val="22"/>
        </w:rPr>
        <w:footnoteReference w:id="10"/>
      </w:r>
      <w:r>
        <w:rPr>
          <w:szCs w:val="22"/>
        </w:rPr>
        <w:t xml:space="preserve"> </w:t>
      </w:r>
      <w:r w:rsidRPr="00717C31">
        <w:rPr>
          <w:szCs w:val="22"/>
        </w:rPr>
        <w:t>without connecting separately to the public internet</w:t>
      </w:r>
      <w:r>
        <w:rPr>
          <w:szCs w:val="22"/>
        </w:rPr>
        <w:t>.  Galena-Strauss is a senior care assisted living community affiliated under MMC’s corporate entity.  This connection between the facilities is</w:t>
      </w:r>
      <w:r w:rsidRPr="00717C31">
        <w:rPr>
          <w:szCs w:val="22"/>
        </w:rPr>
        <w:t xml:space="preserve"> used </w:t>
      </w:r>
      <w:r>
        <w:rPr>
          <w:szCs w:val="22"/>
        </w:rPr>
        <w:t>for</w:t>
      </w:r>
      <w:r w:rsidRPr="00717C31">
        <w:rPr>
          <w:szCs w:val="22"/>
        </w:rPr>
        <w:t xml:space="preserve"> </w:t>
      </w:r>
      <w:r>
        <w:rPr>
          <w:szCs w:val="22"/>
        </w:rPr>
        <w:t xml:space="preserve">data </w:t>
      </w:r>
      <w:r w:rsidRPr="00717C31">
        <w:rPr>
          <w:szCs w:val="22"/>
        </w:rPr>
        <w:t>backup and disaster recovery.</w:t>
      </w:r>
      <w:r>
        <w:rPr>
          <w:rStyle w:val="FootnoteReference"/>
          <w:sz w:val="22"/>
          <w:szCs w:val="22"/>
        </w:rPr>
        <w:footnoteReference w:id="11"/>
      </w:r>
      <w:r>
        <w:rPr>
          <w:szCs w:val="22"/>
        </w:rPr>
        <w:t xml:space="preserve">  MMC and Galena Strauss both filed for HCF Program support with individual, rather than consortium, applications.</w:t>
      </w:r>
    </w:p>
    <w:p w:rsidR="00CE09A9" w:rsidRPr="00717C31" w:rsidP="00CE09A9" w14:paraId="034CF0E2" w14:textId="4DFCE3E2">
      <w:pPr>
        <w:pStyle w:val="ParaNum"/>
        <w:rPr>
          <w:szCs w:val="22"/>
        </w:rPr>
      </w:pPr>
      <w:r>
        <w:rPr>
          <w:szCs w:val="22"/>
        </w:rPr>
        <w:t>During application review</w:t>
      </w:r>
      <w:r w:rsidRPr="00717C31">
        <w:rPr>
          <w:szCs w:val="22"/>
        </w:rPr>
        <w:t xml:space="preserve">, USAC sent information requests to </w:t>
      </w:r>
      <w:r>
        <w:rPr>
          <w:szCs w:val="22"/>
        </w:rPr>
        <w:t>MMC</w:t>
      </w:r>
      <w:r w:rsidRPr="00717C31">
        <w:rPr>
          <w:szCs w:val="22"/>
        </w:rPr>
        <w:t xml:space="preserve"> requesting information on the “internet circuit used in conjunction with the installed equipment.”</w:t>
      </w:r>
      <w:r>
        <w:rPr>
          <w:rStyle w:val="FootnoteReference"/>
          <w:sz w:val="22"/>
          <w:szCs w:val="22"/>
        </w:rPr>
        <w:footnoteReference w:id="12"/>
      </w:r>
      <w:r w:rsidRPr="00717C31">
        <w:rPr>
          <w:szCs w:val="22"/>
        </w:rPr>
        <w:t xml:space="preserve"> </w:t>
      </w:r>
      <w:r>
        <w:rPr>
          <w:szCs w:val="22"/>
        </w:rPr>
        <w:t xml:space="preserve"> Even though the wireless equipment would connect the circuits at MMC and Galena-Strauss, MMC’s response</w:t>
      </w:r>
      <w:r w:rsidRPr="00717C31">
        <w:rPr>
          <w:szCs w:val="22"/>
        </w:rPr>
        <w:t xml:space="preserve"> </w:t>
      </w:r>
      <w:r>
        <w:rPr>
          <w:szCs w:val="22"/>
        </w:rPr>
        <w:t>stated</w:t>
      </w:r>
      <w:r w:rsidRPr="00717C31">
        <w:rPr>
          <w:szCs w:val="22"/>
        </w:rPr>
        <w:t xml:space="preserve"> that </w:t>
      </w:r>
      <w:r>
        <w:rPr>
          <w:szCs w:val="22"/>
        </w:rPr>
        <w:t>it</w:t>
      </w:r>
      <w:r w:rsidRPr="00717C31">
        <w:rPr>
          <w:szCs w:val="22"/>
        </w:rPr>
        <w:t xml:space="preserve"> would not be utilizing a circuit with the proposed </w:t>
      </w:r>
      <w:r>
        <w:rPr>
          <w:szCs w:val="22"/>
        </w:rPr>
        <w:t>wireless equipment</w:t>
      </w:r>
      <w:r w:rsidRPr="00717C31">
        <w:rPr>
          <w:szCs w:val="22"/>
        </w:rPr>
        <w:t xml:space="preserve"> because the </w:t>
      </w:r>
      <w:r>
        <w:rPr>
          <w:szCs w:val="22"/>
        </w:rPr>
        <w:t>equipment</w:t>
      </w:r>
      <w:r w:rsidRPr="00717C31">
        <w:rPr>
          <w:szCs w:val="22"/>
        </w:rPr>
        <w:t xml:space="preserve"> would replace </w:t>
      </w:r>
      <w:r>
        <w:rPr>
          <w:szCs w:val="22"/>
        </w:rPr>
        <w:t xml:space="preserve">the </w:t>
      </w:r>
      <w:r w:rsidRPr="00717C31">
        <w:rPr>
          <w:szCs w:val="22"/>
        </w:rPr>
        <w:t xml:space="preserve">T-1 circuits </w:t>
      </w:r>
      <w:r>
        <w:rPr>
          <w:szCs w:val="22"/>
        </w:rPr>
        <w:t>that were connecting the two sites</w:t>
      </w:r>
      <w:r w:rsidRPr="00717C31">
        <w:rPr>
          <w:szCs w:val="22"/>
        </w:rPr>
        <w:t>.</w:t>
      </w:r>
      <w:r>
        <w:rPr>
          <w:rStyle w:val="FootnoteReference"/>
          <w:sz w:val="22"/>
          <w:szCs w:val="22"/>
        </w:rPr>
        <w:footnoteReference w:id="13"/>
      </w:r>
      <w:r w:rsidRPr="00717C31">
        <w:rPr>
          <w:szCs w:val="22"/>
        </w:rPr>
        <w:t xml:space="preserve">  </w:t>
      </w:r>
      <w:r>
        <w:rPr>
          <w:szCs w:val="22"/>
        </w:rPr>
        <w:t xml:space="preserve">Based on this response, </w:t>
      </w:r>
      <w:r w:rsidRPr="00717C31">
        <w:rPr>
          <w:szCs w:val="22"/>
        </w:rPr>
        <w:t xml:space="preserve">USAC </w:t>
      </w:r>
      <w:r>
        <w:rPr>
          <w:szCs w:val="22"/>
        </w:rPr>
        <w:t>concluded</w:t>
      </w:r>
      <w:r w:rsidRPr="00717C31">
        <w:rPr>
          <w:szCs w:val="22"/>
        </w:rPr>
        <w:t xml:space="preserve"> that </w:t>
      </w:r>
      <w:r>
        <w:rPr>
          <w:szCs w:val="22"/>
        </w:rPr>
        <w:t>MMC</w:t>
      </w:r>
      <w:r w:rsidRPr="00717C31">
        <w:rPr>
          <w:szCs w:val="22"/>
        </w:rPr>
        <w:t xml:space="preserve"> failed to demonstrate that the </w:t>
      </w:r>
      <w:r>
        <w:rPr>
          <w:szCs w:val="22"/>
        </w:rPr>
        <w:t xml:space="preserve">wireless equipment </w:t>
      </w:r>
      <w:r w:rsidRPr="00717C31">
        <w:rPr>
          <w:szCs w:val="22"/>
        </w:rPr>
        <w:t>was necessary to make functional an eligible service currently supported by the HCF Program</w:t>
      </w:r>
      <w:r>
        <w:rPr>
          <w:szCs w:val="22"/>
        </w:rPr>
        <w:t xml:space="preserve"> as required by program rules and denied MMC’s application</w:t>
      </w:r>
      <w:r w:rsidRPr="00717C31">
        <w:rPr>
          <w:szCs w:val="22"/>
        </w:rPr>
        <w:t>.</w:t>
      </w:r>
      <w:r>
        <w:rPr>
          <w:rStyle w:val="FootnoteReference"/>
          <w:sz w:val="22"/>
          <w:szCs w:val="22"/>
        </w:rPr>
        <w:footnoteReference w:id="14"/>
      </w:r>
      <w:r w:rsidRPr="00717C31">
        <w:rPr>
          <w:szCs w:val="22"/>
        </w:rPr>
        <w:t xml:space="preserve"> </w:t>
      </w:r>
      <w:r>
        <w:rPr>
          <w:szCs w:val="22"/>
        </w:rPr>
        <w:t xml:space="preserve"> </w:t>
      </w:r>
    </w:p>
    <w:p w:rsidR="00CE09A9" w:rsidRPr="00717C31" w:rsidP="00CE09A9" w14:paraId="39C1C33A" w14:textId="77777777">
      <w:pPr>
        <w:pStyle w:val="ParaNum"/>
        <w:rPr>
          <w:szCs w:val="22"/>
        </w:rPr>
      </w:pPr>
      <w:r w:rsidRPr="00717C31">
        <w:rPr>
          <w:szCs w:val="22"/>
        </w:rPr>
        <w:t xml:space="preserve">On February 20, 2019, MMC </w:t>
      </w:r>
      <w:r>
        <w:rPr>
          <w:szCs w:val="22"/>
        </w:rPr>
        <w:t>filed an appeal with</w:t>
      </w:r>
      <w:r w:rsidRPr="00717C31">
        <w:rPr>
          <w:szCs w:val="22"/>
        </w:rPr>
        <w:t xml:space="preserve"> USAC.</w:t>
      </w:r>
      <w:r>
        <w:rPr>
          <w:rStyle w:val="FootnoteReference"/>
          <w:szCs w:val="22"/>
        </w:rPr>
        <w:footnoteReference w:id="15"/>
      </w:r>
      <w:r w:rsidRPr="00717C31">
        <w:rPr>
          <w:szCs w:val="22"/>
        </w:rPr>
        <w:t xml:space="preserve">  MMC acknowledged that the</w:t>
      </w:r>
      <w:r>
        <w:rPr>
          <w:szCs w:val="22"/>
        </w:rPr>
        <w:t xml:space="preserve"> wireless</w:t>
      </w:r>
      <w:r w:rsidRPr="00717C31">
        <w:rPr>
          <w:szCs w:val="22"/>
        </w:rPr>
        <w:t xml:space="preserve"> </w:t>
      </w:r>
      <w:r>
        <w:rPr>
          <w:szCs w:val="22"/>
        </w:rPr>
        <w:t xml:space="preserve">equipment did </w:t>
      </w:r>
      <w:r w:rsidRPr="00717C31">
        <w:rPr>
          <w:szCs w:val="22"/>
        </w:rPr>
        <w:t xml:space="preserve">not currently support an eligible service since </w:t>
      </w:r>
      <w:r>
        <w:rPr>
          <w:szCs w:val="22"/>
        </w:rPr>
        <w:t>the equipment</w:t>
      </w:r>
      <w:r w:rsidRPr="00717C31">
        <w:rPr>
          <w:szCs w:val="22"/>
        </w:rPr>
        <w:t xml:space="preserve"> </w:t>
      </w:r>
      <w:r>
        <w:rPr>
          <w:szCs w:val="22"/>
        </w:rPr>
        <w:t>had</w:t>
      </w:r>
      <w:r w:rsidRPr="00717C31">
        <w:rPr>
          <w:szCs w:val="22"/>
        </w:rPr>
        <w:t xml:space="preserve"> not </w:t>
      </w:r>
      <w:r>
        <w:rPr>
          <w:szCs w:val="22"/>
        </w:rPr>
        <w:t xml:space="preserve">yet </w:t>
      </w:r>
      <w:r w:rsidRPr="00717C31">
        <w:rPr>
          <w:szCs w:val="22"/>
        </w:rPr>
        <w:t>been installed but emphasize</w:t>
      </w:r>
      <w:r>
        <w:rPr>
          <w:szCs w:val="22"/>
        </w:rPr>
        <w:t>d</w:t>
      </w:r>
      <w:r w:rsidRPr="00717C31">
        <w:rPr>
          <w:szCs w:val="22"/>
        </w:rPr>
        <w:t xml:space="preserve"> that </w:t>
      </w:r>
      <w:r>
        <w:rPr>
          <w:szCs w:val="22"/>
        </w:rPr>
        <w:t>it would support an eligible service once</w:t>
      </w:r>
      <w:r w:rsidRPr="00717C31">
        <w:rPr>
          <w:szCs w:val="22"/>
        </w:rPr>
        <w:t xml:space="preserve"> installed.</w:t>
      </w:r>
      <w:r>
        <w:rPr>
          <w:rStyle w:val="FootnoteReference"/>
          <w:szCs w:val="22"/>
        </w:rPr>
        <w:footnoteReference w:id="16"/>
      </w:r>
      <w:r w:rsidRPr="00717C31">
        <w:rPr>
          <w:szCs w:val="22"/>
        </w:rPr>
        <w:t xml:space="preserve"> </w:t>
      </w:r>
      <w:r>
        <w:rPr>
          <w:szCs w:val="22"/>
        </w:rPr>
        <w:t xml:space="preserve"> </w:t>
      </w:r>
      <w:r w:rsidRPr="00717C31">
        <w:rPr>
          <w:szCs w:val="22"/>
        </w:rPr>
        <w:t>On April 16, 2020, USAC rejected this argument and determined that in order for the</w:t>
      </w:r>
      <w:r>
        <w:rPr>
          <w:szCs w:val="22"/>
        </w:rPr>
        <w:t xml:space="preserve"> wireless</w:t>
      </w:r>
      <w:r w:rsidRPr="00717C31">
        <w:rPr>
          <w:szCs w:val="22"/>
        </w:rPr>
        <w:t xml:space="preserve"> </w:t>
      </w:r>
      <w:r>
        <w:rPr>
          <w:szCs w:val="22"/>
        </w:rPr>
        <w:t>equipment</w:t>
      </w:r>
      <w:r w:rsidRPr="00717C31">
        <w:rPr>
          <w:szCs w:val="22"/>
        </w:rPr>
        <w:t xml:space="preserve"> to be eligible for support in the HCF Program, the network equipment must be necessary to make functional an eligible </w:t>
      </w:r>
      <w:r w:rsidRPr="00717C31">
        <w:rPr>
          <w:szCs w:val="22"/>
        </w:rPr>
        <w:t xml:space="preserve">service that the HCP is </w:t>
      </w:r>
      <w:r w:rsidRPr="001967C4">
        <w:rPr>
          <w:szCs w:val="22"/>
        </w:rPr>
        <w:t>currently</w:t>
      </w:r>
      <w:r w:rsidRPr="00717C31">
        <w:rPr>
          <w:szCs w:val="22"/>
        </w:rPr>
        <w:t xml:space="preserve"> using and is supported under the HCF Program.</w:t>
      </w:r>
      <w:r>
        <w:rPr>
          <w:rStyle w:val="FootnoteReference"/>
          <w:sz w:val="22"/>
          <w:szCs w:val="22"/>
        </w:rPr>
        <w:footnoteReference w:id="17"/>
      </w:r>
      <w:r w:rsidRPr="00717C31">
        <w:rPr>
          <w:szCs w:val="22"/>
        </w:rPr>
        <w:t xml:space="preserve">  USAC’s decision did not address </w:t>
      </w:r>
      <w:r>
        <w:rPr>
          <w:szCs w:val="22"/>
        </w:rPr>
        <w:t>whether the network equipment is the type of equipment that could be eligible if it made functional an eligible service</w:t>
      </w:r>
      <w:r w:rsidRPr="00717C31">
        <w:rPr>
          <w:szCs w:val="22"/>
        </w:rPr>
        <w:t xml:space="preserve">.  </w:t>
      </w:r>
      <w:r>
        <w:rPr>
          <w:szCs w:val="22"/>
        </w:rPr>
        <w:t>On May 26, 2020, MMC filed the instant Request for Review to the Commission</w:t>
      </w:r>
      <w:r w:rsidRPr="00A85193">
        <w:rPr>
          <w:szCs w:val="22"/>
        </w:rPr>
        <w:t>.</w:t>
      </w:r>
      <w:r>
        <w:rPr>
          <w:rStyle w:val="FootnoteReference"/>
          <w:szCs w:val="22"/>
        </w:rPr>
        <w:footnoteReference w:id="18"/>
      </w:r>
      <w:r w:rsidRPr="00A85193">
        <w:rPr>
          <w:szCs w:val="22"/>
        </w:rPr>
        <w:t xml:space="preserve">  It argues that USAC should fund the equipment since the equipment and the supported connection are both eligible under the HCF Program for providing the ability for backup, disaster recovery</w:t>
      </w:r>
      <w:r>
        <w:rPr>
          <w:szCs w:val="22"/>
        </w:rPr>
        <w:t>,</w:t>
      </w:r>
      <w:r w:rsidRPr="00A85193">
        <w:rPr>
          <w:szCs w:val="22"/>
        </w:rPr>
        <w:t xml:space="preserve"> and redundancy for MMC.</w:t>
      </w:r>
      <w:r>
        <w:rPr>
          <w:rStyle w:val="FootnoteReference"/>
          <w:szCs w:val="22"/>
        </w:rPr>
        <w:footnoteReference w:id="19"/>
      </w:r>
    </w:p>
    <w:p w:rsidR="00CE09A9" w:rsidRPr="00717C31" w:rsidP="00CE09A9" w14:paraId="72546230" w14:textId="77777777">
      <w:pPr>
        <w:pStyle w:val="Heading1"/>
        <w:rPr>
          <w:rFonts w:ascii="Times New Roman" w:hAnsi="Times New Roman"/>
          <w:szCs w:val="22"/>
        </w:rPr>
      </w:pPr>
      <w:r w:rsidRPr="00717C31">
        <w:rPr>
          <w:rFonts w:ascii="Times New Roman" w:hAnsi="Times New Roman"/>
          <w:szCs w:val="22"/>
        </w:rPr>
        <w:t>discussion</w:t>
      </w:r>
    </w:p>
    <w:p w:rsidR="00CE09A9" w:rsidRPr="002C18F9" w:rsidP="00CE09A9" w14:paraId="2A47B0D1" w14:textId="77777777">
      <w:pPr>
        <w:pStyle w:val="ParaNum"/>
        <w:rPr>
          <w:szCs w:val="22"/>
        </w:rPr>
      </w:pPr>
      <w:r w:rsidRPr="00717C31">
        <w:rPr>
          <w:szCs w:val="22"/>
        </w:rPr>
        <w:t xml:space="preserve">We grant MMC’s request for review and find the </w:t>
      </w:r>
      <w:r>
        <w:rPr>
          <w:szCs w:val="22"/>
        </w:rPr>
        <w:t>wireless</w:t>
      </w:r>
      <w:r w:rsidRPr="00717C31">
        <w:rPr>
          <w:szCs w:val="22"/>
        </w:rPr>
        <w:t xml:space="preserve"> </w:t>
      </w:r>
      <w:r>
        <w:rPr>
          <w:szCs w:val="22"/>
        </w:rPr>
        <w:t>equipment</w:t>
      </w:r>
      <w:r w:rsidRPr="00717C31">
        <w:rPr>
          <w:szCs w:val="22"/>
        </w:rPr>
        <w:t xml:space="preserve"> </w:t>
      </w:r>
      <w:r>
        <w:rPr>
          <w:szCs w:val="22"/>
        </w:rPr>
        <w:t>is</w:t>
      </w:r>
      <w:r w:rsidRPr="00717C31">
        <w:rPr>
          <w:szCs w:val="22"/>
        </w:rPr>
        <w:t xml:space="preserve"> eligible under HCF Program</w:t>
      </w:r>
      <w:r>
        <w:rPr>
          <w:szCs w:val="22"/>
        </w:rPr>
        <w:t xml:space="preserve"> rules</w:t>
      </w:r>
      <w:r w:rsidRPr="00717C31">
        <w:rPr>
          <w:szCs w:val="22"/>
        </w:rPr>
        <w:t>.</w:t>
      </w:r>
      <w:r>
        <w:rPr>
          <w:rStyle w:val="FootnoteReference"/>
          <w:sz w:val="22"/>
          <w:szCs w:val="22"/>
        </w:rPr>
        <w:footnoteReference w:id="20"/>
      </w:r>
      <w:r w:rsidRPr="00717C31">
        <w:rPr>
          <w:szCs w:val="22"/>
        </w:rPr>
        <w:t xml:space="preserve">  </w:t>
      </w:r>
      <w:r>
        <w:rPr>
          <w:szCs w:val="22"/>
        </w:rPr>
        <w:t>To be eligible for support in the HCF Program, equipment must fall within the categories of eligible equipment listed in the Commission’s rules and also must make functional an eligible service that is supported under the HCF Program.</w:t>
      </w:r>
      <w:r>
        <w:rPr>
          <w:rStyle w:val="FootnoteReference"/>
          <w:szCs w:val="22"/>
        </w:rPr>
        <w:footnoteReference w:id="21"/>
      </w:r>
      <w:r>
        <w:rPr>
          <w:szCs w:val="22"/>
        </w:rPr>
        <w:t xml:space="preserve">  First, we find that the type of wireless equipment requested falls within the categories of equipment that are eligible for HCF Program support.  T</w:t>
      </w:r>
      <w:r w:rsidRPr="008511E7">
        <w:rPr>
          <w:szCs w:val="22"/>
        </w:rPr>
        <w:t xml:space="preserve">he HCF </w:t>
      </w:r>
      <w:r w:rsidRPr="002C18F9">
        <w:rPr>
          <w:szCs w:val="22"/>
        </w:rPr>
        <w:t>Program ensure</w:t>
      </w:r>
      <w:r>
        <w:rPr>
          <w:szCs w:val="22"/>
        </w:rPr>
        <w:t>s</w:t>
      </w:r>
      <w:r w:rsidRPr="002C18F9">
        <w:rPr>
          <w:szCs w:val="22"/>
        </w:rPr>
        <w:t xml:space="preserve"> that HCPs have enhanced access to advanced telecommunication services based on their individual health care broadband needs.</w:t>
      </w:r>
      <w:r>
        <w:rPr>
          <w:rStyle w:val="FootnoteReference"/>
          <w:szCs w:val="22"/>
        </w:rPr>
        <w:footnoteReference w:id="22"/>
      </w:r>
      <w:r w:rsidRPr="008511E7">
        <w:rPr>
          <w:szCs w:val="22"/>
        </w:rPr>
        <w:t xml:space="preserve"> </w:t>
      </w:r>
      <w:r w:rsidRPr="002C18F9">
        <w:rPr>
          <w:szCs w:val="22"/>
        </w:rPr>
        <w:t xml:space="preserve"> </w:t>
      </w:r>
      <w:r>
        <w:rPr>
          <w:szCs w:val="22"/>
        </w:rPr>
        <w:t>To promote this end</w:t>
      </w:r>
      <w:r w:rsidRPr="002C18F9">
        <w:rPr>
          <w:szCs w:val="22"/>
        </w:rPr>
        <w:t xml:space="preserve">, </w:t>
      </w:r>
      <w:r>
        <w:rPr>
          <w:szCs w:val="22"/>
        </w:rPr>
        <w:t xml:space="preserve">we </w:t>
      </w:r>
      <w:r w:rsidRPr="002C18F9">
        <w:rPr>
          <w:szCs w:val="22"/>
        </w:rPr>
        <w:t>recognize that technology continues to evolve over time to create more effective connecti</w:t>
      </w:r>
      <w:r w:rsidRPr="00D369F3">
        <w:rPr>
          <w:szCs w:val="22"/>
        </w:rPr>
        <w:t>vity</w:t>
      </w:r>
      <w:r w:rsidRPr="002E00E1">
        <w:rPr>
          <w:szCs w:val="22"/>
        </w:rPr>
        <w:t xml:space="preserve"> solutions. </w:t>
      </w:r>
      <w:r w:rsidRPr="00925C92">
        <w:rPr>
          <w:szCs w:val="22"/>
        </w:rPr>
        <w:t xml:space="preserve"> </w:t>
      </w:r>
      <w:r w:rsidRPr="00E8342E">
        <w:rPr>
          <w:szCs w:val="22"/>
        </w:rPr>
        <w:t>In the</w:t>
      </w:r>
      <w:r w:rsidRPr="00FC33DB">
        <w:rPr>
          <w:i/>
          <w:iCs/>
          <w:szCs w:val="22"/>
        </w:rPr>
        <w:t xml:space="preserve"> </w:t>
      </w:r>
      <w:r w:rsidRPr="00CD3B26">
        <w:rPr>
          <w:i/>
          <w:iCs/>
          <w:szCs w:val="22"/>
        </w:rPr>
        <w:t>Healthcare Connect Fund Order</w:t>
      </w:r>
      <w:r w:rsidRPr="00650466">
        <w:rPr>
          <w:szCs w:val="22"/>
        </w:rPr>
        <w:t xml:space="preserve">, the Commission made clear that eligible </w:t>
      </w:r>
      <w:r>
        <w:rPr>
          <w:szCs w:val="22"/>
        </w:rPr>
        <w:t>equipment</w:t>
      </w:r>
      <w:r w:rsidRPr="00650466">
        <w:rPr>
          <w:szCs w:val="22"/>
        </w:rPr>
        <w:t xml:space="preserve"> </w:t>
      </w:r>
      <w:r>
        <w:rPr>
          <w:szCs w:val="22"/>
        </w:rPr>
        <w:t>may include “equipment necessary to connect dedicated health care broadband networks or individual HCPs to middle mile or backbone networks</w:t>
      </w:r>
      <w:r w:rsidRPr="00A7483E">
        <w:rPr>
          <w:szCs w:val="22"/>
        </w:rPr>
        <w:t>.”</w:t>
      </w:r>
      <w:r>
        <w:rPr>
          <w:rStyle w:val="FootnoteReference"/>
          <w:sz w:val="22"/>
          <w:szCs w:val="22"/>
        </w:rPr>
        <w:footnoteReference w:id="23"/>
      </w:r>
      <w:r w:rsidRPr="008511E7">
        <w:rPr>
          <w:szCs w:val="22"/>
        </w:rPr>
        <w:t xml:space="preserve"> </w:t>
      </w:r>
      <w:r w:rsidRPr="002C18F9">
        <w:rPr>
          <w:szCs w:val="22"/>
        </w:rPr>
        <w:t xml:space="preserve"> </w:t>
      </w:r>
      <w:r w:rsidRPr="00A94482">
        <w:rPr>
          <w:szCs w:val="22"/>
        </w:rPr>
        <w:t xml:space="preserve">This broad </w:t>
      </w:r>
      <w:r>
        <w:rPr>
          <w:szCs w:val="22"/>
        </w:rPr>
        <w:t xml:space="preserve">designation makes eligible </w:t>
      </w:r>
      <w:r w:rsidRPr="00A94482">
        <w:rPr>
          <w:szCs w:val="22"/>
        </w:rPr>
        <w:t>a variety of connectivity solutions and equipment</w:t>
      </w:r>
      <w:r>
        <w:rPr>
          <w:szCs w:val="22"/>
        </w:rPr>
        <w:t>,</w:t>
      </w:r>
      <w:r w:rsidRPr="00A94482">
        <w:rPr>
          <w:szCs w:val="22"/>
        </w:rPr>
        <w:t xml:space="preserve"> including wireless </w:t>
      </w:r>
      <w:r>
        <w:rPr>
          <w:szCs w:val="22"/>
        </w:rPr>
        <w:t>equipment, such as the equipment used here by MMC, which connects one eligible health care provider to another</w:t>
      </w:r>
      <w:r w:rsidRPr="00A94482">
        <w:rPr>
          <w:szCs w:val="22"/>
        </w:rPr>
        <w:t>.</w:t>
      </w:r>
      <w:r>
        <w:rPr>
          <w:rStyle w:val="FootnoteReference"/>
          <w:sz w:val="22"/>
          <w:szCs w:val="22"/>
        </w:rPr>
        <w:footnoteReference w:id="24"/>
      </w:r>
      <w:r w:rsidRPr="008511E7">
        <w:rPr>
          <w:szCs w:val="22"/>
        </w:rPr>
        <w:t xml:space="preserve"> </w:t>
      </w:r>
      <w:r w:rsidRPr="002C18F9">
        <w:rPr>
          <w:szCs w:val="22"/>
        </w:rPr>
        <w:t xml:space="preserve"> </w:t>
      </w:r>
    </w:p>
    <w:p w:rsidR="00CE09A9" w:rsidRPr="00654809" w:rsidP="00CE09A9" w14:paraId="1B5712A0" w14:textId="79BF44E4">
      <w:pPr>
        <w:pStyle w:val="ParaNum"/>
        <w:rPr>
          <w:szCs w:val="22"/>
        </w:rPr>
      </w:pPr>
      <w:r>
        <w:rPr>
          <w:szCs w:val="22"/>
        </w:rPr>
        <w:t>Next, we find that MMC’s wireless equipment, which enables a redundant connection, would “make functional an eligible service” that is supported under the HCF Program as required by the Commission’s rules for the HCF Program.</w:t>
      </w:r>
      <w:r>
        <w:rPr>
          <w:rStyle w:val="FootnoteReference"/>
          <w:szCs w:val="22"/>
        </w:rPr>
        <w:footnoteReference w:id="25"/>
      </w:r>
      <w:r>
        <w:rPr>
          <w:szCs w:val="22"/>
        </w:rPr>
        <w:t xml:space="preserve">  </w:t>
      </w:r>
      <w:r w:rsidRPr="00717C31">
        <w:rPr>
          <w:szCs w:val="22"/>
        </w:rPr>
        <w:t xml:space="preserve">In response to USAC’s two information requests, MMC explained that </w:t>
      </w:r>
      <w:r>
        <w:rPr>
          <w:szCs w:val="22"/>
        </w:rPr>
        <w:t>it</w:t>
      </w:r>
      <w:r w:rsidRPr="00717C31">
        <w:rPr>
          <w:szCs w:val="22"/>
        </w:rPr>
        <w:t xml:space="preserve"> would no </w:t>
      </w:r>
      <w:r>
        <w:rPr>
          <w:szCs w:val="22"/>
        </w:rPr>
        <w:t xml:space="preserve">longer </w:t>
      </w:r>
      <w:r w:rsidRPr="00717C31">
        <w:rPr>
          <w:szCs w:val="22"/>
        </w:rPr>
        <w:t xml:space="preserve">need to use </w:t>
      </w:r>
      <w:r>
        <w:rPr>
          <w:szCs w:val="22"/>
        </w:rPr>
        <w:t>the two</w:t>
      </w:r>
      <w:r w:rsidRPr="00717C31">
        <w:rPr>
          <w:szCs w:val="22"/>
        </w:rPr>
        <w:t xml:space="preserve"> circuit</w:t>
      </w:r>
      <w:r>
        <w:rPr>
          <w:szCs w:val="22"/>
        </w:rPr>
        <w:t>s previously supported by the HCF Program</w:t>
      </w:r>
      <w:r w:rsidRPr="00717C31">
        <w:rPr>
          <w:szCs w:val="22"/>
        </w:rPr>
        <w:t xml:space="preserve"> because the </w:t>
      </w:r>
      <w:r>
        <w:rPr>
          <w:szCs w:val="22"/>
        </w:rPr>
        <w:t>wireless network equipment</w:t>
      </w:r>
      <w:r w:rsidRPr="00717C31">
        <w:rPr>
          <w:szCs w:val="22"/>
        </w:rPr>
        <w:t xml:space="preserve"> would </w:t>
      </w:r>
      <w:r>
        <w:rPr>
          <w:szCs w:val="22"/>
        </w:rPr>
        <w:t>functionally upgrade</w:t>
      </w:r>
      <w:r w:rsidRPr="00717C31">
        <w:rPr>
          <w:szCs w:val="22"/>
        </w:rPr>
        <w:t xml:space="preserve"> th</w:t>
      </w:r>
      <w:r>
        <w:rPr>
          <w:szCs w:val="22"/>
        </w:rPr>
        <w:t>ose</w:t>
      </w:r>
      <w:r w:rsidRPr="00717C31">
        <w:rPr>
          <w:szCs w:val="22"/>
        </w:rPr>
        <w:t xml:space="preserve"> T-1 circuits </w:t>
      </w:r>
      <w:r>
        <w:rPr>
          <w:szCs w:val="22"/>
        </w:rPr>
        <w:t>to a 1 Gbps connection</w:t>
      </w:r>
      <w:r w:rsidRPr="00717C31">
        <w:rPr>
          <w:szCs w:val="22"/>
        </w:rPr>
        <w:t>.</w:t>
      </w:r>
      <w:r>
        <w:rPr>
          <w:rStyle w:val="FootnoteReference"/>
          <w:szCs w:val="22"/>
        </w:rPr>
        <w:footnoteReference w:id="26"/>
      </w:r>
      <w:r w:rsidRPr="00717C31">
        <w:rPr>
          <w:szCs w:val="22"/>
        </w:rPr>
        <w:t xml:space="preserve">  </w:t>
      </w:r>
      <w:r>
        <w:rPr>
          <w:szCs w:val="22"/>
        </w:rPr>
        <w:t>The purpose of this connection would be to maintain and upgrade the redundant connection to provide data backup and disaster recovery between the two locations.</w:t>
      </w:r>
      <w:r>
        <w:rPr>
          <w:rStyle w:val="FootnoteReference"/>
          <w:szCs w:val="22"/>
        </w:rPr>
        <w:footnoteReference w:id="27"/>
      </w:r>
      <w:r>
        <w:rPr>
          <w:szCs w:val="22"/>
        </w:rPr>
        <w:t xml:space="preserve">  </w:t>
      </w:r>
      <w:r w:rsidRPr="00E8342E">
        <w:rPr>
          <w:szCs w:val="22"/>
        </w:rPr>
        <w:t>In the</w:t>
      </w:r>
      <w:r w:rsidRPr="00FC33DB">
        <w:rPr>
          <w:i/>
          <w:iCs/>
          <w:szCs w:val="22"/>
        </w:rPr>
        <w:t xml:space="preserve"> </w:t>
      </w:r>
      <w:r w:rsidRPr="00CD3B26">
        <w:rPr>
          <w:i/>
          <w:iCs/>
          <w:szCs w:val="22"/>
        </w:rPr>
        <w:t>Healthcare Connect Fund Order</w:t>
      </w:r>
      <w:r>
        <w:rPr>
          <w:szCs w:val="22"/>
        </w:rPr>
        <w:t xml:space="preserve">, the Commission recognized the importance of funding </w:t>
      </w:r>
      <w:r>
        <w:rPr>
          <w:shd w:val="clear" w:color="auto" w:fill="FFFFFF"/>
        </w:rPr>
        <w:t xml:space="preserve">redundant, secondary, or fail-over </w:t>
      </w:r>
      <w:r>
        <w:rPr>
          <w:shd w:val="clear" w:color="auto" w:fill="FFFFFF"/>
        </w:rPr>
        <w:t>services</w:t>
      </w:r>
      <w:r>
        <w:rPr>
          <w:szCs w:val="22"/>
        </w:rPr>
        <w:t xml:space="preserve"> in the HCF Program.</w:t>
      </w:r>
      <w:r>
        <w:rPr>
          <w:rStyle w:val="FootnoteReference"/>
          <w:szCs w:val="22"/>
        </w:rPr>
        <w:footnoteReference w:id="28"/>
      </w:r>
      <w:r>
        <w:rPr>
          <w:szCs w:val="22"/>
        </w:rPr>
        <w:t xml:space="preserve">  Adequate backhaul redundancy helps provide network stability and continued operation during emergencies.</w:t>
      </w:r>
      <w:r>
        <w:rPr>
          <w:rStyle w:val="FootnoteReference"/>
          <w:szCs w:val="22"/>
        </w:rPr>
        <w:footnoteReference w:id="29"/>
      </w:r>
      <w:r>
        <w:rPr>
          <w:szCs w:val="22"/>
        </w:rPr>
        <w:t xml:space="preserve">  Health care facilities with multiple locations such as MMC benefit from redundant connections to maintain network stability in the face of events that could disrupt or bring down the entire network system</w:t>
      </w:r>
      <w:r>
        <w:rPr>
          <w:shd w:val="clear" w:color="auto" w:fill="FFFFFF"/>
        </w:rPr>
        <w:t>.</w:t>
      </w:r>
      <w:r>
        <w:rPr>
          <w:rStyle w:val="FootnoteReference"/>
          <w:szCs w:val="22"/>
        </w:rPr>
        <w:footnoteReference w:id="30"/>
      </w:r>
      <w:r>
        <w:rPr>
          <w:shd w:val="clear" w:color="auto" w:fill="FFFFFF"/>
        </w:rPr>
        <w:t xml:space="preserve">  </w:t>
      </w:r>
      <w:r w:rsidRPr="00717C31">
        <w:rPr>
          <w:szCs w:val="22"/>
        </w:rPr>
        <w:t xml:space="preserve">Therefore, the </w:t>
      </w:r>
      <w:r>
        <w:rPr>
          <w:szCs w:val="22"/>
        </w:rPr>
        <w:t>wireless network equipment</w:t>
      </w:r>
      <w:r w:rsidRPr="00717C31">
        <w:rPr>
          <w:szCs w:val="22"/>
        </w:rPr>
        <w:t xml:space="preserve"> would</w:t>
      </w:r>
      <w:r>
        <w:rPr>
          <w:szCs w:val="22"/>
        </w:rPr>
        <w:t xml:space="preserve"> make functional an eligible service, namely, it would allow MMC to connect to Galena-Strauss’s HCF Program supported circuit and for Galena-Strauss to connect to MMC’s supported circuit in the event that one of the circuits fails.  </w:t>
      </w:r>
      <w:r w:rsidRPr="00717C31">
        <w:rPr>
          <w:szCs w:val="22"/>
        </w:rPr>
        <w:t xml:space="preserve">We </w:t>
      </w:r>
      <w:r>
        <w:rPr>
          <w:szCs w:val="22"/>
        </w:rPr>
        <w:t xml:space="preserve">therefore </w:t>
      </w:r>
      <w:r w:rsidRPr="00717C31">
        <w:rPr>
          <w:szCs w:val="22"/>
        </w:rPr>
        <w:t xml:space="preserve">find, consistent with </w:t>
      </w:r>
      <w:r>
        <w:rPr>
          <w:szCs w:val="22"/>
        </w:rPr>
        <w:t xml:space="preserve">the </w:t>
      </w:r>
      <w:r>
        <w:rPr>
          <w:i/>
          <w:iCs/>
          <w:szCs w:val="22"/>
        </w:rPr>
        <w:t>Healthcare Connect Fund Order</w:t>
      </w:r>
      <w:r w:rsidRPr="00717C31">
        <w:rPr>
          <w:szCs w:val="22"/>
        </w:rPr>
        <w:t xml:space="preserve">, that </w:t>
      </w:r>
      <w:r>
        <w:rPr>
          <w:szCs w:val="22"/>
        </w:rPr>
        <w:t>MMC’s</w:t>
      </w:r>
      <w:r w:rsidRPr="00717C31">
        <w:rPr>
          <w:szCs w:val="22"/>
        </w:rPr>
        <w:t xml:space="preserve"> funding request for the </w:t>
      </w:r>
      <w:r>
        <w:rPr>
          <w:szCs w:val="22"/>
        </w:rPr>
        <w:t>wireless network equipment</w:t>
      </w:r>
      <w:r w:rsidRPr="00717C31">
        <w:rPr>
          <w:szCs w:val="22"/>
        </w:rPr>
        <w:t xml:space="preserve"> and </w:t>
      </w:r>
      <w:r>
        <w:rPr>
          <w:szCs w:val="22"/>
        </w:rPr>
        <w:t>its installation</w:t>
      </w:r>
      <w:r w:rsidRPr="00717C31">
        <w:rPr>
          <w:szCs w:val="22"/>
        </w:rPr>
        <w:t xml:space="preserve"> is supported by the HCF Program.</w:t>
      </w:r>
      <w:r>
        <w:rPr>
          <w:szCs w:val="22"/>
        </w:rPr>
        <w:t xml:space="preserve"> </w:t>
      </w:r>
      <w:r>
        <w:rPr>
          <w:szCs w:val="22"/>
        </w:rPr>
        <w:t xml:space="preserve"> </w:t>
      </w:r>
      <w:r>
        <w:t>Accordingly, we remand the funding request at issue to USAC for further processing consistent with the terms of this Order.</w:t>
      </w:r>
    </w:p>
    <w:p w:rsidR="00CE09A9" w:rsidRPr="00CF2731" w:rsidP="00CE09A9" w14:paraId="76724FA6" w14:textId="77777777">
      <w:pPr>
        <w:pStyle w:val="Heading1"/>
      </w:pPr>
      <w:r>
        <w:t>Ordering Clauses</w:t>
      </w:r>
    </w:p>
    <w:p w:rsidR="00CE09A9" w:rsidRPr="004F5C1E" w:rsidP="00CE09A9" w14:paraId="1A66971B" w14:textId="77777777">
      <w:pPr>
        <w:pStyle w:val="ParaNum"/>
      </w:pPr>
      <w:bookmarkStart w:id="2" w:name="_Hlk506896637"/>
      <w:r w:rsidRPr="00042292">
        <w:rPr>
          <w:rStyle w:val="StyleNumberedparagraphs11ptChar"/>
          <w:szCs w:val="22"/>
        </w:rPr>
        <w:t xml:space="preserve">ACCORDINGLY, IT IS ORDERED that, </w:t>
      </w:r>
      <w:r w:rsidRPr="00CF2731">
        <w:t>pursuant to the authority contained in sections 1-4 and 254 of the Communications Act of 1934, as amended, 47 U.S.C. §§ 151-154 and 254, and sections 0.91, 0.291,</w:t>
      </w:r>
      <w:r>
        <w:t xml:space="preserve"> 54.635</w:t>
      </w:r>
      <w:r w:rsidRPr="00CF2731">
        <w:t xml:space="preserve"> and 54.722(a) of the Commission’s rules, 47 CFR §§ 0.91, 0.291, </w:t>
      </w:r>
      <w:r>
        <w:t xml:space="preserve">54.635 </w:t>
      </w:r>
      <w:r w:rsidRPr="00CF2731">
        <w:t xml:space="preserve">and 54.722(a) </w:t>
      </w:r>
      <w:r>
        <w:t xml:space="preserve">(2018), </w:t>
      </w:r>
      <w:r w:rsidRPr="00CF2731">
        <w:t xml:space="preserve">that </w:t>
      </w:r>
      <w:r w:rsidRPr="00042292">
        <w:rPr>
          <w:rFonts w:eastAsia="Batang"/>
          <w:lang w:eastAsia="ja-JP"/>
        </w:rPr>
        <w:t xml:space="preserve">the Request for Review </w:t>
      </w:r>
      <w:bookmarkEnd w:id="2"/>
      <w:r w:rsidRPr="00042292">
        <w:rPr>
          <w:rFonts w:eastAsia="Batang"/>
          <w:lang w:eastAsia="ja-JP"/>
        </w:rPr>
        <w:t xml:space="preserve">filed by Espy Services, Inc. on behalf of Midwest Medical Center </w:t>
      </w:r>
      <w:r w:rsidRPr="00CF2731">
        <w:t xml:space="preserve">on </w:t>
      </w:r>
      <w:r>
        <w:t>May 26, 2020</w:t>
      </w:r>
      <w:r w:rsidRPr="00CF2731">
        <w:t xml:space="preserve"> </w:t>
      </w:r>
      <w:r w:rsidRPr="00042292">
        <w:rPr>
          <w:rFonts w:eastAsia="Batang"/>
          <w:lang w:eastAsia="ja-JP"/>
        </w:rPr>
        <w:t>IS GRANTED</w:t>
      </w:r>
      <w:r>
        <w:rPr>
          <w:rFonts w:eastAsia="Batang"/>
          <w:lang w:eastAsia="ja-JP"/>
        </w:rPr>
        <w:t>.</w:t>
      </w:r>
    </w:p>
    <w:p w:rsidR="00CE09A9" w:rsidRPr="00264861" w:rsidP="00CE09A9" w14:paraId="6CBFADC3" w14:textId="77777777">
      <w:pPr>
        <w:pStyle w:val="ParaNum"/>
        <w:tabs>
          <w:tab w:val="num" w:pos="1080"/>
          <w:tab w:val="clear" w:pos="1440"/>
        </w:tabs>
        <w:rPr>
          <w:rStyle w:val="StyleNumberedparagraphs11ptChar"/>
          <w:szCs w:val="22"/>
        </w:rPr>
      </w:pPr>
      <w:r w:rsidRPr="00264861">
        <w:rPr>
          <w:rStyle w:val="StyleNumberedparagraphs11ptChar"/>
          <w:szCs w:val="22"/>
        </w:rPr>
        <w:t>IT IS FURTHER ORDERED, pursuant to authority contained in section 1-4 and 254 of the Communications Act of 1934, as amended, 47 U.S.C. §§ 151-154 and 254, sections 0.91, 0.291,</w:t>
      </w:r>
      <w:r>
        <w:rPr>
          <w:rStyle w:val="StyleNumberedparagraphs11ptChar"/>
          <w:szCs w:val="22"/>
        </w:rPr>
        <w:t xml:space="preserve"> </w:t>
      </w:r>
      <w:r w:rsidRPr="00264861">
        <w:rPr>
          <w:rStyle w:val="StyleNumberedparagraphs11ptChar"/>
          <w:szCs w:val="22"/>
        </w:rPr>
        <w:t xml:space="preserve">and 54.722(a), </w:t>
      </w:r>
      <w:r w:rsidRPr="00676AD4">
        <w:t>47 CFR §§ </w:t>
      </w:r>
      <w:r>
        <w:t>0.91, 0.291, and 54.722(a)</w:t>
      </w:r>
      <w:r w:rsidRPr="00676AD4">
        <w:t>,</w:t>
      </w:r>
      <w:r>
        <w:t xml:space="preserve"> </w:t>
      </w:r>
      <w:r w:rsidRPr="00264861">
        <w:rPr>
          <w:rStyle w:val="StyleNumberedparagraphs11ptChar"/>
          <w:szCs w:val="22"/>
        </w:rPr>
        <w:t>that the denied application</w:t>
      </w:r>
      <w:r>
        <w:rPr>
          <w:rStyle w:val="StyleNumberedparagraphs11ptChar"/>
          <w:szCs w:val="22"/>
        </w:rPr>
        <w:t xml:space="preserve"> for Funding Request Number 18452711 IS </w:t>
      </w:r>
      <w:r w:rsidRPr="00264861">
        <w:rPr>
          <w:rStyle w:val="StyleNumberedparagraphs11ptChar"/>
          <w:szCs w:val="22"/>
        </w:rPr>
        <w:t>REMANDED to USAC for further action in accordance with the terms of this Order.</w:t>
      </w:r>
    </w:p>
    <w:p w:rsidR="00CE09A9" w:rsidRPr="00B83C7C" w:rsidP="00CE09A9" w14:paraId="107A1292" w14:textId="77777777">
      <w:pPr>
        <w:pStyle w:val="ParaNum"/>
        <w:rPr>
          <w:rStyle w:val="StyleNumberedparagraphs11ptChar"/>
          <w:szCs w:val="22"/>
        </w:rPr>
      </w:pPr>
      <w:r w:rsidRPr="00B83C7C">
        <w:rPr>
          <w:szCs w:val="22"/>
        </w:rPr>
        <w:t>IT IS FURTHER ORDERED that, pursuant to the authority delegated in section 1.102(b)(1) of the Commission’s rules, 47 CFR</w:t>
      </w:r>
      <w:r w:rsidRPr="00B83C7C">
        <w:rPr>
          <w:rStyle w:val="StyleNumberedparagraphs11ptChar"/>
          <w:szCs w:val="22"/>
        </w:rPr>
        <w:t xml:space="preserve"> § 1.102(b)(1), this order SHALL BE EFFECTIVE upon release.</w:t>
      </w:r>
    </w:p>
    <w:p w:rsidR="00C63D88" w:rsidP="00CE09A9" w14:paraId="52276428" w14:textId="77777777">
      <w:pPr>
        <w:rPr>
          <w:szCs w:val="22"/>
        </w:rPr>
      </w:pPr>
      <w:r w:rsidRPr="00B83C7C">
        <w:rPr>
          <w:szCs w:val="22"/>
        </w:rPr>
        <w:tab/>
      </w:r>
      <w:r w:rsidRPr="00B83C7C">
        <w:rPr>
          <w:szCs w:val="22"/>
        </w:rPr>
        <w:tab/>
      </w:r>
      <w:r w:rsidRPr="00B83C7C">
        <w:rPr>
          <w:szCs w:val="22"/>
        </w:rPr>
        <w:tab/>
      </w:r>
      <w:r w:rsidRPr="00B83C7C">
        <w:rPr>
          <w:szCs w:val="22"/>
        </w:rPr>
        <w:tab/>
      </w:r>
      <w:r w:rsidRPr="00B83C7C">
        <w:rPr>
          <w:szCs w:val="22"/>
        </w:rPr>
        <w:tab/>
      </w:r>
      <w:r w:rsidRPr="00B83C7C">
        <w:rPr>
          <w:szCs w:val="22"/>
        </w:rPr>
        <w:tab/>
      </w:r>
    </w:p>
    <w:p w:rsidR="00C63D88" w:rsidP="00C63D88" w14:paraId="72122429" w14:textId="77777777">
      <w:pPr>
        <w:ind w:left="3600" w:firstLine="720"/>
        <w:rPr>
          <w:szCs w:val="22"/>
        </w:rPr>
      </w:pPr>
    </w:p>
    <w:p w:rsidR="00CE09A9" w:rsidRPr="00B83C7C" w:rsidP="00C63D88" w14:paraId="362720EA" w14:textId="4C3A4266">
      <w:pPr>
        <w:ind w:left="3600" w:firstLine="720"/>
        <w:rPr>
          <w:szCs w:val="22"/>
        </w:rPr>
      </w:pPr>
      <w:r w:rsidRPr="00B83C7C">
        <w:rPr>
          <w:szCs w:val="22"/>
        </w:rPr>
        <w:t>FEDERAL COMMUNICATIONS COMMISSION</w:t>
      </w:r>
    </w:p>
    <w:p w:rsidR="00CE09A9" w:rsidRPr="00B83C7C" w:rsidP="00CE09A9" w14:paraId="16267B7D" w14:textId="77777777">
      <w:pPr>
        <w:rPr>
          <w:szCs w:val="22"/>
        </w:rPr>
      </w:pPr>
    </w:p>
    <w:p w:rsidR="00CE09A9" w:rsidRPr="00B83C7C" w:rsidP="00CE09A9" w14:paraId="5D5C3304" w14:textId="77777777">
      <w:pPr>
        <w:rPr>
          <w:szCs w:val="22"/>
        </w:rPr>
      </w:pPr>
    </w:p>
    <w:p w:rsidR="00CE09A9" w:rsidRPr="00B83C7C" w:rsidP="00CE09A9" w14:paraId="351DFAAB" w14:textId="77777777">
      <w:pPr>
        <w:keepNext/>
        <w:keepLines/>
        <w:ind w:left="3600" w:firstLine="720"/>
        <w:outlineLvl w:val="0"/>
        <w:rPr>
          <w:szCs w:val="22"/>
        </w:rPr>
      </w:pPr>
    </w:p>
    <w:p w:rsidR="00CE09A9" w:rsidRPr="00B83C7C" w:rsidP="00CE09A9" w14:paraId="5A264045" w14:textId="77777777">
      <w:pPr>
        <w:keepNext/>
        <w:keepLines/>
        <w:ind w:left="3600" w:firstLine="720"/>
        <w:outlineLvl w:val="0"/>
        <w:rPr>
          <w:szCs w:val="22"/>
        </w:rPr>
      </w:pPr>
    </w:p>
    <w:p w:rsidR="00CE09A9" w:rsidRPr="00BB3BEF" w:rsidP="00CE09A9" w14:paraId="087C8238" w14:textId="77777777">
      <w:pPr>
        <w:pStyle w:val="ParaNum"/>
        <w:numPr>
          <w:ilvl w:val="0"/>
          <w:numId w:val="0"/>
        </w:numPr>
        <w:spacing w:after="0"/>
        <w:ind w:left="3600" w:firstLine="720"/>
      </w:pPr>
      <w:r w:rsidRPr="00BB3BEF">
        <w:t>Kris Anne Monteith</w:t>
      </w:r>
    </w:p>
    <w:p w:rsidR="00CE09A9" w:rsidRPr="00BB3BEF" w:rsidP="00CE09A9" w14:paraId="2B9C4815" w14:textId="77777777">
      <w:pPr>
        <w:pStyle w:val="ParaNum"/>
        <w:numPr>
          <w:ilvl w:val="0"/>
          <w:numId w:val="0"/>
        </w:numPr>
        <w:spacing w:after="0"/>
        <w:ind w:left="3600" w:firstLine="720"/>
      </w:pPr>
      <w:r w:rsidRPr="00BB3BEF">
        <w:t>Chief</w:t>
      </w:r>
    </w:p>
    <w:p w:rsidR="00412FC5" w:rsidRPr="00CE09A9" w:rsidP="00CE09A9" w14:paraId="1BCBF299" w14:textId="68E3DE97">
      <w:pPr>
        <w:pStyle w:val="ParaNum"/>
        <w:numPr>
          <w:ilvl w:val="0"/>
          <w:numId w:val="0"/>
        </w:numPr>
        <w:ind w:left="3600" w:firstLine="720"/>
        <w:rPr>
          <w:szCs w:val="22"/>
        </w:rPr>
      </w:pPr>
      <w:r w:rsidRPr="00BB3BEF">
        <w:t>Wireline Competition Burea</w:t>
      </w:r>
      <w:r>
        <w:rPr>
          <w:szCs w:val="22"/>
        </w:rPr>
        <w:t>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9A1F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B630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4CFA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3436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09A9" w14:paraId="7A269758" w14:textId="77777777">
      <w:r>
        <w:separator/>
      </w:r>
    </w:p>
  </w:footnote>
  <w:footnote w:type="continuationSeparator" w:id="1">
    <w:p w:rsidR="00CE09A9" w:rsidP="00C721AC" w14:paraId="630EA4DE" w14:textId="77777777">
      <w:pPr>
        <w:spacing w:before="120"/>
        <w:rPr>
          <w:sz w:val="20"/>
        </w:rPr>
      </w:pPr>
      <w:r>
        <w:rPr>
          <w:sz w:val="20"/>
        </w:rPr>
        <w:t xml:space="preserve">(Continued from previous page)  </w:t>
      </w:r>
      <w:r>
        <w:rPr>
          <w:sz w:val="20"/>
        </w:rPr>
        <w:separator/>
      </w:r>
    </w:p>
  </w:footnote>
  <w:footnote w:type="continuationNotice" w:id="2">
    <w:p w:rsidR="00CE09A9" w:rsidP="00C721AC" w14:paraId="48B5AB3E" w14:textId="77777777">
      <w:pPr>
        <w:jc w:val="right"/>
        <w:rPr>
          <w:sz w:val="20"/>
        </w:rPr>
      </w:pPr>
      <w:r>
        <w:rPr>
          <w:sz w:val="20"/>
        </w:rPr>
        <w:t>(continued….)</w:t>
      </w:r>
    </w:p>
  </w:footnote>
  <w:footnote w:id="3">
    <w:p w:rsidR="00CE09A9" w:rsidRPr="007352B3" w:rsidP="00CE09A9" w14:paraId="55EB2580" w14:textId="719DB502">
      <w:pPr>
        <w:pStyle w:val="FootnoteText"/>
      </w:pPr>
      <w:r w:rsidRPr="007352B3">
        <w:rPr>
          <w:rStyle w:val="FootnoteReference"/>
        </w:rPr>
        <w:footnoteRef/>
      </w:r>
      <w:r w:rsidRPr="007352B3">
        <w:t xml:space="preserve">  Request for Review by Midwest Medical Center, WC Docket No. 02-60 (filed May 26, 2020)</w:t>
      </w:r>
      <w:r>
        <w:t xml:space="preserve">, </w:t>
      </w:r>
      <w:hyperlink r:id="rId1" w:history="1">
        <w:r w:rsidRPr="008D0878">
          <w:rPr>
            <w:rStyle w:val="Hyperlink"/>
          </w:rPr>
          <w:t>https://www.fcc.gov/ecfs/filing/10526088395645</w:t>
        </w:r>
      </w:hyperlink>
      <w:r>
        <w:t xml:space="preserve"> </w:t>
      </w:r>
      <w:r>
        <w:t>(Request for Review)</w:t>
      </w:r>
      <w:r w:rsidRPr="007352B3">
        <w:t>.</w:t>
      </w:r>
    </w:p>
  </w:footnote>
  <w:footnote w:id="4">
    <w:p w:rsidR="00CE09A9" w:rsidRPr="007352B3" w:rsidP="00CE09A9" w14:paraId="596B5998" w14:textId="77777777">
      <w:pPr>
        <w:pStyle w:val="Default"/>
        <w:spacing w:after="120"/>
        <w:rPr>
          <w:sz w:val="20"/>
          <w:szCs w:val="20"/>
        </w:rPr>
      </w:pPr>
      <w:r w:rsidRPr="007352B3">
        <w:rPr>
          <w:rStyle w:val="FootnoteReference"/>
          <w:szCs w:val="20"/>
        </w:rPr>
        <w:footnoteRef/>
      </w:r>
      <w:r w:rsidRPr="007352B3">
        <w:rPr>
          <w:sz w:val="20"/>
          <w:szCs w:val="20"/>
        </w:rPr>
        <w:t xml:space="preserve"> 47 CFR § 54.634(a)</w:t>
      </w:r>
      <w:r>
        <w:rPr>
          <w:sz w:val="20"/>
          <w:szCs w:val="20"/>
        </w:rPr>
        <w:t xml:space="preserve"> (2018)</w:t>
      </w:r>
      <w:r w:rsidRPr="007352B3">
        <w:rPr>
          <w:sz w:val="20"/>
          <w:szCs w:val="20"/>
        </w:rPr>
        <w:t xml:space="preserve">. </w:t>
      </w:r>
      <w:r>
        <w:rPr>
          <w:sz w:val="20"/>
          <w:szCs w:val="20"/>
        </w:rPr>
        <w:t xml:space="preserve"> </w:t>
      </w:r>
      <w:r w:rsidRPr="007352B3">
        <w:rPr>
          <w:sz w:val="20"/>
          <w:szCs w:val="20"/>
        </w:rPr>
        <w:t xml:space="preserve">Effective October 11, 2019, this section has been re-codified as 47 CFR § 54.612(a).  </w:t>
      </w:r>
    </w:p>
  </w:footnote>
  <w:footnote w:id="5">
    <w:p w:rsidR="00CE09A9" w:rsidRPr="007352B3" w:rsidP="00CE09A9" w14:paraId="0658FEAE" w14:textId="77777777">
      <w:pPr>
        <w:pStyle w:val="FootnoteText"/>
      </w:pPr>
      <w:r w:rsidRPr="007352B3">
        <w:rPr>
          <w:rStyle w:val="FootnoteReference"/>
        </w:rPr>
        <w:footnoteRef/>
      </w:r>
      <w:r w:rsidRPr="007352B3">
        <w:t xml:space="preserve"> </w:t>
      </w:r>
      <w:r>
        <w:rPr>
          <w:i/>
          <w:iCs/>
        </w:rPr>
        <w:t xml:space="preserve">See </w:t>
      </w:r>
      <w:r>
        <w:t xml:space="preserve">47 CFR § 54.635(a) (2018).  </w:t>
      </w:r>
      <w:r w:rsidRPr="007352B3">
        <w:t>Effective October 11, 2019, this section has been re-codified as 47 CFR § 54.613(a).</w:t>
      </w:r>
    </w:p>
  </w:footnote>
  <w:footnote w:id="6">
    <w:p w:rsidR="00CE09A9" w:rsidP="00CE09A9" w14:paraId="1F2F0040" w14:textId="77777777">
      <w:pPr>
        <w:pStyle w:val="FootnoteText"/>
      </w:pPr>
      <w:r>
        <w:rPr>
          <w:rStyle w:val="FootnoteReference"/>
        </w:rPr>
        <w:footnoteRef/>
      </w:r>
      <w:r>
        <w:t xml:space="preserve"> </w:t>
      </w:r>
      <w:r w:rsidRPr="004F5C1E">
        <w:rPr>
          <w:i/>
          <w:iCs/>
        </w:rPr>
        <w:t>See</w:t>
      </w:r>
      <w:r>
        <w:t xml:space="preserve"> 47 CFR § 54.643(a) (2018).  Effective October 11, 2019, this section has been re-codified as 47 CFR § 54.623(a).  </w:t>
      </w:r>
      <w:r>
        <w:rPr>
          <w:i/>
          <w:iCs/>
        </w:rPr>
        <w:t xml:space="preserve">See also </w:t>
      </w:r>
      <w:r>
        <w:t xml:space="preserve">Rural Health Care (RHC) Universal Service, Healthcare Connect Fund, Funding Request Form, OMB 3060-0804 (July 2014) (FCC Form 462). </w:t>
      </w:r>
    </w:p>
  </w:footnote>
  <w:footnote w:id="7">
    <w:p w:rsidR="00CE09A9" w:rsidRPr="007352B3" w:rsidP="00CE09A9" w14:paraId="69296313" w14:textId="77777777">
      <w:pPr>
        <w:pStyle w:val="FootnoteText"/>
      </w:pPr>
      <w:r w:rsidRPr="007352B3">
        <w:rPr>
          <w:rStyle w:val="FootnoteReference"/>
        </w:rPr>
        <w:footnoteRef/>
      </w:r>
      <w:r w:rsidRPr="007352B3">
        <w:t xml:space="preserve"> </w:t>
      </w:r>
      <w:r w:rsidRPr="007352B3">
        <w:rPr>
          <w:i/>
          <w:iCs/>
        </w:rPr>
        <w:t xml:space="preserve">See </w:t>
      </w:r>
      <w:r w:rsidRPr="004F5C1E">
        <w:t>FCC Form 462</w:t>
      </w:r>
      <w:r w:rsidRPr="007352B3">
        <w:t xml:space="preserve">. </w:t>
      </w:r>
    </w:p>
  </w:footnote>
  <w:footnote w:id="8">
    <w:p w:rsidR="00CE09A9" w:rsidRPr="007352B3" w:rsidP="00CE09A9" w14:paraId="73CAC935" w14:textId="77777777">
      <w:pPr>
        <w:pStyle w:val="FootnoteText"/>
      </w:pPr>
      <w:r w:rsidRPr="007352B3">
        <w:rPr>
          <w:rStyle w:val="FootnoteReference"/>
        </w:rPr>
        <w:footnoteRef/>
      </w:r>
      <w:r w:rsidRPr="007352B3">
        <w:t xml:space="preserve"> </w:t>
      </w:r>
      <w:r w:rsidRPr="007352B3">
        <w:rPr>
          <w:i/>
          <w:iCs/>
        </w:rPr>
        <w:t>See</w:t>
      </w:r>
      <w:r w:rsidRPr="00DD6E10">
        <w:t xml:space="preserve"> </w:t>
      </w:r>
      <w:r w:rsidRPr="007352B3">
        <w:t xml:space="preserve">Request for Review </w:t>
      </w:r>
      <w:r>
        <w:t>Attachments (</w:t>
      </w:r>
      <w:r w:rsidRPr="007352B3">
        <w:t xml:space="preserve">Email from Rachel </w:t>
      </w:r>
      <w:r w:rsidRPr="007352B3">
        <w:t>Lawmaster</w:t>
      </w:r>
      <w:r w:rsidRPr="007352B3">
        <w:t>, Espy Services, Inc. on behalf of Midwest Medical Center, to the Rural Health Care Division, USAC (July 12, 2018)</w:t>
      </w:r>
      <w:r>
        <w:t>)</w:t>
      </w:r>
      <w:r w:rsidRPr="007352B3">
        <w:t>.</w:t>
      </w:r>
      <w:r>
        <w:t xml:space="preserve">  MMC referred to this equipment as a “wireless network bridge.”  </w:t>
      </w:r>
      <w:r w:rsidRPr="004F5C1E">
        <w:rPr>
          <w:i/>
          <w:iCs/>
        </w:rPr>
        <w:t>Id</w:t>
      </w:r>
      <w:r>
        <w:t>.</w:t>
      </w:r>
    </w:p>
  </w:footnote>
  <w:footnote w:id="9">
    <w:p w:rsidR="00CE09A9" w:rsidRPr="00D968CF" w:rsidP="00CE09A9" w14:paraId="4595F961" w14:textId="77777777">
      <w:pPr>
        <w:pStyle w:val="FootnoteText"/>
      </w:pPr>
      <w:r>
        <w:rPr>
          <w:rStyle w:val="FootnoteReference"/>
        </w:rPr>
        <w:footnoteRef/>
      </w:r>
      <w:r>
        <w:t xml:space="preserve"> </w:t>
      </w:r>
      <w:r w:rsidRPr="004F5C1E">
        <w:rPr>
          <w:i/>
          <w:iCs/>
        </w:rPr>
        <w:t>See id</w:t>
      </w:r>
      <w:r>
        <w:t>.</w:t>
      </w:r>
      <w:r w:rsidRPr="007352B3">
        <w:t xml:space="preserve"> </w:t>
      </w:r>
      <w:r>
        <w:t>(</w:t>
      </w:r>
      <w:r w:rsidRPr="007352B3">
        <w:t>Email from Rural Health Care Division, USAC to Midwest Medical Center (July 11, 2018)</w:t>
      </w:r>
      <w:r>
        <w:t xml:space="preserve">). </w:t>
      </w:r>
      <w:r w:rsidRPr="004F5C1E">
        <w:rPr>
          <w:i/>
          <w:iCs/>
        </w:rPr>
        <w:t>See</w:t>
      </w:r>
      <w:r>
        <w:t xml:space="preserve"> </w:t>
      </w:r>
      <w:r w:rsidRPr="004F5C1E">
        <w:rPr>
          <w:i/>
          <w:iCs/>
        </w:rPr>
        <w:t>also</w:t>
      </w:r>
      <w:r>
        <w:rPr>
          <w:i/>
          <w:iCs/>
        </w:rPr>
        <w:t xml:space="preserve"> id</w:t>
      </w:r>
      <w:r>
        <w:t>. (</w:t>
      </w:r>
      <w:r w:rsidRPr="007352B3">
        <w:t xml:space="preserve">Email from Rachel </w:t>
      </w:r>
      <w:r w:rsidRPr="007352B3">
        <w:t>Lawmaster</w:t>
      </w:r>
      <w:r w:rsidRPr="007352B3">
        <w:t>, Espy Services, Inc. on behalf of Midwest Medical Center, to the Rural Health Care Division, USAC (July 12, 2018)</w:t>
      </w:r>
      <w:r>
        <w:t>)</w:t>
      </w:r>
      <w:r w:rsidRPr="007352B3">
        <w:t>.</w:t>
      </w:r>
    </w:p>
  </w:footnote>
  <w:footnote w:id="10">
    <w:p w:rsidR="00CE09A9" w:rsidRPr="007352B3" w:rsidP="00CE09A9" w14:paraId="258CD349" w14:textId="16C41502">
      <w:pPr>
        <w:pStyle w:val="FootnoteText"/>
      </w:pPr>
      <w:r w:rsidRPr="007352B3">
        <w:rPr>
          <w:rStyle w:val="FootnoteReference"/>
        </w:rPr>
        <w:footnoteRef/>
      </w:r>
      <w:r w:rsidRPr="007352B3">
        <w:t xml:space="preserve"> </w:t>
      </w:r>
      <w:r w:rsidRPr="007352B3">
        <w:rPr>
          <w:i/>
          <w:iCs/>
        </w:rPr>
        <w:t>See</w:t>
      </w:r>
      <w:r>
        <w:t xml:space="preserve"> </w:t>
      </w:r>
      <w:r>
        <w:rPr>
          <w:i/>
          <w:iCs/>
        </w:rPr>
        <w:t>i</w:t>
      </w:r>
      <w:r w:rsidRPr="004F5C1E">
        <w:rPr>
          <w:i/>
          <w:iCs/>
        </w:rPr>
        <w:t>d</w:t>
      </w:r>
      <w:r>
        <w:t>.</w:t>
      </w:r>
      <w:r w:rsidRPr="007352B3">
        <w:rPr>
          <w:i/>
          <w:iCs/>
        </w:rPr>
        <w:t xml:space="preserve"> </w:t>
      </w:r>
      <w:r>
        <w:t>(</w:t>
      </w:r>
      <w:r w:rsidRPr="007352B3">
        <w:t xml:space="preserve">Quote from Christopher Geyer, </w:t>
      </w:r>
      <w:r w:rsidRPr="007352B3">
        <w:t>Netux</w:t>
      </w:r>
      <w:r w:rsidRPr="007352B3">
        <w:t xml:space="preserve"> Solutions, LLC to Steve Dittmer, Midwest Medical Center (Apr</w:t>
      </w:r>
      <w:r>
        <w:t>.</w:t>
      </w:r>
      <w:r w:rsidRPr="007352B3">
        <w:t xml:space="preserve"> 23, 2018)</w:t>
      </w:r>
      <w:r>
        <w:t>)</w:t>
      </w:r>
      <w:r w:rsidRPr="007352B3">
        <w:t>.</w:t>
      </w:r>
    </w:p>
  </w:footnote>
  <w:footnote w:id="11">
    <w:p w:rsidR="00CE09A9" w:rsidRPr="007352B3" w:rsidP="00CE09A9" w14:paraId="26925137" w14:textId="33B0BF44">
      <w:pPr>
        <w:pStyle w:val="FootnoteText"/>
      </w:pPr>
      <w:r w:rsidRPr="007352B3">
        <w:rPr>
          <w:rStyle w:val="FootnoteReference"/>
        </w:rPr>
        <w:footnoteRef/>
      </w:r>
      <w:r w:rsidRPr="007352B3">
        <w:t xml:space="preserve">  Each location would utilize the wireless </w:t>
      </w:r>
      <w:r>
        <w:t>equipment</w:t>
      </w:r>
      <w:r w:rsidRPr="007352B3">
        <w:t xml:space="preserve"> for sending data backups to the other location and for disaster recovery in the event of a natural or </w:t>
      </w:r>
      <w:r>
        <w:t>hu</w:t>
      </w:r>
      <w:r w:rsidRPr="007352B3">
        <w:t xml:space="preserve">man-made disaster that results in a threat to each location’s technology infrastructure. The main purpose of both of these services is to duplicate data from each location </w:t>
      </w:r>
      <w:r w:rsidRPr="007352B3">
        <w:rPr>
          <w:shd w:val="clear" w:color="auto" w:fill="FFFFFF"/>
        </w:rPr>
        <w:t>and store it in another location so that it may be used to restore the original data after a data loss event.</w:t>
      </w:r>
      <w:r>
        <w:rPr>
          <w:shd w:val="clear" w:color="auto" w:fill="FFFFFF"/>
        </w:rPr>
        <w:t xml:space="preserve">  Redundant, secondary, or fail-over services are eligible for support in the HCF Program but the cost and bandwidth of those services must reasonably reflect their use as a secondary service and the most cost-effective option must be used. </w:t>
      </w:r>
      <w:bookmarkStart w:id="1" w:name="_Hlk81225403"/>
      <w:r w:rsidRPr="001A20F7">
        <w:rPr>
          <w:i/>
          <w:iCs/>
          <w:shd w:val="clear" w:color="auto" w:fill="FFFFFF"/>
        </w:rPr>
        <w:t>See</w:t>
      </w:r>
      <w:r>
        <w:rPr>
          <w:shd w:val="clear" w:color="auto" w:fill="FFFFFF"/>
        </w:rPr>
        <w:t xml:space="preserve"> </w:t>
      </w:r>
      <w:r w:rsidRPr="007352B3">
        <w:rPr>
          <w:i/>
          <w:iCs/>
        </w:rPr>
        <w:t xml:space="preserve">Rural Healthcare Support Mechanism, </w:t>
      </w:r>
      <w:r w:rsidRPr="007352B3">
        <w:t xml:space="preserve">WC Docket No. 02-60, Report and Order, 27 FCC </w:t>
      </w:r>
      <w:r w:rsidRPr="007352B3">
        <w:t>Rcd</w:t>
      </w:r>
      <w:r w:rsidRPr="007352B3">
        <w:t xml:space="preserve"> 16678,</w:t>
      </w:r>
      <w:r>
        <w:t xml:space="preserve"> 16730-31</w:t>
      </w:r>
      <w:r w:rsidRPr="007352B3">
        <w:t xml:space="preserve"> paras. </w:t>
      </w:r>
      <w:r>
        <w:t>113, n.295</w:t>
      </w:r>
      <w:r w:rsidRPr="007352B3">
        <w:t xml:space="preserve"> (2012)</w:t>
      </w:r>
      <w:r>
        <w:t xml:space="preserve"> (</w:t>
      </w:r>
      <w:r w:rsidRPr="00CE09A9">
        <w:rPr>
          <w:i/>
          <w:iCs/>
        </w:rPr>
        <w:t>Healthcare Connect Fund Order</w:t>
      </w:r>
      <w:r>
        <w:t>)</w:t>
      </w:r>
      <w:r w:rsidRPr="007352B3">
        <w:t>.</w:t>
      </w:r>
      <w:bookmarkEnd w:id="1"/>
    </w:p>
  </w:footnote>
  <w:footnote w:id="12">
    <w:p w:rsidR="00CE09A9" w:rsidRPr="007352B3" w:rsidP="00CE09A9" w14:paraId="56427F93" w14:textId="01F1CBE2">
      <w:pPr>
        <w:pStyle w:val="FootnoteText"/>
      </w:pPr>
      <w:r w:rsidRPr="007352B3">
        <w:rPr>
          <w:rStyle w:val="FootnoteReference"/>
        </w:rPr>
        <w:footnoteRef/>
      </w:r>
      <w:r w:rsidRPr="007352B3">
        <w:t xml:space="preserve"> </w:t>
      </w:r>
      <w:r w:rsidRPr="007352B3">
        <w:rPr>
          <w:i/>
          <w:iCs/>
        </w:rPr>
        <w:t xml:space="preserve">See </w:t>
      </w:r>
      <w:r w:rsidRPr="007352B3">
        <w:t xml:space="preserve">Request for Review </w:t>
      </w:r>
      <w:r>
        <w:t>Attachments (</w:t>
      </w:r>
      <w:r w:rsidRPr="007352B3">
        <w:t>Email from Rural Health Care Division, USAC to Midwest Medical Center (July 11, 2018)</w:t>
      </w:r>
      <w:r>
        <w:t>)</w:t>
      </w:r>
      <w:r w:rsidRPr="007352B3">
        <w:t xml:space="preserve">; </w:t>
      </w:r>
      <w:r w:rsidR="00B021E5">
        <w:rPr>
          <w:i/>
          <w:iCs/>
        </w:rPr>
        <w:t>i</w:t>
      </w:r>
      <w:r w:rsidRPr="004F5C1E">
        <w:rPr>
          <w:i/>
          <w:iCs/>
        </w:rPr>
        <w:t>d</w:t>
      </w:r>
      <w:r>
        <w:t>. (</w:t>
      </w:r>
      <w:r w:rsidRPr="007352B3">
        <w:t xml:space="preserve">Email from Julio Fuentes, Rural Health Care Division, USAC to Rachel </w:t>
      </w:r>
      <w:r w:rsidRPr="007352B3">
        <w:t>Lawmaster</w:t>
      </w:r>
      <w:r w:rsidRPr="007352B3">
        <w:t>, Government Funding Specialist, Espy Services, Inc. on behalf of Midwest Medical Center (July 11, 2018)</w:t>
      </w:r>
      <w:r>
        <w:t>)</w:t>
      </w:r>
      <w:r w:rsidRPr="007352B3">
        <w:t xml:space="preserve">. </w:t>
      </w:r>
    </w:p>
  </w:footnote>
  <w:footnote w:id="13">
    <w:p w:rsidR="00CE09A9" w:rsidRPr="007352B3" w:rsidP="00CE09A9" w14:paraId="50250703" w14:textId="77777777">
      <w:pPr>
        <w:pStyle w:val="FootnoteText"/>
      </w:pPr>
      <w:r w:rsidRPr="007352B3">
        <w:rPr>
          <w:rStyle w:val="FootnoteReference"/>
        </w:rPr>
        <w:footnoteRef/>
      </w:r>
      <w:r w:rsidRPr="007352B3">
        <w:t xml:space="preserve"> The T-1 circuits allowed </w:t>
      </w:r>
      <w:r>
        <w:t>MMC</w:t>
      </w:r>
      <w:r w:rsidRPr="007352B3">
        <w:t xml:space="preserve"> to replicate </w:t>
      </w:r>
      <w:r>
        <w:t>its</w:t>
      </w:r>
      <w:r w:rsidRPr="007352B3">
        <w:t xml:space="preserve"> servers at other locations for backup and disaster recovery and allowed MMC to call direct extensions over the </w:t>
      </w:r>
      <w:r>
        <w:t>Virtual Private Network (</w:t>
      </w:r>
      <w:r w:rsidRPr="007352B3">
        <w:t>VPN</w:t>
      </w:r>
      <w:r>
        <w:t>)</w:t>
      </w:r>
      <w:r w:rsidRPr="007352B3">
        <w:t xml:space="preserve"> so providers and staff could communicate. </w:t>
      </w:r>
      <w:r w:rsidRPr="007352B3">
        <w:rPr>
          <w:i/>
          <w:iCs/>
        </w:rPr>
        <w:t>See</w:t>
      </w:r>
      <w:r>
        <w:t xml:space="preserve"> </w:t>
      </w:r>
      <w:r w:rsidRPr="004F5C1E">
        <w:rPr>
          <w:i/>
          <w:iCs/>
        </w:rPr>
        <w:t>id</w:t>
      </w:r>
      <w:r>
        <w:t>.</w:t>
      </w:r>
      <w:r w:rsidRPr="007352B3">
        <w:rPr>
          <w:i/>
          <w:iCs/>
        </w:rPr>
        <w:t xml:space="preserve"> </w:t>
      </w:r>
      <w:r>
        <w:t>(</w:t>
      </w:r>
      <w:r w:rsidRPr="007352B3">
        <w:t xml:space="preserve">Email from Rachel </w:t>
      </w:r>
      <w:r w:rsidRPr="007352B3">
        <w:t>Lawmaster</w:t>
      </w:r>
      <w:r w:rsidRPr="007352B3">
        <w:t>, Espy Services, Inc. on behalf of Midwest Medical Center, to the Rural Health Care Division, USAC (July 12, 2018)</w:t>
      </w:r>
      <w:r>
        <w:t>)</w:t>
      </w:r>
      <w:r w:rsidRPr="007352B3">
        <w:t>.</w:t>
      </w:r>
    </w:p>
  </w:footnote>
  <w:footnote w:id="14">
    <w:p w:rsidR="00CE09A9" w:rsidRPr="007352B3" w:rsidP="00CE09A9" w14:paraId="378AEB69" w14:textId="01714773">
      <w:pPr>
        <w:autoSpaceDE w:val="0"/>
        <w:autoSpaceDN w:val="0"/>
        <w:adjustRightInd w:val="0"/>
        <w:spacing w:after="120"/>
        <w:rPr>
          <w:sz w:val="20"/>
        </w:rPr>
      </w:pPr>
      <w:r w:rsidRPr="007352B3">
        <w:rPr>
          <w:rStyle w:val="FootnoteReference"/>
        </w:rPr>
        <w:footnoteRef/>
      </w:r>
      <w:r w:rsidRPr="007352B3">
        <w:rPr>
          <w:sz w:val="20"/>
        </w:rPr>
        <w:t xml:space="preserve"> </w:t>
      </w:r>
      <w:r w:rsidRPr="00264861">
        <w:rPr>
          <w:sz w:val="20"/>
        </w:rPr>
        <w:t>Request for Review</w:t>
      </w:r>
      <w:r>
        <w:rPr>
          <w:sz w:val="20"/>
        </w:rPr>
        <w:t xml:space="preserve"> Attachments (</w:t>
      </w:r>
      <w:r w:rsidRPr="007352B3">
        <w:rPr>
          <w:sz w:val="20"/>
        </w:rPr>
        <w:t>Email from USAC to Espy Services (Jan</w:t>
      </w:r>
      <w:r>
        <w:rPr>
          <w:sz w:val="20"/>
        </w:rPr>
        <w:t>.</w:t>
      </w:r>
      <w:r w:rsidRPr="007352B3">
        <w:rPr>
          <w:sz w:val="20"/>
        </w:rPr>
        <w:t xml:space="preserve"> 18, 2019)</w:t>
      </w:r>
      <w:r>
        <w:rPr>
          <w:sz w:val="20"/>
        </w:rPr>
        <w:t>)</w:t>
      </w:r>
      <w:r w:rsidRPr="007352B3">
        <w:rPr>
          <w:sz w:val="20"/>
        </w:rPr>
        <w:t>.</w:t>
      </w:r>
    </w:p>
  </w:footnote>
  <w:footnote w:id="15">
    <w:p w:rsidR="00CE09A9" w:rsidP="00CE09A9" w14:paraId="6775F582" w14:textId="77777777">
      <w:pPr>
        <w:pStyle w:val="FootnoteText"/>
      </w:pPr>
      <w:r>
        <w:rPr>
          <w:rStyle w:val="FootnoteReference"/>
        </w:rPr>
        <w:footnoteRef/>
      </w:r>
      <w:r>
        <w:t xml:space="preserve"> </w:t>
      </w:r>
      <w:r w:rsidRPr="00D27DF8">
        <w:rPr>
          <w:i/>
          <w:iCs/>
        </w:rPr>
        <w:t>See</w:t>
      </w:r>
      <w:r>
        <w:t xml:space="preserve"> Appeal from </w:t>
      </w:r>
      <w:r w:rsidRPr="007352B3">
        <w:t>Espy Services, Inc. on behalf of Midwest Medical Center, to the Rural Health Care Division, USAC</w:t>
      </w:r>
      <w:r>
        <w:t xml:space="preserve"> (Feb. 20, 2019) (USAC Appeal).</w:t>
      </w:r>
    </w:p>
  </w:footnote>
  <w:footnote w:id="16">
    <w:p w:rsidR="00CE09A9" w:rsidRPr="007352B3" w:rsidP="00CE09A9" w14:paraId="33585851" w14:textId="77777777">
      <w:pPr>
        <w:pStyle w:val="FootnoteText"/>
      </w:pPr>
      <w:r w:rsidRPr="007352B3">
        <w:rPr>
          <w:rStyle w:val="FootnoteReference"/>
        </w:rPr>
        <w:footnoteRef/>
      </w:r>
      <w:r w:rsidRPr="007352B3">
        <w:t xml:space="preserve"> MMC sought support for ethernet, internet, and ISDN PRI in FY 2018.</w:t>
      </w:r>
    </w:p>
  </w:footnote>
  <w:footnote w:id="17">
    <w:p w:rsidR="00CE09A9" w:rsidRPr="007352B3" w:rsidP="00CE09A9" w14:paraId="5F40D7F7" w14:textId="0207CCAC">
      <w:pPr>
        <w:pStyle w:val="FootnoteText"/>
      </w:pPr>
      <w:r w:rsidRPr="007352B3">
        <w:rPr>
          <w:rStyle w:val="FootnoteReference"/>
        </w:rPr>
        <w:footnoteRef/>
      </w:r>
      <w:r w:rsidRPr="007352B3">
        <w:t xml:space="preserve"> Request for Review </w:t>
      </w:r>
      <w:r>
        <w:t>Attachments (</w:t>
      </w:r>
      <w:r w:rsidRPr="007352B3">
        <w:t xml:space="preserve">Letter from USAC to Ms. Cindy </w:t>
      </w:r>
      <w:r w:rsidRPr="007352B3">
        <w:t>Hefel</w:t>
      </w:r>
      <w:r w:rsidRPr="007352B3">
        <w:t>, Midwest Medical Center (Apr</w:t>
      </w:r>
      <w:r>
        <w:t>.</w:t>
      </w:r>
      <w:r w:rsidRPr="007352B3">
        <w:t xml:space="preserve"> 16, 2020)</w:t>
      </w:r>
      <w:r>
        <w:t>)</w:t>
      </w:r>
      <w:r w:rsidRPr="007352B3">
        <w:t>.</w:t>
      </w:r>
    </w:p>
  </w:footnote>
  <w:footnote w:id="18">
    <w:p w:rsidR="00CE09A9" w:rsidRPr="007352B3" w:rsidP="00CE09A9" w14:paraId="55AA15F1" w14:textId="77777777">
      <w:pPr>
        <w:pStyle w:val="FootnoteText"/>
      </w:pPr>
      <w:r w:rsidRPr="007352B3">
        <w:rPr>
          <w:rStyle w:val="FootnoteReference"/>
        </w:rPr>
        <w:footnoteRef/>
      </w:r>
      <w:r w:rsidRPr="007352B3">
        <w:t xml:space="preserve"> Request for Review</w:t>
      </w:r>
      <w:r>
        <w:t>.</w:t>
      </w:r>
    </w:p>
  </w:footnote>
  <w:footnote w:id="19">
    <w:p w:rsidR="00CE09A9" w:rsidP="00CE09A9" w14:paraId="79189803" w14:textId="77777777">
      <w:pPr>
        <w:pStyle w:val="FootnoteText"/>
      </w:pPr>
      <w:r>
        <w:rPr>
          <w:rStyle w:val="FootnoteReference"/>
        </w:rPr>
        <w:footnoteRef/>
      </w:r>
      <w:r>
        <w:t xml:space="preserve"> </w:t>
      </w:r>
      <w:r w:rsidRPr="00DA050C">
        <w:rPr>
          <w:i/>
          <w:iCs/>
        </w:rPr>
        <w:t>See</w:t>
      </w:r>
      <w:r>
        <w:t xml:space="preserve"> </w:t>
      </w:r>
      <w:r w:rsidRPr="004F5C1E">
        <w:rPr>
          <w:i/>
          <w:iCs/>
        </w:rPr>
        <w:t>id</w:t>
      </w:r>
      <w:r>
        <w:t>.</w:t>
      </w:r>
    </w:p>
  </w:footnote>
  <w:footnote w:id="20">
    <w:p w:rsidR="00CE09A9" w:rsidRPr="007352B3" w:rsidP="00CE09A9" w14:paraId="21E50EF9" w14:textId="1B329947">
      <w:pPr>
        <w:autoSpaceDE w:val="0"/>
        <w:autoSpaceDN w:val="0"/>
        <w:adjustRightInd w:val="0"/>
        <w:spacing w:after="120"/>
        <w:rPr>
          <w:sz w:val="20"/>
        </w:rPr>
      </w:pPr>
      <w:r w:rsidRPr="007352B3">
        <w:rPr>
          <w:rStyle w:val="FootnoteReference"/>
        </w:rPr>
        <w:footnoteRef/>
      </w:r>
      <w:r w:rsidRPr="007352B3">
        <w:rPr>
          <w:sz w:val="20"/>
        </w:rPr>
        <w:t xml:space="preserve"> </w:t>
      </w:r>
      <w:r w:rsidR="00BD71EF">
        <w:rPr>
          <w:i/>
          <w:iCs/>
          <w:sz w:val="20"/>
        </w:rPr>
        <w:t>Healthcare Connect Fund Order</w:t>
      </w:r>
      <w:r w:rsidRPr="007A4A12">
        <w:rPr>
          <w:sz w:val="20"/>
        </w:rPr>
        <w:t xml:space="preserve">, </w:t>
      </w:r>
      <w:r w:rsidRPr="007352B3">
        <w:rPr>
          <w:sz w:val="20"/>
        </w:rPr>
        <w:t xml:space="preserve">27 FCC </w:t>
      </w:r>
      <w:r w:rsidRPr="007352B3">
        <w:rPr>
          <w:sz w:val="20"/>
        </w:rPr>
        <w:t>Rcd</w:t>
      </w:r>
      <w:r w:rsidRPr="007352B3">
        <w:rPr>
          <w:sz w:val="20"/>
        </w:rPr>
        <w:t xml:space="preserve"> </w:t>
      </w:r>
      <w:r>
        <w:rPr>
          <w:sz w:val="20"/>
        </w:rPr>
        <w:t xml:space="preserve">at </w:t>
      </w:r>
      <w:r w:rsidRPr="007352B3">
        <w:rPr>
          <w:sz w:val="20"/>
        </w:rPr>
        <w:t>16</w:t>
      </w:r>
      <w:r w:rsidR="00384E2C">
        <w:rPr>
          <w:sz w:val="20"/>
        </w:rPr>
        <w:t>750-753</w:t>
      </w:r>
      <w:r w:rsidRPr="007352B3">
        <w:rPr>
          <w:sz w:val="20"/>
        </w:rPr>
        <w:t>, paras. 156-163.</w:t>
      </w:r>
    </w:p>
  </w:footnote>
  <w:footnote w:id="21">
    <w:p w:rsidR="00CE09A9" w:rsidRPr="004236B6" w:rsidP="00CE09A9" w14:paraId="6B7C2A57" w14:textId="77777777">
      <w:pPr>
        <w:pStyle w:val="FootnoteText"/>
      </w:pPr>
      <w:r>
        <w:rPr>
          <w:rStyle w:val="FootnoteReference"/>
        </w:rPr>
        <w:footnoteRef/>
      </w:r>
      <w:r>
        <w:t xml:space="preserve"> </w:t>
      </w:r>
      <w:r>
        <w:rPr>
          <w:i/>
          <w:iCs/>
        </w:rPr>
        <w:t xml:space="preserve">See </w:t>
      </w:r>
      <w:r>
        <w:t>47 CFR § 54.635(a), (c) (2018)</w:t>
      </w:r>
      <w:r w:rsidRPr="007352B3">
        <w:t>.</w:t>
      </w:r>
      <w:r>
        <w:t xml:space="preserve">  </w:t>
      </w:r>
      <w:r w:rsidRPr="007352B3">
        <w:t xml:space="preserve">Effective October 11, 2019, </w:t>
      </w:r>
      <w:r>
        <w:t>these</w:t>
      </w:r>
      <w:r w:rsidRPr="007352B3">
        <w:t xml:space="preserve"> section</w:t>
      </w:r>
      <w:r>
        <w:t>s</w:t>
      </w:r>
      <w:r w:rsidRPr="007352B3">
        <w:t xml:space="preserve"> </w:t>
      </w:r>
      <w:r>
        <w:t>have</w:t>
      </w:r>
      <w:r w:rsidRPr="007352B3">
        <w:t xml:space="preserve"> been re-codified as 47 CFR § 54.613(a)</w:t>
      </w:r>
      <w:r>
        <w:t xml:space="preserve">, (c).  Additionally, consortium applicants may receive support for network equipment necessary to manage, control, or maintain an eligible service or a dedicated health care broadband network.  </w:t>
      </w:r>
      <w:r>
        <w:rPr>
          <w:i/>
          <w:iCs/>
        </w:rPr>
        <w:t xml:space="preserve">See </w:t>
      </w:r>
      <w:r>
        <w:t xml:space="preserve">47 CFR § 54.635(b) (2018).  </w:t>
      </w:r>
    </w:p>
  </w:footnote>
  <w:footnote w:id="22">
    <w:p w:rsidR="00CE09A9" w:rsidRPr="007352B3" w:rsidP="00CE09A9" w14:paraId="15713B2D" w14:textId="300DA62A">
      <w:pPr>
        <w:pStyle w:val="FootnoteText"/>
      </w:pPr>
      <w:r w:rsidRPr="007352B3">
        <w:rPr>
          <w:rStyle w:val="FootnoteReference"/>
        </w:rPr>
        <w:footnoteRef/>
      </w:r>
      <w:r w:rsidRPr="007352B3">
        <w:t xml:space="preserve"> </w:t>
      </w:r>
      <w:r w:rsidRPr="007352B3">
        <w:rPr>
          <w:i/>
          <w:iCs/>
        </w:rPr>
        <w:t>See</w:t>
      </w:r>
      <w:r w:rsidRPr="007352B3">
        <w:t xml:space="preserve"> </w:t>
      </w:r>
      <w:r w:rsidR="00A6054A">
        <w:rPr>
          <w:i/>
          <w:iCs/>
        </w:rPr>
        <w:t>Healthcare Connect Fund Order</w:t>
      </w:r>
      <w:r w:rsidRPr="007A4A12" w:rsidR="00A6054A">
        <w:t xml:space="preserve">, </w:t>
      </w:r>
      <w:r w:rsidRPr="007352B3" w:rsidR="00A6054A">
        <w:t xml:space="preserve">27 FCC </w:t>
      </w:r>
      <w:r w:rsidRPr="007352B3" w:rsidR="00A6054A">
        <w:t>Rcd</w:t>
      </w:r>
      <w:r w:rsidRPr="007352B3" w:rsidR="00A6054A">
        <w:t xml:space="preserve"> </w:t>
      </w:r>
      <w:r w:rsidR="00A6054A">
        <w:t xml:space="preserve">at </w:t>
      </w:r>
      <w:r w:rsidRPr="007352B3" w:rsidR="00A6054A">
        <w:t>16</w:t>
      </w:r>
      <w:r w:rsidR="00384E2C">
        <w:t>729-730</w:t>
      </w:r>
      <w:r w:rsidRPr="007352B3" w:rsidR="00A6054A">
        <w:t>, para.</w:t>
      </w:r>
      <w:r w:rsidR="00384E2C">
        <w:t xml:space="preserve"> 111</w:t>
      </w:r>
      <w:r w:rsidRPr="007352B3" w:rsidR="00A6054A">
        <w:t>.</w:t>
      </w:r>
    </w:p>
  </w:footnote>
  <w:footnote w:id="23">
    <w:p w:rsidR="00CE09A9" w:rsidRPr="007352B3" w:rsidP="00CE09A9" w14:paraId="33F7F2A8" w14:textId="1831342F">
      <w:pPr>
        <w:pStyle w:val="FootnoteText"/>
      </w:pPr>
      <w:r w:rsidRPr="007352B3">
        <w:rPr>
          <w:rStyle w:val="FootnoteReference"/>
        </w:rPr>
        <w:footnoteRef/>
      </w:r>
      <w:r w:rsidRPr="007352B3">
        <w:t xml:space="preserve"> </w:t>
      </w:r>
      <w:r w:rsidRPr="007352B3">
        <w:rPr>
          <w:i/>
          <w:iCs/>
        </w:rPr>
        <w:t>Id</w:t>
      </w:r>
      <w:r w:rsidRPr="007352B3">
        <w:t xml:space="preserve">. at </w:t>
      </w:r>
      <w:r w:rsidR="00DF54F5">
        <w:t xml:space="preserve">16753, </w:t>
      </w:r>
      <w:r w:rsidRPr="007352B3">
        <w:t>para. 1</w:t>
      </w:r>
      <w:r w:rsidR="00B021E5">
        <w:t>62</w:t>
      </w:r>
      <w:r w:rsidRPr="007352B3">
        <w:t>.</w:t>
      </w:r>
    </w:p>
  </w:footnote>
  <w:footnote w:id="24">
    <w:p w:rsidR="00CE09A9" w:rsidRPr="007352B3" w:rsidP="00CE09A9" w14:paraId="4A24F18B" w14:textId="368B523C">
      <w:pPr>
        <w:pStyle w:val="FootnoteText"/>
      </w:pPr>
      <w:r w:rsidRPr="007352B3">
        <w:rPr>
          <w:rStyle w:val="FootnoteReference"/>
        </w:rPr>
        <w:footnoteRef/>
      </w:r>
      <w:r w:rsidRPr="007352B3">
        <w:t xml:space="preserve"> </w:t>
      </w:r>
      <w:r w:rsidRPr="00F4665D">
        <w:rPr>
          <w:i/>
          <w:iCs/>
        </w:rPr>
        <w:t>See</w:t>
      </w:r>
      <w:r>
        <w:t xml:space="preserve"> </w:t>
      </w:r>
      <w:r w:rsidRPr="00F4665D">
        <w:rPr>
          <w:i/>
          <w:iCs/>
        </w:rPr>
        <w:t>id</w:t>
      </w:r>
      <w:r>
        <w:t xml:space="preserve">. </w:t>
      </w:r>
      <w:r w:rsidRPr="007352B3">
        <w:rPr>
          <w:i/>
          <w:iCs/>
        </w:rPr>
        <w:t>See</w:t>
      </w:r>
      <w:r>
        <w:rPr>
          <w:i/>
          <w:iCs/>
        </w:rPr>
        <w:t xml:space="preserve"> also</w:t>
      </w:r>
      <w:r w:rsidRPr="007352B3">
        <w:rPr>
          <w:i/>
          <w:iCs/>
        </w:rPr>
        <w:t xml:space="preserve"> id. </w:t>
      </w:r>
      <w:r w:rsidRPr="007352B3">
        <w:t xml:space="preserve">at </w:t>
      </w:r>
      <w:r w:rsidR="00384E2C">
        <w:t>167</w:t>
      </w:r>
      <w:r w:rsidR="00DF54F5">
        <w:t>50</w:t>
      </w:r>
      <w:r w:rsidR="00384E2C">
        <w:t xml:space="preserve">, </w:t>
      </w:r>
      <w:r w:rsidRPr="007352B3">
        <w:t>para. 156 (</w:t>
      </w:r>
      <w:r w:rsidRPr="007352B3">
        <w:rPr>
          <w:i/>
          <w:iCs/>
        </w:rPr>
        <w:t>citing</w:t>
      </w:r>
      <w:r w:rsidRPr="007352B3">
        <w:t xml:space="preserve"> ITN PN Comments at 3 (supporting, at a minimum, the inclusion of the initial costs for routers and bridges associated with the installation of broadband services to eligible HCPs</w:t>
      </w:r>
      <w:r>
        <w:t>)</w:t>
      </w:r>
      <w:r w:rsidRPr="007352B3">
        <w:t>).</w:t>
      </w:r>
    </w:p>
  </w:footnote>
  <w:footnote w:id="25">
    <w:p w:rsidR="00CE09A9" w:rsidRPr="007352B3" w:rsidP="00CE09A9" w14:paraId="06534B86" w14:textId="77777777">
      <w:pPr>
        <w:pStyle w:val="FootnoteText"/>
      </w:pPr>
      <w:r w:rsidRPr="007352B3">
        <w:rPr>
          <w:rStyle w:val="FootnoteReference"/>
        </w:rPr>
        <w:footnoteRef/>
      </w:r>
      <w:r w:rsidRPr="007352B3">
        <w:t xml:space="preserve"> </w:t>
      </w:r>
      <w:r w:rsidRPr="007352B3">
        <w:rPr>
          <w:i/>
          <w:iCs/>
        </w:rPr>
        <w:t xml:space="preserve">See </w:t>
      </w:r>
      <w:r w:rsidRPr="007352B3">
        <w:t>47 CFR § 54.635(a)</w:t>
      </w:r>
      <w:r>
        <w:t xml:space="preserve"> </w:t>
      </w:r>
    </w:p>
  </w:footnote>
  <w:footnote w:id="26">
    <w:p w:rsidR="00CE09A9" w:rsidP="00CE09A9" w14:paraId="448507FB" w14:textId="77777777">
      <w:pPr>
        <w:pStyle w:val="FootnoteText"/>
      </w:pPr>
      <w:r>
        <w:rPr>
          <w:rStyle w:val="FootnoteReference"/>
        </w:rPr>
        <w:footnoteRef/>
      </w:r>
      <w:r>
        <w:t xml:space="preserve"> </w:t>
      </w:r>
      <w:r w:rsidRPr="007352B3">
        <w:rPr>
          <w:i/>
          <w:iCs/>
        </w:rPr>
        <w:t>See</w:t>
      </w:r>
      <w:r>
        <w:t xml:space="preserve"> </w:t>
      </w:r>
      <w:r w:rsidRPr="007352B3">
        <w:t>Request for Review</w:t>
      </w:r>
      <w:r>
        <w:t xml:space="preserve"> Attachments</w:t>
      </w:r>
      <w:r w:rsidRPr="007352B3">
        <w:rPr>
          <w:i/>
          <w:iCs/>
        </w:rPr>
        <w:t xml:space="preserve"> </w:t>
      </w:r>
      <w:r>
        <w:t>(</w:t>
      </w:r>
      <w:r w:rsidRPr="007352B3">
        <w:t xml:space="preserve">Email from Rachel </w:t>
      </w:r>
      <w:r w:rsidRPr="007352B3">
        <w:t>Lawmaster</w:t>
      </w:r>
      <w:r w:rsidRPr="007352B3">
        <w:t>, Espy Services, Inc. on behalf of Midwest Medical Center, to the Rural Health Care Division, USAC (July 12, 2018)</w:t>
      </w:r>
      <w:r>
        <w:t>)</w:t>
      </w:r>
      <w:r w:rsidRPr="007352B3">
        <w:t>.</w:t>
      </w:r>
    </w:p>
  </w:footnote>
  <w:footnote w:id="27">
    <w:p w:rsidR="00CE09A9" w:rsidP="00CE09A9" w14:paraId="3E8FF9C8" w14:textId="77777777">
      <w:pPr>
        <w:pStyle w:val="FootnoteText"/>
      </w:pPr>
      <w:r>
        <w:rPr>
          <w:rStyle w:val="FootnoteReference"/>
        </w:rPr>
        <w:footnoteRef/>
      </w:r>
      <w:r>
        <w:t xml:space="preserve"> </w:t>
      </w:r>
      <w:r w:rsidRPr="00D27DF8">
        <w:rPr>
          <w:i/>
          <w:iCs/>
        </w:rPr>
        <w:t>See</w:t>
      </w:r>
      <w:r>
        <w:t xml:space="preserve"> USAC Appeal at 1.</w:t>
      </w:r>
    </w:p>
  </w:footnote>
  <w:footnote w:id="28">
    <w:p w:rsidR="00CE09A9" w:rsidP="00CE09A9" w14:paraId="346E4014" w14:textId="7EAC8042">
      <w:pPr>
        <w:pStyle w:val="FootnoteText"/>
      </w:pPr>
      <w:r>
        <w:rPr>
          <w:rStyle w:val="FootnoteReference"/>
        </w:rPr>
        <w:footnoteRef/>
      </w:r>
      <w:r>
        <w:t xml:space="preserve"> </w:t>
      </w:r>
      <w:r w:rsidRPr="001A20F7">
        <w:rPr>
          <w:i/>
          <w:iCs/>
          <w:shd w:val="clear" w:color="auto" w:fill="FFFFFF"/>
        </w:rPr>
        <w:t>See</w:t>
      </w:r>
      <w:r>
        <w:rPr>
          <w:i/>
          <w:iCs/>
          <w:shd w:val="clear" w:color="auto" w:fill="FFFFFF"/>
        </w:rPr>
        <w:t xml:space="preserve"> </w:t>
      </w:r>
      <w:r w:rsidR="00BD71EF">
        <w:rPr>
          <w:i/>
          <w:iCs/>
        </w:rPr>
        <w:t>Healthcare Connect Fund Order</w:t>
      </w:r>
      <w:r w:rsidRPr="007A4A12">
        <w:t>,</w:t>
      </w:r>
      <w:r w:rsidRPr="007352B3">
        <w:rPr>
          <w:i/>
          <w:iCs/>
        </w:rPr>
        <w:t xml:space="preserve"> </w:t>
      </w:r>
      <w:r w:rsidRPr="007352B3">
        <w:t xml:space="preserve">27 FCC </w:t>
      </w:r>
      <w:r w:rsidRPr="007352B3">
        <w:t>Rcd</w:t>
      </w:r>
      <w:r>
        <w:t xml:space="preserve"> at</w:t>
      </w:r>
      <w:r w:rsidRPr="007352B3">
        <w:t xml:space="preserve"> 16</w:t>
      </w:r>
      <w:r>
        <w:t>730-31</w:t>
      </w:r>
      <w:r w:rsidRPr="007352B3">
        <w:t xml:space="preserve">, paras. </w:t>
      </w:r>
      <w:r>
        <w:t>113, n.295 (affirming that support for redundant connections is available in the HCF Program and explaining competitive bidding requirements for seeking support for redundant connections)</w:t>
      </w:r>
      <w:r w:rsidRPr="007352B3">
        <w:t>.</w:t>
      </w:r>
    </w:p>
  </w:footnote>
  <w:footnote w:id="29">
    <w:p w:rsidR="00CE09A9" w:rsidRPr="00EF1801" w:rsidP="00CE09A9" w14:paraId="049D119E" w14:textId="77777777">
      <w:pPr>
        <w:spacing w:after="120"/>
        <w:rPr>
          <w:color w:val="202124"/>
          <w:shd w:val="clear" w:color="auto" w:fill="FFFFFF"/>
        </w:rPr>
      </w:pPr>
      <w:r w:rsidRPr="00BE7239">
        <w:rPr>
          <w:rStyle w:val="FootnoteReference"/>
        </w:rPr>
        <w:footnoteRef/>
      </w:r>
      <w:r w:rsidRPr="00667E08">
        <w:rPr>
          <w:sz w:val="20"/>
        </w:rPr>
        <w:t xml:space="preserve"> </w:t>
      </w:r>
      <w:r w:rsidRPr="00C73A93">
        <w:rPr>
          <w:i/>
          <w:iCs/>
          <w:color w:val="202124"/>
          <w:sz w:val="20"/>
          <w:shd w:val="clear" w:color="auto" w:fill="FFFFFF"/>
        </w:rPr>
        <w:t>See</w:t>
      </w:r>
      <w:r w:rsidRPr="00C73A93">
        <w:rPr>
          <w:color w:val="202124"/>
          <w:sz w:val="20"/>
          <w:shd w:val="clear" w:color="auto" w:fill="FFFFFF"/>
        </w:rPr>
        <w:t xml:space="preserve"> </w:t>
      </w:r>
      <w:r w:rsidRPr="00C73A93">
        <w:rPr>
          <w:i/>
          <w:iCs/>
          <w:color w:val="202124"/>
          <w:sz w:val="20"/>
          <w:shd w:val="clear" w:color="auto" w:fill="FFFFFF"/>
        </w:rPr>
        <w:t>Reliability and Continuity of Communications Networks, including Broadband Technologies</w:t>
      </w:r>
      <w:r w:rsidRPr="00C73A93">
        <w:rPr>
          <w:color w:val="202124"/>
          <w:sz w:val="20"/>
          <w:shd w:val="clear" w:color="auto" w:fill="FFFFFF"/>
        </w:rPr>
        <w:t xml:space="preserve">; </w:t>
      </w:r>
      <w:r w:rsidRPr="00C73A93">
        <w:rPr>
          <w:i/>
          <w:iCs/>
          <w:color w:val="202124"/>
          <w:sz w:val="20"/>
          <w:shd w:val="clear" w:color="auto" w:fill="FFFFFF"/>
        </w:rPr>
        <w:t>Effects on Broadband Communications Networks of Damage or Failure of Network Equipment or Severe Overload</w:t>
      </w:r>
      <w:r w:rsidRPr="00C73A93">
        <w:rPr>
          <w:color w:val="202124"/>
          <w:sz w:val="20"/>
          <w:shd w:val="clear" w:color="auto" w:fill="FFFFFF"/>
        </w:rPr>
        <w:t xml:space="preserve">; </w:t>
      </w:r>
      <w:r w:rsidRPr="00C73A93">
        <w:rPr>
          <w:i/>
          <w:iCs/>
          <w:color w:val="202124"/>
          <w:sz w:val="20"/>
          <w:shd w:val="clear" w:color="auto" w:fill="FFFFFF"/>
        </w:rPr>
        <w:t>Independent Panel Reviewing the Impact of Hurricane Katrina on Communications Networks</w:t>
      </w:r>
      <w:r w:rsidRPr="00C73A93">
        <w:rPr>
          <w:color w:val="202124"/>
          <w:sz w:val="20"/>
          <w:shd w:val="clear" w:color="auto" w:fill="FFFFFF"/>
        </w:rPr>
        <w:t xml:space="preserve">, PS Docket No. 11-60 and No. 10-92, EB Docket No. 06-119, Notice of Inquiry, 26 FCC </w:t>
      </w:r>
      <w:r w:rsidRPr="00C73A93">
        <w:rPr>
          <w:color w:val="202124"/>
          <w:sz w:val="20"/>
          <w:shd w:val="clear" w:color="auto" w:fill="FFFFFF"/>
        </w:rPr>
        <w:t>Rcd</w:t>
      </w:r>
      <w:r w:rsidRPr="00C73A93">
        <w:rPr>
          <w:color w:val="202124"/>
          <w:sz w:val="20"/>
          <w:shd w:val="clear" w:color="auto" w:fill="FFFFFF"/>
        </w:rPr>
        <w:t xml:space="preserve"> 5614, 5620</w:t>
      </w:r>
      <w:r>
        <w:rPr>
          <w:color w:val="202124"/>
          <w:sz w:val="20"/>
          <w:shd w:val="clear" w:color="auto" w:fill="FFFFFF"/>
        </w:rPr>
        <w:t>,</w:t>
      </w:r>
      <w:r w:rsidRPr="00C73A93">
        <w:rPr>
          <w:color w:val="202124"/>
          <w:sz w:val="20"/>
          <w:shd w:val="clear" w:color="auto" w:fill="FFFFFF"/>
        </w:rPr>
        <w:t xml:space="preserve"> para.</w:t>
      </w:r>
      <w:r>
        <w:rPr>
          <w:color w:val="202124"/>
          <w:sz w:val="20"/>
          <w:shd w:val="clear" w:color="auto" w:fill="FFFFFF"/>
        </w:rPr>
        <w:t xml:space="preserve"> </w:t>
      </w:r>
      <w:r w:rsidRPr="00C73A93">
        <w:rPr>
          <w:color w:val="202124"/>
          <w:sz w:val="20"/>
          <w:shd w:val="clear" w:color="auto" w:fill="FFFFFF"/>
        </w:rPr>
        <w:t>17 (2011).</w:t>
      </w:r>
    </w:p>
  </w:footnote>
  <w:footnote w:id="30">
    <w:p w:rsidR="00CE09A9" w:rsidRPr="00CF4452" w:rsidP="00CE09A9" w14:paraId="18B97F6A" w14:textId="63C5BB56">
      <w:pPr>
        <w:rPr>
          <w:sz w:val="20"/>
        </w:rPr>
      </w:pPr>
      <w:r w:rsidRPr="00CF4452">
        <w:rPr>
          <w:rStyle w:val="FootnoteReference"/>
        </w:rPr>
        <w:footnoteRef/>
      </w:r>
      <w:r w:rsidRPr="0007188E">
        <w:rPr>
          <w:sz w:val="20"/>
        </w:rPr>
        <w:t xml:space="preserve"> </w:t>
      </w:r>
      <w:r w:rsidRPr="0007188E">
        <w:rPr>
          <w:i/>
          <w:iCs/>
          <w:sz w:val="20"/>
        </w:rPr>
        <w:t>See</w:t>
      </w:r>
      <w:r w:rsidRPr="00CF4452">
        <w:rPr>
          <w:color w:val="202124"/>
          <w:sz w:val="20"/>
          <w:shd w:val="clear" w:color="auto" w:fill="FFFFFF"/>
        </w:rPr>
        <w:t xml:space="preserve"> </w:t>
      </w:r>
      <w:r w:rsidR="00BD71EF">
        <w:rPr>
          <w:i/>
          <w:iCs/>
          <w:sz w:val="20"/>
        </w:rPr>
        <w:t>Healthcare Connect Fund Order</w:t>
      </w:r>
      <w:r w:rsidRPr="007A4A12">
        <w:rPr>
          <w:sz w:val="20"/>
        </w:rPr>
        <w:t>,</w:t>
      </w:r>
      <w:r w:rsidRPr="0007188E">
        <w:rPr>
          <w:i/>
          <w:iCs/>
          <w:sz w:val="20"/>
        </w:rPr>
        <w:t xml:space="preserve"> </w:t>
      </w:r>
      <w:r w:rsidRPr="0007188E">
        <w:rPr>
          <w:sz w:val="20"/>
        </w:rPr>
        <w:t xml:space="preserve">27 FCC </w:t>
      </w:r>
      <w:r w:rsidRPr="0007188E">
        <w:rPr>
          <w:sz w:val="20"/>
        </w:rPr>
        <w:t>Rcd</w:t>
      </w:r>
      <w:r w:rsidRPr="0007188E">
        <w:rPr>
          <w:sz w:val="20"/>
        </w:rPr>
        <w:t xml:space="preserve"> at 16843, para. 26 (2012) (</w:t>
      </w:r>
      <w:r w:rsidRPr="00CF4452">
        <w:rPr>
          <w:sz w:val="20"/>
        </w:rPr>
        <w:t>“</w:t>
      </w:r>
      <w:r w:rsidRPr="0007188E">
        <w:rPr>
          <w:sz w:val="20"/>
        </w:rPr>
        <w:t>HCPs often need a high degree of reliability, service quality, and redundancy for telehealth applications….”).</w:t>
      </w:r>
      <w:r>
        <w:rPr>
          <w:i/>
          <w:iCs/>
          <w:color w:val="202124"/>
          <w:sz w:val="20"/>
          <w:shd w:val="clear" w:color="auto" w:fill="FFFFFF"/>
        </w:rPr>
        <w:t xml:space="preserve"> </w:t>
      </w:r>
      <w:r w:rsidRPr="00CF4452">
        <w:rPr>
          <w:sz w:val="20"/>
        </w:rPr>
        <w:t xml:space="preserve">The Commission has also previously found that commercial networks are often disrupted in emergencies and that </w:t>
      </w:r>
      <w:r w:rsidRPr="001C48FA">
        <w:rPr>
          <w:sz w:val="20"/>
        </w:rPr>
        <w:t xml:space="preserve">networks are less susceptible to failure due to backup power and redundant backhaul. </w:t>
      </w:r>
      <w:r w:rsidRPr="00CF4452">
        <w:rPr>
          <w:sz w:val="20"/>
        </w:rPr>
        <w:t xml:space="preserve"> </w:t>
      </w:r>
      <w:r w:rsidRPr="00CF4452">
        <w:rPr>
          <w:i/>
          <w:iCs/>
          <w:sz w:val="20"/>
        </w:rPr>
        <w:t>See</w:t>
      </w:r>
      <w:r w:rsidRPr="00CF4452">
        <w:rPr>
          <w:sz w:val="20"/>
        </w:rPr>
        <w:t xml:space="preserve"> </w:t>
      </w:r>
      <w:r w:rsidRPr="00CF4452">
        <w:rPr>
          <w:i/>
          <w:iCs/>
          <w:sz w:val="20"/>
        </w:rPr>
        <w:t>Recommendations of the Independent Panel Reviewing the Impact of Hurricane Katrina on Communications Networks</w:t>
      </w:r>
      <w:r w:rsidRPr="00CF4452">
        <w:rPr>
          <w:sz w:val="20"/>
        </w:rPr>
        <w:t xml:space="preserve">, EB Docket No. 06-119, Order, 22 FCC </w:t>
      </w:r>
      <w:r w:rsidRPr="00CF4452">
        <w:rPr>
          <w:sz w:val="20"/>
        </w:rPr>
        <w:t>Rcd</w:t>
      </w:r>
      <w:r w:rsidRPr="00CF4452">
        <w:rPr>
          <w:sz w:val="20"/>
        </w:rPr>
        <w:t xml:space="preserve"> 10541, 10564, 10565, paras. 74, 77 (2007).</w:t>
      </w:r>
    </w:p>
    <w:p w:rsidR="00CE09A9" w:rsidP="00CE09A9" w14:paraId="1F59D50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B78800" w14:textId="4ED71CF5">
    <w:pPr>
      <w:pStyle w:val="Header"/>
      <w:rPr>
        <w:b w:val="0"/>
      </w:rPr>
    </w:pPr>
    <w:r>
      <w:tab/>
      <w:t>Federal Communications Commission</w:t>
    </w:r>
    <w:r>
      <w:tab/>
    </w:r>
    <w:r w:rsidR="00AF0EC4">
      <w:t>DA 21-1530</w:t>
    </w:r>
  </w:p>
  <w:p w:rsidR="00D25FB5" w14:paraId="0FE90D9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BC20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286B4B" w14:textId="014535B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F0EC4">
      <w:rPr>
        <w:spacing w:val="-2"/>
      </w:rPr>
      <w:t>DA 21-1530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9"/>
    <w:rsid w:val="00036039"/>
    <w:rsid w:val="00037F90"/>
    <w:rsid w:val="00042292"/>
    <w:rsid w:val="0007188E"/>
    <w:rsid w:val="000875BF"/>
    <w:rsid w:val="00096D8C"/>
    <w:rsid w:val="000C0B65"/>
    <w:rsid w:val="000E05FE"/>
    <w:rsid w:val="000E3D42"/>
    <w:rsid w:val="00122BD5"/>
    <w:rsid w:val="00133F79"/>
    <w:rsid w:val="00194A66"/>
    <w:rsid w:val="001967C4"/>
    <w:rsid w:val="001A20F7"/>
    <w:rsid w:val="001C48FA"/>
    <w:rsid w:val="001D6BCF"/>
    <w:rsid w:val="001E01CA"/>
    <w:rsid w:val="00264861"/>
    <w:rsid w:val="00275CF5"/>
    <w:rsid w:val="0028301F"/>
    <w:rsid w:val="00285017"/>
    <w:rsid w:val="002A2D2E"/>
    <w:rsid w:val="002C00E8"/>
    <w:rsid w:val="002C18F9"/>
    <w:rsid w:val="002E00E1"/>
    <w:rsid w:val="00343749"/>
    <w:rsid w:val="003660ED"/>
    <w:rsid w:val="00384E2C"/>
    <w:rsid w:val="003B0550"/>
    <w:rsid w:val="003B694F"/>
    <w:rsid w:val="003F171C"/>
    <w:rsid w:val="00412FC5"/>
    <w:rsid w:val="00422276"/>
    <w:rsid w:val="004236B6"/>
    <w:rsid w:val="004242F1"/>
    <w:rsid w:val="00445A00"/>
    <w:rsid w:val="00451B0F"/>
    <w:rsid w:val="004C2EE3"/>
    <w:rsid w:val="004E4A22"/>
    <w:rsid w:val="004F5C1E"/>
    <w:rsid w:val="00511968"/>
    <w:rsid w:val="0055614C"/>
    <w:rsid w:val="00566D06"/>
    <w:rsid w:val="005E14C2"/>
    <w:rsid w:val="00607BA5"/>
    <w:rsid w:val="0061180A"/>
    <w:rsid w:val="00626EB6"/>
    <w:rsid w:val="00650466"/>
    <w:rsid w:val="00654809"/>
    <w:rsid w:val="00655D03"/>
    <w:rsid w:val="00667E08"/>
    <w:rsid w:val="00676AD4"/>
    <w:rsid w:val="00683388"/>
    <w:rsid w:val="00683F84"/>
    <w:rsid w:val="006A6A81"/>
    <w:rsid w:val="006F7393"/>
    <w:rsid w:val="0070224F"/>
    <w:rsid w:val="007115F7"/>
    <w:rsid w:val="00717C31"/>
    <w:rsid w:val="007352B3"/>
    <w:rsid w:val="00785689"/>
    <w:rsid w:val="0079754B"/>
    <w:rsid w:val="007A1E6D"/>
    <w:rsid w:val="007A4A12"/>
    <w:rsid w:val="007B0EB2"/>
    <w:rsid w:val="00810B6F"/>
    <w:rsid w:val="00822CE0"/>
    <w:rsid w:val="00841AB1"/>
    <w:rsid w:val="008511E7"/>
    <w:rsid w:val="008C68F1"/>
    <w:rsid w:val="008D0878"/>
    <w:rsid w:val="00921803"/>
    <w:rsid w:val="00925C92"/>
    <w:rsid w:val="00926503"/>
    <w:rsid w:val="009726D8"/>
    <w:rsid w:val="009D7308"/>
    <w:rsid w:val="009F76DB"/>
    <w:rsid w:val="00A32C3B"/>
    <w:rsid w:val="00A45F4F"/>
    <w:rsid w:val="00A600A9"/>
    <w:rsid w:val="00A6054A"/>
    <w:rsid w:val="00A7483E"/>
    <w:rsid w:val="00A85193"/>
    <w:rsid w:val="00A94482"/>
    <w:rsid w:val="00AA55B7"/>
    <w:rsid w:val="00AA5B9E"/>
    <w:rsid w:val="00AB2407"/>
    <w:rsid w:val="00AB53DF"/>
    <w:rsid w:val="00AF0EC4"/>
    <w:rsid w:val="00B021E5"/>
    <w:rsid w:val="00B07E5C"/>
    <w:rsid w:val="00B811F7"/>
    <w:rsid w:val="00B83C7C"/>
    <w:rsid w:val="00BA5DC6"/>
    <w:rsid w:val="00BA6196"/>
    <w:rsid w:val="00BB3BEF"/>
    <w:rsid w:val="00BC6D8C"/>
    <w:rsid w:val="00BD71EF"/>
    <w:rsid w:val="00C34006"/>
    <w:rsid w:val="00C36B4C"/>
    <w:rsid w:val="00C426B1"/>
    <w:rsid w:val="00C60316"/>
    <w:rsid w:val="00C63D88"/>
    <w:rsid w:val="00C66160"/>
    <w:rsid w:val="00C721AC"/>
    <w:rsid w:val="00C73A93"/>
    <w:rsid w:val="00C90D6A"/>
    <w:rsid w:val="00CA247E"/>
    <w:rsid w:val="00CA6D21"/>
    <w:rsid w:val="00CC72B6"/>
    <w:rsid w:val="00CD3B26"/>
    <w:rsid w:val="00CE09A9"/>
    <w:rsid w:val="00CF2731"/>
    <w:rsid w:val="00CF4452"/>
    <w:rsid w:val="00D0218D"/>
    <w:rsid w:val="00D25FB5"/>
    <w:rsid w:val="00D27DF8"/>
    <w:rsid w:val="00D369F3"/>
    <w:rsid w:val="00D44223"/>
    <w:rsid w:val="00D968CF"/>
    <w:rsid w:val="00DA050C"/>
    <w:rsid w:val="00DA2529"/>
    <w:rsid w:val="00DB130A"/>
    <w:rsid w:val="00DB2EBB"/>
    <w:rsid w:val="00DC10A1"/>
    <w:rsid w:val="00DC655F"/>
    <w:rsid w:val="00DD0B59"/>
    <w:rsid w:val="00DD6E10"/>
    <w:rsid w:val="00DD7EBD"/>
    <w:rsid w:val="00DF54F5"/>
    <w:rsid w:val="00DF62B6"/>
    <w:rsid w:val="00E07225"/>
    <w:rsid w:val="00E5409F"/>
    <w:rsid w:val="00E8342E"/>
    <w:rsid w:val="00EE6488"/>
    <w:rsid w:val="00EF1801"/>
    <w:rsid w:val="00F021FA"/>
    <w:rsid w:val="00F4665D"/>
    <w:rsid w:val="00F62E97"/>
    <w:rsid w:val="00F64209"/>
    <w:rsid w:val="00F93BF5"/>
    <w:rsid w:val="00FC33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723DEF"/>
  <w15:chartTrackingRefBased/>
  <w15:docId w15:val="{D9EECFB2-32C8-4B75-B725-FD65172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CE09A9"/>
  </w:style>
  <w:style w:type="character" w:customStyle="1" w:styleId="ParaNumChar">
    <w:name w:val="ParaNum Char"/>
    <w:link w:val="ParaNum"/>
    <w:locked/>
    <w:rsid w:val="00CE09A9"/>
    <w:rPr>
      <w:snapToGrid w:val="0"/>
      <w:kern w:val="28"/>
      <w:sz w:val="22"/>
    </w:rPr>
  </w:style>
  <w:style w:type="paragraph" w:customStyle="1" w:styleId="Default">
    <w:name w:val="Default"/>
    <w:rsid w:val="00CE09A9"/>
    <w:pPr>
      <w:autoSpaceDE w:val="0"/>
      <w:autoSpaceDN w:val="0"/>
      <w:adjustRightInd w:val="0"/>
    </w:pPr>
    <w:rPr>
      <w:color w:val="000000"/>
      <w:sz w:val="24"/>
      <w:szCs w:val="24"/>
    </w:rPr>
  </w:style>
  <w:style w:type="character" w:customStyle="1" w:styleId="StyleNumberedparagraphs11ptChar">
    <w:name w:val="Style Numbered paragraphs + 11 pt Char"/>
    <w:rsid w:val="00CE09A9"/>
    <w:rPr>
      <w:noProof w:val="0"/>
      <w:sz w:val="22"/>
      <w:lang w:val="en-US" w:eastAsia="en-US" w:bidi="ar-SA"/>
    </w:rPr>
  </w:style>
  <w:style w:type="character" w:customStyle="1" w:styleId="UnresolvedMention">
    <w:name w:val="Unresolved Mention"/>
    <w:basedOn w:val="DefaultParagraphFont"/>
    <w:uiPriority w:val="99"/>
    <w:semiHidden/>
    <w:unhideWhenUsed/>
    <w:rsid w:val="00CE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52608839564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