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526D975" w14:textId="731E0BA2">
      <w:pPr>
        <w:jc w:val="right"/>
        <w:rPr>
          <w:b/>
          <w:sz w:val="24"/>
        </w:rPr>
      </w:pPr>
      <w:r>
        <w:rPr>
          <w:b/>
          <w:sz w:val="24"/>
        </w:rPr>
        <w:t>DA 21-1471</w:t>
      </w:r>
    </w:p>
    <w:p w:rsidR="00013A8B" w:rsidRPr="00B20363" w:rsidP="00013A8B" w14:paraId="6E7157A2" w14:textId="52D7E507">
      <w:pPr>
        <w:spacing w:before="60"/>
        <w:jc w:val="right"/>
        <w:rPr>
          <w:b/>
          <w:sz w:val="24"/>
        </w:rPr>
      </w:pPr>
      <w:r>
        <w:rPr>
          <w:b/>
          <w:sz w:val="24"/>
        </w:rPr>
        <w:t xml:space="preserve">Released:  </w:t>
      </w:r>
      <w:r w:rsidR="002D2D19">
        <w:rPr>
          <w:b/>
          <w:sz w:val="24"/>
        </w:rPr>
        <w:t>November 23, 2021</w:t>
      </w:r>
    </w:p>
    <w:p w:rsidR="00013A8B" w:rsidP="00013A8B" w14:paraId="0D3BE50E" w14:textId="77777777">
      <w:pPr>
        <w:jc w:val="right"/>
        <w:rPr>
          <w:sz w:val="24"/>
        </w:rPr>
      </w:pPr>
    </w:p>
    <w:p w:rsidR="00013A8B" w:rsidRPr="00B20363" w:rsidP="00013A8B" w14:paraId="4DCEFFA9" w14:textId="7082E803">
      <w:pPr>
        <w:spacing w:after="240"/>
        <w:jc w:val="center"/>
        <w:rPr>
          <w:rFonts w:ascii="Times New Roman Bold" w:hAnsi="Times New Roman Bold"/>
          <w:b/>
          <w:caps/>
          <w:sz w:val="24"/>
        </w:rPr>
      </w:pPr>
      <w:r>
        <w:rPr>
          <w:rFonts w:ascii="Times New Roman Bold" w:hAnsi="Times New Roman Bold"/>
          <w:b/>
          <w:caps/>
          <w:sz w:val="24"/>
        </w:rPr>
        <w:t>Wireline Competition Bureau Seeks Comment on E Fiber SAN Juan, LLC Rural Digital Opportunity Fund Petition for Designation as an Eligible Telecommunications Carrier</w:t>
      </w:r>
    </w:p>
    <w:p w:rsidR="00013A8B" w:rsidP="00013A8B" w14:paraId="4CB087E0" w14:textId="36258DF9">
      <w:pPr>
        <w:jc w:val="center"/>
        <w:rPr>
          <w:b/>
          <w:sz w:val="24"/>
        </w:rPr>
      </w:pPr>
      <w:r>
        <w:rPr>
          <w:b/>
          <w:sz w:val="24"/>
        </w:rPr>
        <w:t>WC Docket No. 09-197</w:t>
      </w:r>
    </w:p>
    <w:p w:rsidR="002D2D19" w:rsidP="002D2D19" w14:paraId="59C45C1A" w14:textId="677F6AC3">
      <w:pPr>
        <w:rPr>
          <w:b/>
          <w:sz w:val="24"/>
        </w:rPr>
      </w:pPr>
    </w:p>
    <w:p w:rsidR="002D2D19" w:rsidRPr="002322E8" w:rsidP="002D2D19" w14:paraId="1E2FB25A" w14:textId="4465F9D4">
      <w:pPr>
        <w:rPr>
          <w:b/>
          <w:szCs w:val="18"/>
        </w:rPr>
      </w:pPr>
      <w:r w:rsidRPr="002322E8">
        <w:rPr>
          <w:b/>
          <w:szCs w:val="18"/>
        </w:rPr>
        <w:t>Comment Date: December 9, 2021</w:t>
      </w:r>
    </w:p>
    <w:p w:rsidR="002D2D19" w:rsidRPr="002322E8" w:rsidP="002D2D19" w14:paraId="7B6052B1" w14:textId="2963C167">
      <w:pPr>
        <w:rPr>
          <w:b/>
          <w:szCs w:val="18"/>
        </w:rPr>
      </w:pPr>
      <w:r w:rsidRPr="002322E8">
        <w:rPr>
          <w:b/>
          <w:szCs w:val="18"/>
        </w:rPr>
        <w:t>Reply Comment Date: December 24, 2021</w:t>
      </w:r>
    </w:p>
    <w:p w:rsidR="002D2D19" w:rsidP="002D2D19" w14:paraId="70AF5EB4" w14:textId="12D113FB">
      <w:pPr>
        <w:rPr>
          <w:b/>
          <w:szCs w:val="18"/>
        </w:rPr>
      </w:pPr>
    </w:p>
    <w:p w:rsidR="002D2D19" w:rsidRPr="00681819" w:rsidP="002D2D19" w14:paraId="17343EEA" w14:textId="77777777">
      <w:pPr>
        <w:pStyle w:val="ParaNum"/>
        <w:numPr>
          <w:ilvl w:val="0"/>
          <w:numId w:val="0"/>
        </w:numPr>
        <w:ind w:firstLine="720"/>
      </w:pPr>
      <w:r w:rsidRPr="00DE64C2">
        <w:rPr>
          <w:szCs w:val="22"/>
        </w:rPr>
        <w:t xml:space="preserve">The Wireline Competition Bureau seeks comment on </w:t>
      </w:r>
      <w:r>
        <w:rPr>
          <w:szCs w:val="22"/>
        </w:rPr>
        <w:t xml:space="preserve">the </w:t>
      </w:r>
      <w:r w:rsidRPr="00DE64C2">
        <w:rPr>
          <w:szCs w:val="22"/>
        </w:rPr>
        <w:t>petition</w:t>
      </w:r>
      <w:r>
        <w:rPr>
          <w:szCs w:val="22"/>
        </w:rPr>
        <w:t xml:space="preserve"> of E Fiber San Juan, LLC (Petitioner)</w:t>
      </w:r>
      <w:r w:rsidRPr="00DE64C2">
        <w:rPr>
          <w:szCs w:val="22"/>
        </w:rPr>
        <w:t xml:space="preserve"> for designation as an Eligible Telecommunications Carrier (ETC)</w:t>
      </w:r>
      <w:r>
        <w:rPr>
          <w:szCs w:val="22"/>
        </w:rPr>
        <w:t>.</w:t>
      </w:r>
      <w:r>
        <w:rPr>
          <w:rStyle w:val="FootnoteReference"/>
          <w:szCs w:val="22"/>
        </w:rPr>
        <w:footnoteReference w:id="3"/>
      </w:r>
      <w:r>
        <w:rPr>
          <w:szCs w:val="22"/>
        </w:rPr>
        <w:t xml:space="preserve">  Petitioner is an assignee of support awarded through the </w:t>
      </w:r>
      <w:r w:rsidRPr="00DE64C2">
        <w:rPr>
          <w:szCs w:val="22"/>
        </w:rPr>
        <w:t>Rural Digital Opportunity Fund (RDOF) auction (Auction 904)</w:t>
      </w:r>
      <w:r>
        <w:rPr>
          <w:szCs w:val="22"/>
        </w:rPr>
        <w:t xml:space="preserve"> and seeks designation in certain Tribal Lands over which the Utah Public Service Commission has declined to exercise its ETC designation authority.</w:t>
      </w:r>
      <w:r>
        <w:rPr>
          <w:rStyle w:val="FootnoteReference"/>
          <w:szCs w:val="22"/>
        </w:rPr>
        <w:footnoteReference w:id="4"/>
      </w:r>
      <w:r w:rsidRPr="00DE64C2">
        <w:rPr>
          <w:szCs w:val="22"/>
        </w:rPr>
        <w:t xml:space="preserve">  </w:t>
      </w:r>
      <w:r>
        <w:t>ETC designation is a prerequisite to receiving universal service support available through the high-cost and Lifeline programs.</w:t>
      </w:r>
      <w:r>
        <w:rPr>
          <w:rStyle w:val="FootnoteReference"/>
        </w:rPr>
        <w:footnoteReference w:id="5"/>
      </w:r>
      <w:r>
        <w:t xml:space="preserve">  </w:t>
      </w:r>
      <w:r>
        <w:rPr>
          <w:szCs w:val="22"/>
        </w:rPr>
        <w:t xml:space="preserve">To receive an ETC designation, a petitioner </w:t>
      </w:r>
      <w:r w:rsidRPr="00CA5C70">
        <w:t>m</w:t>
      </w:r>
      <w:r>
        <w:t xml:space="preserve">ust, in addition to meeting high-cost program requirements and other related obligations as specified below, </w:t>
      </w:r>
      <w:r w:rsidRPr="00CA5C70">
        <w:t xml:space="preserve">offer the Lifeline discount on all qualifying services in areas where </w:t>
      </w:r>
      <w:r>
        <w:t>it</w:t>
      </w:r>
      <w:r w:rsidRPr="00CA5C70">
        <w:t xml:space="preserve"> receives high-cost support, deploy a network capable of delivering service that meets the Lifeline program’s minimum service standards, and commercially offer such service pursuant to </w:t>
      </w:r>
      <w:r>
        <w:t>its</w:t>
      </w:r>
      <w:r w:rsidRPr="00CA5C70">
        <w:t xml:space="preserve"> high-cost obligations.</w:t>
      </w:r>
      <w:r>
        <w:rPr>
          <w:rStyle w:val="FootnoteReference"/>
        </w:rPr>
        <w:footnoteReference w:id="6"/>
      </w:r>
      <w:r w:rsidRPr="00CA5C70">
        <w:t xml:space="preserve">  </w:t>
      </w:r>
    </w:p>
    <w:p w:rsidR="002D2D19" w:rsidRPr="008A24A8" w:rsidP="002D2D19" w14:paraId="4A5E49F6" w14:textId="77777777">
      <w:pPr>
        <w:pStyle w:val="ParaNum"/>
        <w:numPr>
          <w:ilvl w:val="0"/>
          <w:numId w:val="0"/>
        </w:numPr>
        <w:ind w:firstLine="720"/>
      </w:pPr>
      <w:r>
        <w:t>All Commission ETC designations of RDOF support recipients will be conditioned upon successful completion of the RDOF long-form application (FCC Form 683).  The Commission required all long-form applicants to</w:t>
      </w:r>
      <w:r w:rsidRPr="003730FE">
        <w:t xml:space="preserve"> upload documentation </w:t>
      </w:r>
      <w:r>
        <w:t xml:space="preserve">of ETC designation(s) </w:t>
      </w:r>
      <w:r w:rsidRPr="003730FE">
        <w:t xml:space="preserve">and a certification letter to </w:t>
      </w:r>
      <w:r>
        <w:t>their</w:t>
      </w:r>
      <w:r w:rsidRPr="003730FE">
        <w:t xml:space="preserve"> FCC Form 683</w:t>
      </w:r>
      <w:r>
        <w:t xml:space="preserve"> by June 7, 2021</w:t>
      </w:r>
      <w:r w:rsidRPr="003730FE">
        <w:t>.</w:t>
      </w:r>
      <w:r>
        <w:rPr>
          <w:rStyle w:val="FootnoteReference"/>
        </w:rPr>
        <w:footnoteReference w:id="7"/>
      </w:r>
      <w:r w:rsidRPr="003730FE">
        <w:t xml:space="preserve">  </w:t>
      </w:r>
      <w:r>
        <w:t>Petitioner has submitted a waiver request seeking extension of this deadline.</w:t>
      </w:r>
      <w:r>
        <w:rPr>
          <w:rStyle w:val="FootnoteReference"/>
        </w:rPr>
        <w:footnoteReference w:id="8"/>
      </w:r>
    </w:p>
    <w:p w:rsidR="002D2D19" w:rsidRPr="008A24A8" w:rsidP="002D2D19" w14:paraId="1E483521" w14:textId="77777777">
      <w:pPr>
        <w:pStyle w:val="ParaNum"/>
        <w:keepNext/>
        <w:numPr>
          <w:ilvl w:val="0"/>
          <w:numId w:val="0"/>
        </w:numPr>
        <w:ind w:firstLine="720"/>
        <w:rPr>
          <w:b/>
          <w:bCs/>
        </w:rPr>
      </w:pPr>
      <w:r w:rsidRPr="008A24A8">
        <w:rPr>
          <w:b/>
          <w:bCs/>
        </w:rPr>
        <w:t>Requirements for FCC ETC Designation</w:t>
      </w:r>
    </w:p>
    <w:p w:rsidR="002D2D19" w:rsidP="002D2D19" w14:paraId="532AEB2F" w14:textId="77777777">
      <w:pPr>
        <w:pStyle w:val="ParaNum"/>
        <w:numPr>
          <w:ilvl w:val="0"/>
          <w:numId w:val="0"/>
        </w:numPr>
        <w:ind w:firstLine="720"/>
      </w:pPr>
      <w:r w:rsidRPr="00854791">
        <w:t xml:space="preserve">Section 254(e) of the </w:t>
      </w:r>
      <w:r>
        <w:t>Communications Act of 1934, as amended (the Act),</w:t>
      </w:r>
      <w:r w:rsidRPr="00854791">
        <w:t xml:space="preserve"> provides that “only an eligible telecommunications carrier designated under section 214(e) shall be eligible to receive specific federal universal service support.”</w:t>
      </w:r>
      <w:r>
        <w:rPr>
          <w:rStyle w:val="FootnoteReference"/>
        </w:rPr>
        <w:footnoteReference w:id="9"/>
      </w:r>
      <w:r w:rsidRPr="00854791">
        <w:t xml:space="preserve">  Congress gives primary authority for ETC designations to state commissions.</w:t>
      </w:r>
      <w:r>
        <w:rPr>
          <w:rStyle w:val="FootnoteReference"/>
        </w:rPr>
        <w:footnoteReference w:id="10"/>
      </w:r>
      <w:r w:rsidRPr="00854791">
        <w:t xml:space="preserve">  The FCC has authority only when “a common carrier [is] providing telephone exchange service and exchange access that is not subject to the jurisdiction of a State commission.”</w:t>
      </w:r>
      <w:r>
        <w:rPr>
          <w:rStyle w:val="FootnoteReference"/>
        </w:rPr>
        <w:footnoteReference w:id="11"/>
      </w:r>
      <w:r w:rsidRPr="00854791">
        <w:t xml:space="preserve">  The petitioning carrier must demonstrate that the FCC has jurisdiction and may do so by submitting an “affirmative statement from the state commission or a court of competent jurisdiction that the carrier is not subject to the state commission’s jurisdiction.”</w:t>
      </w:r>
      <w:r>
        <w:rPr>
          <w:rStyle w:val="FootnoteReference"/>
        </w:rPr>
        <w:footnoteReference w:id="12"/>
      </w:r>
      <w:r w:rsidRPr="00854791">
        <w:t xml:space="preserve">  The Commission has delegated authority to the Bureau to consider appropriate ETC designation requests.</w:t>
      </w:r>
      <w:r>
        <w:rPr>
          <w:rStyle w:val="FootnoteReference"/>
        </w:rPr>
        <w:footnoteReference w:id="13"/>
      </w:r>
    </w:p>
    <w:p w:rsidR="002D2D19" w:rsidP="002D2D19" w14:paraId="308D4CC2" w14:textId="77777777">
      <w:pPr>
        <w:pStyle w:val="ParaNum"/>
        <w:numPr>
          <w:ilvl w:val="0"/>
          <w:numId w:val="0"/>
        </w:numPr>
        <w:ind w:firstLine="720"/>
      </w:pPr>
      <w:r w:rsidRPr="00854791">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14"/>
      </w:r>
      <w:r w:rsidRPr="00854791">
        <w:t xml:space="preserve"> (3) a description of how the petitioner advertises the availability of the supported services and the charges therefor using media of general distribution;</w:t>
      </w:r>
      <w:r>
        <w:rPr>
          <w:rStyle w:val="FootnoteReference"/>
        </w:rPr>
        <w:footnoteReference w:id="15"/>
      </w:r>
      <w:r w:rsidRPr="00854791">
        <w:t xml:space="preserve"> (4) a detailed description of the geographic service area for which the petitioner requests to be designated as an ETC;</w:t>
      </w:r>
      <w:r>
        <w:rPr>
          <w:rStyle w:val="FootnoteReference"/>
        </w:rPr>
        <w:footnoteReference w:id="16"/>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17"/>
      </w:r>
      <w:r w:rsidRPr="0028034B">
        <w:t xml:space="preserve"> </w:t>
      </w:r>
    </w:p>
    <w:p w:rsidR="002D2D19" w:rsidP="002D2D19" w14:paraId="37C66A6C" w14:textId="77777777">
      <w:pPr>
        <w:pStyle w:val="ParaNum"/>
        <w:numPr>
          <w:ilvl w:val="0"/>
          <w:numId w:val="0"/>
        </w:numPr>
        <w:ind w:firstLine="720"/>
      </w:pPr>
      <w:r w:rsidRPr="0028034B">
        <w:t>In addition, petitioners</w:t>
      </w:r>
      <w:r>
        <w:t xml:space="preserve"> </w:t>
      </w:r>
      <w:r w:rsidRPr="0028034B">
        <w:t xml:space="preserve">must demonstrate their ability to meet certain service standards.  A petitioner seeking an ETC designation for purposes of becoming eligible to receive </w:t>
      </w:r>
      <w:r>
        <w:t xml:space="preserve">RDOF </w:t>
      </w:r>
      <w:r w:rsidRPr="0028034B">
        <w:t>support must: (1) certify that it will comply with the service requirements applicable to the support that it receives;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18"/>
      </w:r>
      <w:r w:rsidRPr="0028034B">
        <w:t xml:space="preserve"> </w:t>
      </w:r>
      <w:r>
        <w:t xml:space="preserve"> </w:t>
      </w:r>
      <w:r w:rsidRPr="0028034B">
        <w:t>In addition, prior to designating a carrier as an ETC pursuant to section 214(e)(6) of the Act, the Commission must determine whether such designation is in the public interest.</w:t>
      </w:r>
      <w:r>
        <w:rPr>
          <w:rStyle w:val="FootnoteReference"/>
        </w:rPr>
        <w:footnoteReference w:id="19"/>
      </w:r>
      <w:r w:rsidRPr="0028034B">
        <w:t xml:space="preserve">  </w:t>
      </w:r>
    </w:p>
    <w:p w:rsidR="002D2D19" w:rsidRPr="00280E1E" w:rsidP="002D2D19" w14:paraId="51ED70B3" w14:textId="77777777">
      <w:pPr>
        <w:pStyle w:val="ParaNum"/>
        <w:keepNext/>
        <w:numPr>
          <w:ilvl w:val="0"/>
          <w:numId w:val="0"/>
        </w:numPr>
        <w:rPr>
          <w:b/>
          <w:bCs/>
          <w:szCs w:val="22"/>
        </w:rPr>
      </w:pPr>
      <w:r>
        <w:rPr>
          <w:szCs w:val="22"/>
        </w:rPr>
        <w:tab/>
      </w:r>
      <w:r w:rsidRPr="004E288E">
        <w:rPr>
          <w:b/>
          <w:bCs/>
          <w:szCs w:val="22"/>
        </w:rPr>
        <w:t>Comment</w:t>
      </w:r>
      <w:r>
        <w:rPr>
          <w:szCs w:val="22"/>
        </w:rPr>
        <w:t xml:space="preserve"> </w:t>
      </w:r>
      <w:r w:rsidRPr="00280E1E">
        <w:rPr>
          <w:b/>
          <w:bCs/>
          <w:szCs w:val="22"/>
        </w:rPr>
        <w:t>Filing Requirements</w:t>
      </w:r>
    </w:p>
    <w:p w:rsidR="002D2D19" w:rsidRPr="00DE64C2" w:rsidP="002D2D19" w14:paraId="1D095719" w14:textId="4FC2A133">
      <w:pPr>
        <w:pStyle w:val="ParaNum"/>
        <w:numPr>
          <w:ilvl w:val="0"/>
          <w:numId w:val="0"/>
        </w:numPr>
        <w:ind w:firstLine="720"/>
        <w:rPr>
          <w:szCs w:val="22"/>
        </w:rPr>
      </w:pPr>
      <w:r w:rsidRPr="0A998E18">
        <w:t xml:space="preserve">Interested parties may file </w:t>
      </w:r>
      <w:r w:rsidRPr="0A998E18">
        <w:rPr>
          <w:b/>
          <w:bCs/>
        </w:rPr>
        <w:t xml:space="preserve">comments on or before </w:t>
      </w:r>
      <w:r w:rsidRPr="002D2D19">
        <w:rPr>
          <w:b/>
          <w:bCs/>
        </w:rPr>
        <w:t>December</w:t>
      </w:r>
      <w:r w:rsidRPr="002D2D19">
        <w:rPr>
          <w:b/>
          <w:bCs/>
        </w:rPr>
        <w:t xml:space="preserve"> </w:t>
      </w:r>
      <w:r>
        <w:rPr>
          <w:b/>
          <w:bCs/>
        </w:rPr>
        <w:t>9</w:t>
      </w:r>
      <w:r w:rsidRPr="0A998E18">
        <w:rPr>
          <w:b/>
          <w:bCs/>
        </w:rPr>
        <w:t>, 2021</w:t>
      </w:r>
      <w:r w:rsidRPr="0A998E18">
        <w:t xml:space="preserve"> and </w:t>
      </w:r>
      <w:r w:rsidRPr="0A998E18">
        <w:rPr>
          <w:b/>
          <w:bCs/>
        </w:rPr>
        <w:t xml:space="preserve">replies on or before </w:t>
      </w:r>
      <w:r>
        <w:rPr>
          <w:b/>
          <w:bCs/>
        </w:rPr>
        <w:t>December 24</w:t>
      </w:r>
      <w:r w:rsidRPr="0A998E18">
        <w:rPr>
          <w:b/>
          <w:bCs/>
        </w:rPr>
        <w:t>, 2021</w:t>
      </w:r>
      <w:r w:rsidRPr="0A998E18">
        <w:t xml:space="preserve">.  All pleadings must reference </w:t>
      </w:r>
      <w:r w:rsidRPr="0A998E18">
        <w:rPr>
          <w:b/>
          <w:bCs/>
        </w:rPr>
        <w:t>WC Docket No. 09-197</w:t>
      </w:r>
      <w:r w:rsidRPr="00DE64C2">
        <w:rPr>
          <w:szCs w:val="22"/>
        </w:rPr>
        <w:t>.</w:t>
      </w:r>
      <w:r w:rsidRPr="0A998E18">
        <w:rPr>
          <w:b/>
          <w:bCs/>
        </w:rPr>
        <w:t xml:space="preserve">  </w:t>
      </w:r>
      <w:r w:rsidRPr="0A998E18">
        <w:t>Comments may be filed using the Commission’s Electronic Comment Filing System (ECFS) or by filing paper copies.</w:t>
      </w:r>
      <w:r>
        <w:rPr>
          <w:vertAlign w:val="superscript"/>
        </w:rPr>
        <w:footnoteReference w:id="20"/>
      </w:r>
    </w:p>
    <w:p w:rsidR="002D2D19" w:rsidP="002D2D19" w14:paraId="0A5F2C48" w14:textId="23A857C2">
      <w:pPr>
        <w:numPr>
          <w:ilvl w:val="0"/>
          <w:numId w:val="7"/>
        </w:numPr>
        <w:spacing w:after="120"/>
        <w:rPr>
          <w:szCs w:val="22"/>
        </w:rPr>
      </w:pPr>
      <w:r w:rsidRPr="00E57CD3">
        <w:rPr>
          <w:i/>
          <w:iCs/>
          <w:szCs w:val="22"/>
        </w:rPr>
        <w:t>Electronic Filers</w:t>
      </w:r>
      <w:r w:rsidRPr="00DE64C2">
        <w:rPr>
          <w:szCs w:val="22"/>
        </w:rPr>
        <w:t xml:space="preserve">:  Comments may be filed electronically using the Internet by accessing the ECFS:  </w:t>
      </w:r>
      <w:hyperlink r:id="rId5" w:history="1">
        <w:r w:rsidRPr="002628C5" w:rsidR="002322E8">
          <w:rPr>
            <w:rStyle w:val="Hyperlink"/>
            <w:szCs w:val="22"/>
          </w:rPr>
          <w:t>https://www.fcc.gov/ecfs</w:t>
        </w:r>
      </w:hyperlink>
      <w:r w:rsidRPr="00DE64C2">
        <w:rPr>
          <w:szCs w:val="22"/>
        </w:rPr>
        <w:t xml:space="preserve">.  </w:t>
      </w:r>
    </w:p>
    <w:p w:rsidR="002D2D19" w:rsidP="002D2D19" w14:paraId="0032839A" w14:textId="77777777">
      <w:pPr>
        <w:numPr>
          <w:ilvl w:val="0"/>
          <w:numId w:val="7"/>
        </w:numPr>
        <w:spacing w:after="120"/>
        <w:rPr>
          <w:szCs w:val="22"/>
        </w:rPr>
      </w:pPr>
      <w:r w:rsidRPr="00CB6874">
        <w:rPr>
          <w:i/>
          <w:iCs/>
          <w:szCs w:val="22"/>
        </w:rPr>
        <w:t>Paper Filers</w:t>
      </w:r>
      <w:r w:rsidRPr="00CB6874">
        <w:rPr>
          <w:szCs w:val="22"/>
        </w:rPr>
        <w:t>:  Parties who choose to file by paper must file an original and one copy of each filing.</w:t>
      </w:r>
    </w:p>
    <w:p w:rsidR="002D2D19" w:rsidP="002D2D19" w14:paraId="2CEF5C53" w14:textId="77777777">
      <w:pPr>
        <w:numPr>
          <w:ilvl w:val="0"/>
          <w:numId w:val="7"/>
        </w:numPr>
        <w:spacing w:after="120"/>
        <w:rPr>
          <w:szCs w:val="22"/>
        </w:rPr>
      </w:pPr>
      <w:r w:rsidRPr="00CB6874">
        <w:rPr>
          <w:szCs w:val="22"/>
        </w:rPr>
        <w:t>Filings can be sent by commercial overnight courier, or by first-class or overnight U.S. Postal Service mail. All filings must be addressed to the Commission’s Secretary, Office of the Secretary, Federal Communications Commission.</w:t>
      </w:r>
    </w:p>
    <w:p w:rsidR="002D2D19" w:rsidP="002D2D19" w14:paraId="75B5AA87" w14:textId="77777777">
      <w:pPr>
        <w:numPr>
          <w:ilvl w:val="0"/>
          <w:numId w:val="7"/>
        </w:numPr>
        <w:spacing w:after="120"/>
        <w:rPr>
          <w:szCs w:val="22"/>
        </w:rPr>
      </w:pPr>
      <w:r w:rsidRPr="00CB68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2D2D19" w:rsidRPr="00CB6874" w:rsidP="002D2D19" w14:paraId="555BE51E" w14:textId="77777777">
      <w:pPr>
        <w:numPr>
          <w:ilvl w:val="0"/>
          <w:numId w:val="7"/>
        </w:numPr>
        <w:spacing w:after="120"/>
        <w:rPr>
          <w:szCs w:val="22"/>
        </w:rPr>
      </w:pPr>
      <w:r w:rsidRPr="00CB6874">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21"/>
      </w:r>
      <w:r w:rsidRPr="00CB6874">
        <w:rPr>
          <w:szCs w:val="22"/>
        </w:rPr>
        <w:t xml:space="preserve">  </w:t>
      </w:r>
    </w:p>
    <w:p w:rsidR="002D2D19" w:rsidRPr="0077343F" w:rsidP="002D2D19" w14:paraId="41719547" w14:textId="505706CA">
      <w:pPr>
        <w:pStyle w:val="ParaNum"/>
        <w:numPr>
          <w:ilvl w:val="0"/>
          <w:numId w:val="0"/>
        </w:numPr>
        <w:ind w:firstLine="720"/>
        <w:rPr>
          <w:szCs w:val="22"/>
        </w:rPr>
      </w:pPr>
      <w:r w:rsidRPr="0077343F">
        <w:rPr>
          <w:i/>
          <w:szCs w:val="22"/>
        </w:rPr>
        <w:t>Additional Copies</w:t>
      </w:r>
      <w:r w:rsidRPr="0077343F">
        <w:rPr>
          <w:szCs w:val="22"/>
        </w:rPr>
        <w:t xml:space="preserve">.  Parties should send a copy of their filings to by e-mail to </w:t>
      </w:r>
      <w:hyperlink r:id="rId6" w:history="1">
        <w:r w:rsidRPr="002628C5" w:rsidR="002322E8">
          <w:rPr>
            <w:rStyle w:val="Hyperlink"/>
            <w:szCs w:val="22"/>
          </w:rPr>
          <w:t>Nissa.Laughner@fcc.gov</w:t>
        </w:r>
      </w:hyperlink>
      <w:r w:rsidR="002322E8">
        <w:rPr>
          <w:szCs w:val="22"/>
        </w:rPr>
        <w:t>.</w:t>
      </w:r>
      <w:r w:rsidRPr="0077343F">
        <w:rPr>
          <w:szCs w:val="22"/>
        </w:rPr>
        <w:t xml:space="preserve">  </w:t>
      </w:r>
    </w:p>
    <w:p w:rsidR="002D2D19" w:rsidRPr="00E57CD3" w:rsidP="002D2D19" w14:paraId="3D78956B" w14:textId="77777777">
      <w:pPr>
        <w:pStyle w:val="ParaNum"/>
        <w:numPr>
          <w:ilvl w:val="0"/>
          <w:numId w:val="0"/>
        </w:numPr>
        <w:ind w:firstLine="720"/>
        <w:rPr>
          <w:iCs/>
          <w:szCs w:val="22"/>
        </w:rPr>
      </w:pPr>
      <w:r w:rsidRPr="00E57CD3">
        <w:rPr>
          <w:i/>
          <w:szCs w:val="22"/>
        </w:rPr>
        <w:t xml:space="preserve">People with Disabilities:  </w:t>
      </w:r>
      <w:r w:rsidRPr="00E57CD3">
        <w:rPr>
          <w:iCs/>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2D2D19" w:rsidRPr="0077343F" w:rsidP="002D2D19" w14:paraId="5608EE6E" w14:textId="02250D29">
      <w:pPr>
        <w:pStyle w:val="ParaNum"/>
        <w:numPr>
          <w:ilvl w:val="0"/>
          <w:numId w:val="0"/>
        </w:numPr>
        <w:ind w:firstLine="720"/>
        <w:rPr>
          <w:szCs w:val="22"/>
        </w:rPr>
      </w:pPr>
      <w:r w:rsidRPr="0077343F">
        <w:rPr>
          <w:i/>
          <w:iCs/>
          <w:szCs w:val="22"/>
        </w:rPr>
        <w:t xml:space="preserve">Permit but Disclose Ex </w:t>
      </w:r>
      <w:r w:rsidRPr="0077343F">
        <w:rPr>
          <w:i/>
          <w:iCs/>
          <w:szCs w:val="22"/>
        </w:rPr>
        <w:t>Parte</w:t>
      </w:r>
      <w:r w:rsidRPr="0077343F">
        <w:rPr>
          <w:i/>
          <w:iCs/>
          <w:szCs w:val="22"/>
        </w:rPr>
        <w:t xml:space="preserve"> Communications.</w:t>
      </w:r>
      <w:r w:rsidRPr="0077343F">
        <w:rPr>
          <w:szCs w:val="22"/>
        </w:rPr>
        <w:t xml:space="preserve">  </w:t>
      </w:r>
      <w:bookmarkStart w:id="0" w:name="_Hlk64536936"/>
      <w:r w:rsidRPr="0077343F">
        <w:rPr>
          <w:szCs w:val="22"/>
        </w:rPr>
        <w:t xml:space="preserve">For the purposes of the Commission’s </w:t>
      </w:r>
      <w:r w:rsidRPr="0077343F">
        <w:rPr>
          <w:i/>
          <w:szCs w:val="22"/>
        </w:rPr>
        <w:t xml:space="preserve">ex </w:t>
      </w:r>
      <w:r w:rsidRPr="0077343F">
        <w:rPr>
          <w:i/>
          <w:szCs w:val="22"/>
        </w:rPr>
        <w:t>parte</w:t>
      </w:r>
      <w:r w:rsidRPr="0077343F">
        <w:rPr>
          <w:szCs w:val="22"/>
        </w:rPr>
        <w:t xml:space="preserve"> rules, each petition submitted pursuant to section 214(e)(6) will be treated as initiating a permit-but-disclose proceeding under the Commission’s rules</w:t>
      </w:r>
      <w:bookmarkEnd w:id="0"/>
      <w:r w:rsidRPr="0077343F">
        <w:rPr>
          <w:szCs w:val="22"/>
        </w:rPr>
        <w:t>.</w:t>
      </w:r>
      <w:r>
        <w:rPr>
          <w:szCs w:val="22"/>
          <w:vertAlign w:val="superscript"/>
        </w:rPr>
        <w:footnoteReference w:id="22"/>
      </w:r>
      <w:r w:rsidRPr="0077343F">
        <w:rPr>
          <w:szCs w:val="22"/>
        </w:rPr>
        <w:t xml:space="preserve">  Persons making </w:t>
      </w:r>
      <w:r w:rsidRPr="0077343F">
        <w:rPr>
          <w:i/>
          <w:szCs w:val="22"/>
        </w:rPr>
        <w:t xml:space="preserve">ex </w:t>
      </w:r>
      <w:r w:rsidRPr="0077343F">
        <w:rPr>
          <w:i/>
          <w:szCs w:val="22"/>
        </w:rPr>
        <w:t>parte</w:t>
      </w:r>
      <w:r w:rsidRPr="0077343F">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23"/>
      </w:r>
      <w:r w:rsidRPr="0077343F">
        <w:rPr>
          <w:szCs w:val="22"/>
        </w:rPr>
        <w:t xml:space="preserve">  Persons making oral </w:t>
      </w:r>
      <w:r w:rsidRPr="0077343F">
        <w:rPr>
          <w:i/>
          <w:szCs w:val="22"/>
        </w:rPr>
        <w:t xml:space="preserve">ex </w:t>
      </w:r>
      <w:r w:rsidRPr="0077343F">
        <w:rPr>
          <w:i/>
          <w:szCs w:val="22"/>
        </w:rPr>
        <w:t>parte</w:t>
      </w:r>
      <w:r w:rsidRPr="0077343F">
        <w:rPr>
          <w:szCs w:val="22"/>
        </w:rPr>
        <w:t xml:space="preserve"> presentations are reminded that memoranda summarizing the presentation must (1) list all persons attending or otherwise participating in the meeting at which the </w:t>
      </w:r>
      <w:r w:rsidRPr="0077343F">
        <w:rPr>
          <w:i/>
          <w:szCs w:val="22"/>
        </w:rPr>
        <w:t xml:space="preserve">ex </w:t>
      </w:r>
      <w:r w:rsidRPr="0077343F">
        <w:rPr>
          <w:i/>
          <w:szCs w:val="22"/>
        </w:rPr>
        <w:t>parte</w:t>
      </w:r>
      <w:r w:rsidRPr="0077343F">
        <w:rPr>
          <w:szCs w:val="22"/>
        </w:rPr>
        <w:t xml:space="preserve"> presentation was made, and (2) summarize all data presented and arguments made during the presentation.</w:t>
      </w:r>
      <w:r>
        <w:rPr>
          <w:szCs w:val="22"/>
          <w:vertAlign w:val="superscript"/>
        </w:rPr>
        <w:footnoteReference w:id="24"/>
      </w:r>
      <w:r w:rsidRPr="0077343F">
        <w:rPr>
          <w:szCs w:val="22"/>
        </w:rPr>
        <w:t xml:space="preserve">  If the presentation consisted in whole or in part of the presentation of data or arguments already reflected in the presenter’s written comments, memoranda or other filings in the proceeding, the </w:t>
      </w:r>
      <w:r w:rsidRPr="0077343F">
        <w:rPr>
          <w:szCs w:val="22"/>
        </w:rPr>
        <w:t>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5"/>
      </w:r>
      <w:r w:rsidRPr="0077343F">
        <w:rPr>
          <w:szCs w:val="22"/>
        </w:rPr>
        <w:t xml:space="preserve">  Documents shown or given to Commission staff during </w:t>
      </w:r>
      <w:r w:rsidRPr="0077343F">
        <w:rPr>
          <w:i/>
          <w:szCs w:val="22"/>
        </w:rPr>
        <w:t xml:space="preserve">ex </w:t>
      </w:r>
      <w:r w:rsidRPr="0077343F">
        <w:rPr>
          <w:i/>
          <w:szCs w:val="22"/>
        </w:rPr>
        <w:t>parte</w:t>
      </w:r>
      <w:r w:rsidRPr="0077343F">
        <w:rPr>
          <w:szCs w:val="22"/>
        </w:rPr>
        <w:t xml:space="preserve"> meetings are deemed to be written </w:t>
      </w:r>
      <w:r w:rsidRPr="0077343F">
        <w:rPr>
          <w:i/>
          <w:szCs w:val="22"/>
        </w:rPr>
        <w:t xml:space="preserve">ex </w:t>
      </w:r>
      <w:r w:rsidRPr="0077343F">
        <w:rPr>
          <w:i/>
          <w:szCs w:val="22"/>
        </w:rPr>
        <w:t>parte</w:t>
      </w:r>
      <w:r w:rsidRPr="0077343F">
        <w:rPr>
          <w:szCs w:val="22"/>
        </w:rPr>
        <w:t xml:space="preserve"> presentations and must be filed consistent with rule 1.1206(b).</w:t>
      </w:r>
      <w:r>
        <w:rPr>
          <w:szCs w:val="22"/>
          <w:vertAlign w:val="superscript"/>
        </w:rPr>
        <w:footnoteReference w:id="26"/>
      </w:r>
      <w:r w:rsidRPr="0077343F">
        <w:rPr>
          <w:szCs w:val="22"/>
        </w:rPr>
        <w:t xml:space="preserve">  In proceedings governed by rule 1.49(f) or for which the Commission has made available a method of electronic filing, written </w:t>
      </w:r>
      <w:r w:rsidRPr="0077343F">
        <w:rPr>
          <w:i/>
          <w:szCs w:val="22"/>
        </w:rPr>
        <w:t xml:space="preserve">ex </w:t>
      </w:r>
      <w:r w:rsidRPr="0077343F">
        <w:rPr>
          <w:i/>
          <w:szCs w:val="22"/>
        </w:rPr>
        <w:t>parte</w:t>
      </w:r>
      <w:r w:rsidRPr="0077343F">
        <w:rPr>
          <w:szCs w:val="22"/>
        </w:rPr>
        <w:t xml:space="preserve"> presentations and memoranda summarizing oral </w:t>
      </w:r>
      <w:r w:rsidRPr="0077343F">
        <w:rPr>
          <w:i/>
          <w:szCs w:val="22"/>
        </w:rPr>
        <w:t xml:space="preserve">ex </w:t>
      </w:r>
      <w:r w:rsidRPr="0077343F">
        <w:rPr>
          <w:i/>
          <w:szCs w:val="22"/>
        </w:rPr>
        <w:t>parte</w:t>
      </w:r>
      <w:r w:rsidRPr="0077343F">
        <w:rPr>
          <w:szCs w:val="22"/>
        </w:rPr>
        <w:t xml:space="preserve"> presentations, and all attachments thereto, must be filed through the electronic comment filing system available for that proceeding, and must be filed in their native format (e.g.,</w:t>
      </w:r>
      <w:r w:rsidR="006C14C7">
        <w:rPr>
          <w:szCs w:val="22"/>
        </w:rPr>
        <w:t xml:space="preserve"> </w:t>
      </w:r>
      <w:r w:rsidRPr="0077343F">
        <w:rPr>
          <w:szCs w:val="22"/>
        </w:rPr>
        <w:t>.doc,.xml,.ppt, searchable.pdf).</w:t>
      </w:r>
      <w:r>
        <w:rPr>
          <w:szCs w:val="22"/>
          <w:vertAlign w:val="superscript"/>
        </w:rPr>
        <w:footnoteReference w:id="27"/>
      </w:r>
      <w:r w:rsidRPr="0077343F">
        <w:rPr>
          <w:szCs w:val="22"/>
        </w:rPr>
        <w:t xml:space="preserve">  Participants in this proceeding should familiarize themselves with the Commission’s </w:t>
      </w:r>
      <w:r w:rsidRPr="0077343F">
        <w:rPr>
          <w:i/>
          <w:szCs w:val="22"/>
        </w:rPr>
        <w:t xml:space="preserve">ex </w:t>
      </w:r>
      <w:r w:rsidRPr="0077343F">
        <w:rPr>
          <w:i/>
          <w:szCs w:val="22"/>
        </w:rPr>
        <w:t>parte</w:t>
      </w:r>
      <w:r w:rsidRPr="0077343F">
        <w:rPr>
          <w:szCs w:val="22"/>
        </w:rPr>
        <w:t xml:space="preserve"> rules.</w:t>
      </w:r>
    </w:p>
    <w:p w:rsidR="002D2D19" w:rsidP="002D2D19" w14:paraId="2FAFD385" w14:textId="3ADA8140">
      <w:pPr>
        <w:pStyle w:val="ParaNum"/>
        <w:keepNext/>
        <w:numPr>
          <w:ilvl w:val="0"/>
          <w:numId w:val="0"/>
        </w:numPr>
        <w:ind w:firstLine="720"/>
        <w:rPr>
          <w:szCs w:val="22"/>
        </w:rPr>
      </w:pPr>
      <w:r w:rsidRPr="0077343F">
        <w:rPr>
          <w:szCs w:val="22"/>
        </w:rPr>
        <w:t xml:space="preserve">For additional information on this proceeding, please contact Nissa Laughner </w:t>
      </w:r>
      <w:hyperlink r:id="rId6" w:history="1">
        <w:r w:rsidRPr="003975E9">
          <w:rPr>
            <w:rStyle w:val="Hyperlink"/>
            <w:szCs w:val="22"/>
          </w:rPr>
          <w:t>Nissa.Laughner@fcc.gov</w:t>
        </w:r>
      </w:hyperlink>
      <w:r>
        <w:rPr>
          <w:szCs w:val="22"/>
        </w:rPr>
        <w:t xml:space="preserve"> </w:t>
      </w:r>
      <w:r w:rsidRPr="0077343F">
        <w:rPr>
          <w:szCs w:val="22"/>
        </w:rPr>
        <w:t>of the Wireline Competition Bureau, Telecommunications Access Policy Division, (202) 418-7400.</w:t>
      </w:r>
    </w:p>
    <w:p w:rsidR="008460C9" w:rsidRPr="0077343F" w:rsidP="002D2D19" w14:paraId="6B9D4DA3" w14:textId="77777777">
      <w:pPr>
        <w:pStyle w:val="ParaNum"/>
        <w:keepNext/>
        <w:numPr>
          <w:ilvl w:val="0"/>
          <w:numId w:val="0"/>
        </w:numPr>
        <w:ind w:firstLine="720"/>
        <w:rPr>
          <w:szCs w:val="22"/>
        </w:rPr>
      </w:pPr>
    </w:p>
    <w:p w:rsidR="002D2D19" w:rsidP="002D2D19" w14:paraId="07525BD4" w14:textId="77777777">
      <w:pPr>
        <w:keepNext/>
        <w:jc w:val="center"/>
        <w:rPr>
          <w:b/>
          <w:szCs w:val="22"/>
        </w:rPr>
      </w:pPr>
    </w:p>
    <w:p w:rsidR="002D2D19" w:rsidRPr="0077343F" w:rsidP="002D2D19" w14:paraId="7D998491" w14:textId="77777777">
      <w:pPr>
        <w:keepNext/>
        <w:jc w:val="center"/>
        <w:rPr>
          <w:b/>
          <w:szCs w:val="22"/>
        </w:rPr>
      </w:pPr>
      <w:r w:rsidRPr="0077343F">
        <w:rPr>
          <w:b/>
          <w:szCs w:val="22"/>
        </w:rPr>
        <w:t>-FCC-</w:t>
      </w:r>
    </w:p>
    <w:p w:rsidR="002D2D19" w:rsidRPr="002D2D19" w:rsidP="002D2D19" w14:paraId="79F84FEF" w14:textId="07F8473D">
      <w:pPr>
        <w:rPr>
          <w:b/>
          <w:szCs w:val="18"/>
        </w:rPr>
      </w:pPr>
    </w:p>
    <w:p w:rsidR="00F96F63" w:rsidRPr="00930ECF" w:rsidP="00F96F63" w14:paraId="2B597517" w14:textId="77777777">
      <w:pPr>
        <w:rPr>
          <w:sz w:val="24"/>
        </w:rPr>
      </w:pPr>
      <w:bookmarkStart w:id="1" w:name="TOChere"/>
    </w:p>
    <w:bookmarkEnd w:id="1"/>
    <w:p w:rsidR="00F96F63" w:rsidP="00F96F63" w14:paraId="21EDCF98" w14:textId="77777777">
      <w:pPr>
        <w:rPr>
          <w:sz w:val="24"/>
        </w:rPr>
      </w:pPr>
    </w:p>
    <w:p w:rsidR="00930ECF" w:rsidRPr="00930ECF" w:rsidP="00F96F63" w14:paraId="3B41C4B3"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599A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8D54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653DA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3EC8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D2D19" w14:paraId="6523CFA2" w14:textId="77777777">
      <w:r>
        <w:separator/>
      </w:r>
    </w:p>
  </w:footnote>
  <w:footnote w:type="continuationSeparator" w:id="1">
    <w:p w:rsidR="002D2D19" w14:paraId="4462DE53" w14:textId="77777777">
      <w:pPr>
        <w:rPr>
          <w:sz w:val="20"/>
        </w:rPr>
      </w:pPr>
      <w:r>
        <w:rPr>
          <w:sz w:val="20"/>
        </w:rPr>
        <w:t xml:space="preserve">(Continued from previous page)  </w:t>
      </w:r>
      <w:r>
        <w:rPr>
          <w:sz w:val="20"/>
        </w:rPr>
        <w:separator/>
      </w:r>
    </w:p>
  </w:footnote>
  <w:footnote w:type="continuationNotice" w:id="2">
    <w:p w:rsidR="002D2D19" w:rsidP="00910F12" w14:paraId="0856B713" w14:textId="77777777">
      <w:pPr>
        <w:jc w:val="right"/>
        <w:rPr>
          <w:sz w:val="20"/>
        </w:rPr>
      </w:pPr>
      <w:r>
        <w:rPr>
          <w:sz w:val="20"/>
        </w:rPr>
        <w:t>(continued….)</w:t>
      </w:r>
    </w:p>
  </w:footnote>
  <w:footnote w:id="3">
    <w:p w:rsidR="002D2D19" w:rsidP="002D2D19" w14:paraId="0CAFD325" w14:textId="77777777">
      <w:pPr>
        <w:pStyle w:val="FootnoteText"/>
      </w:pPr>
      <w:r>
        <w:rPr>
          <w:rStyle w:val="FootnoteReference"/>
        </w:rPr>
        <w:footnoteRef/>
      </w:r>
      <w:r>
        <w:t xml:space="preserve"> </w:t>
      </w:r>
      <w:r w:rsidRPr="00794042">
        <w:rPr>
          <w:i/>
          <w:iCs/>
        </w:rPr>
        <w:t>Petition of E Fiber San Juan, LLC, for Eligible Telecommunications Carrier Designation in Certain Tribal Locations in the State of Utah</w:t>
      </w:r>
      <w:r>
        <w:t xml:space="preserve">, WC Docket No. 09-197 (Sept. 29, 2021) at </w:t>
      </w:r>
      <w:hyperlink r:id="rId1" w:history="1">
        <w:r>
          <w:rPr>
            <w:rStyle w:val="Hyperlink"/>
          </w:rPr>
          <w:t>https://ecfsapi.fcc.gov/file/1092956833369/E Fiber San Juan, LLC.ETC Designation.pdf</w:t>
        </w:r>
      </w:hyperlink>
      <w:r>
        <w:t xml:space="preserve">. </w:t>
      </w:r>
    </w:p>
  </w:footnote>
  <w:footnote w:id="4">
    <w:p w:rsidR="002D2D19" w:rsidRPr="00CA5C70" w:rsidP="002D2D19" w14:paraId="5043F906" w14:textId="77777777">
      <w:pPr>
        <w:pStyle w:val="FootnoteText"/>
      </w:pPr>
      <w:r w:rsidRPr="00CA5C70">
        <w:rPr>
          <w:rStyle w:val="FootnoteReference"/>
          <w:sz w:val="20"/>
        </w:rPr>
        <w:footnoteRef/>
      </w:r>
      <w:r w:rsidRPr="00CA5C70">
        <w:t xml:space="preserve"> </w:t>
      </w:r>
      <w:r w:rsidRPr="00CA5C70">
        <w:rPr>
          <w:i/>
        </w:rPr>
        <w:t>See Rural Digital Opportunity Fund Phase I Auction (Auction 904) Closes; Winning Bidders Announced; FCC Form 683 Due January 29, 2021</w:t>
      </w:r>
      <w:r>
        <w:rPr>
          <w:iCs/>
        </w:rPr>
        <w:t>,</w:t>
      </w:r>
      <w:r w:rsidRPr="00CA5C70">
        <w:rPr>
          <w:i/>
        </w:rPr>
        <w:t xml:space="preserve"> </w:t>
      </w:r>
      <w:r w:rsidRPr="00CA5C70">
        <w:rPr>
          <w:iCs/>
        </w:rPr>
        <w:t xml:space="preserve">Public Notice, 35 FCC </w:t>
      </w:r>
      <w:r w:rsidRPr="00CA5C70">
        <w:rPr>
          <w:iCs/>
        </w:rPr>
        <w:t>Rcd</w:t>
      </w:r>
      <w:r w:rsidRPr="00CA5C70">
        <w:rPr>
          <w:iCs/>
        </w:rPr>
        <w:t xml:space="preserve"> 13888, 13890-91, paras. 9-15 (RBATF, OEA, WCB 2020)</w:t>
      </w:r>
      <w:r>
        <w:rPr>
          <w:iCs/>
        </w:rPr>
        <w:t xml:space="preserve"> (</w:t>
      </w:r>
      <w:r w:rsidRPr="00A223DE">
        <w:rPr>
          <w:i/>
        </w:rPr>
        <w:t>RDOF Closing Public Notice</w:t>
      </w:r>
      <w:r>
        <w:rPr>
          <w:iCs/>
        </w:rPr>
        <w:t>)</w:t>
      </w:r>
      <w:r w:rsidRPr="00CA5C70">
        <w:rPr>
          <w:iCs/>
        </w:rPr>
        <w:t xml:space="preserve">; </w:t>
      </w:r>
      <w:r w:rsidRPr="00CA5C70">
        <w:rPr>
          <w:i/>
        </w:rPr>
        <w:t>Rural Digital Opportunity Fund Phase I Auction Scheduled for October 29, 2020; Notice and Filing Requirements and Other Procedures for Auction 904</w:t>
      </w:r>
      <w:r w:rsidRPr="00CA5C70">
        <w:t xml:space="preserve">, AU Docket No. 20-34 et al., Public Notice, 35 FCC </w:t>
      </w:r>
      <w:r w:rsidRPr="00CA5C70">
        <w:t>Rcd</w:t>
      </w:r>
      <w:r w:rsidRPr="00CA5C70">
        <w:t xml:space="preserve"> 6077, 6164-65, paras. 288-93 (2020).</w:t>
      </w:r>
      <w:r>
        <w:t xml:space="preserve">  </w:t>
      </w:r>
    </w:p>
  </w:footnote>
  <w:footnote w:id="5">
    <w:p w:rsidR="002D2D19" w:rsidP="002D2D19" w14:paraId="5AB53910" w14:textId="77777777">
      <w:pPr>
        <w:pStyle w:val="FootnoteText"/>
      </w:pPr>
      <w:r>
        <w:rPr>
          <w:rStyle w:val="FootnoteReference"/>
        </w:rPr>
        <w:footnoteRef/>
      </w:r>
      <w:r>
        <w:t xml:space="preserve"> </w:t>
      </w:r>
      <w:r w:rsidRPr="00CA5C70">
        <w:t>47 U.S.C. § 254(e).</w:t>
      </w:r>
    </w:p>
  </w:footnote>
  <w:footnote w:id="6">
    <w:p w:rsidR="002D2D19" w:rsidP="002D2D19" w14:paraId="755B0B80" w14:textId="77777777">
      <w:pPr>
        <w:pStyle w:val="FootnoteText"/>
      </w:pPr>
      <w:r>
        <w:rPr>
          <w:rStyle w:val="FootnoteReference"/>
        </w:rPr>
        <w:footnoteRef/>
      </w:r>
      <w:r>
        <w:t xml:space="preserve"> </w:t>
      </w:r>
      <w:r w:rsidRPr="00CA5C70">
        <w:t xml:space="preserve">47 CFR Part 54, Subparts D, K, L, M.   </w:t>
      </w:r>
    </w:p>
  </w:footnote>
  <w:footnote w:id="7">
    <w:p w:rsidR="002D2D19" w:rsidP="002D2D19" w14:paraId="40D534E5" w14:textId="77777777">
      <w:pPr>
        <w:pStyle w:val="FootnoteText"/>
      </w:pPr>
      <w:r>
        <w:rPr>
          <w:rStyle w:val="FootnoteReference"/>
        </w:rPr>
        <w:footnoteRef/>
      </w:r>
      <w:r>
        <w:t xml:space="preserve"> </w:t>
      </w:r>
      <w:r w:rsidRPr="003730FE">
        <w:t>47 CFR § 54.</w:t>
      </w:r>
      <w:r>
        <w:t>804</w:t>
      </w:r>
      <w:r w:rsidRPr="003730FE">
        <w:t xml:space="preserve">(b)(5); </w:t>
      </w:r>
      <w:r w:rsidRPr="00901546">
        <w:rPr>
          <w:i/>
          <w:iCs/>
        </w:rPr>
        <w:t>RDOF Closing Public Notice</w:t>
      </w:r>
      <w:r>
        <w:t xml:space="preserve">, </w:t>
      </w:r>
      <w:r>
        <w:rPr>
          <w:iCs/>
        </w:rPr>
        <w:t xml:space="preserve">35 FCC </w:t>
      </w:r>
      <w:r>
        <w:rPr>
          <w:iCs/>
        </w:rPr>
        <w:t>Rcd</w:t>
      </w:r>
      <w:r>
        <w:rPr>
          <w:iCs/>
        </w:rPr>
        <w:t xml:space="preserve"> at 13894, 13900-01.</w:t>
      </w:r>
      <w:r w:rsidRPr="003730FE">
        <w:t xml:space="preserve"> </w:t>
      </w:r>
    </w:p>
  </w:footnote>
  <w:footnote w:id="8">
    <w:p w:rsidR="002D2D19" w:rsidP="002D2D19" w14:paraId="4E5B17B9" w14:textId="77777777">
      <w:pPr>
        <w:pStyle w:val="FootnoteText"/>
      </w:pPr>
      <w:r>
        <w:rPr>
          <w:rStyle w:val="FootnoteReference"/>
        </w:rPr>
        <w:footnoteRef/>
      </w:r>
      <w:r>
        <w:t xml:space="preserve"> Petition of E Fiber Moab, LLC and E Fiber San Juan, LLC for a Waiver of Section 54.804(b)(5), AU Docket No. 20-34, WCB Docket No. 19-126 (filed June 2, 2021) at </w:t>
      </w:r>
      <w:hyperlink r:id="rId2" w:history="1">
        <w:r w:rsidRPr="00EE00BD">
          <w:rPr>
            <w:rStyle w:val="Hyperlink"/>
          </w:rPr>
          <w:t>https://www.fcc.gov/ecfs/filing/10602227425057</w:t>
        </w:r>
      </w:hyperlink>
      <w:r>
        <w:t>.</w:t>
      </w:r>
    </w:p>
  </w:footnote>
  <w:footnote w:id="9">
    <w:p w:rsidR="002D2D19" w:rsidRPr="00CA5C70" w:rsidP="002D2D19" w14:paraId="17A9E894" w14:textId="77777777">
      <w:pPr>
        <w:pStyle w:val="FootnoteText"/>
      </w:pPr>
      <w:r w:rsidRPr="00CA5C70">
        <w:rPr>
          <w:rStyle w:val="FootnoteReference"/>
          <w:sz w:val="20"/>
        </w:rPr>
        <w:footnoteRef/>
      </w:r>
      <w:r w:rsidRPr="00CA5C70">
        <w:t xml:space="preserve"> 47 U.S.C. § 254(e).</w:t>
      </w:r>
    </w:p>
  </w:footnote>
  <w:footnote w:id="10">
    <w:p w:rsidR="002D2D19" w:rsidRPr="00CA5C70" w:rsidP="002D2D19" w14:paraId="6C4C3D78" w14:textId="77777777">
      <w:pPr>
        <w:pStyle w:val="FootnoteText"/>
      </w:pPr>
      <w:r w:rsidRPr="00CA5C70">
        <w:rPr>
          <w:rStyle w:val="FootnoteReference"/>
          <w:sz w:val="20"/>
        </w:rPr>
        <w:footnoteRef/>
      </w:r>
      <w:r w:rsidRPr="00CA5C70">
        <w:t xml:space="preserve"> </w:t>
      </w:r>
      <w:r w:rsidRPr="00CA5C70">
        <w:rPr>
          <w:i/>
        </w:rPr>
        <w:t>Id.</w:t>
      </w:r>
      <w:r w:rsidRPr="00CA5C70">
        <w:t xml:space="preserve"> § 214(e)(2).</w:t>
      </w:r>
    </w:p>
  </w:footnote>
  <w:footnote w:id="11">
    <w:p w:rsidR="002D2D19" w:rsidRPr="00CA5C70" w:rsidP="002D2D19" w14:paraId="43DF1E47" w14:textId="77777777">
      <w:pPr>
        <w:pStyle w:val="FootnoteText"/>
      </w:pPr>
      <w:r w:rsidRPr="00CA5C70">
        <w:rPr>
          <w:rStyle w:val="FootnoteReference"/>
          <w:sz w:val="20"/>
        </w:rPr>
        <w:footnoteRef/>
      </w:r>
      <w:r w:rsidRPr="00CA5C70">
        <w:t xml:space="preserve"> </w:t>
      </w:r>
      <w:r w:rsidRPr="00CA5C70">
        <w:rPr>
          <w:i/>
        </w:rPr>
        <w:t>Id.</w:t>
      </w:r>
      <w:r w:rsidRPr="00CA5C70">
        <w:t xml:space="preserve"> § 214(e)(6).</w:t>
      </w:r>
    </w:p>
  </w:footnote>
  <w:footnote w:id="12">
    <w:p w:rsidR="002D2D19" w:rsidRPr="00CA5C70" w:rsidP="002D2D19" w14:paraId="61996308"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Federal-State Joint Board on Universal Service et al</w:t>
      </w:r>
      <w:r w:rsidRPr="00CA5C70">
        <w:t xml:space="preserve">., CC Docket No. 96-45, Twelfth Report and Order, Memorandum Opinion and Order, and Further Notice of Proposed Rulemaking, 15 FCC </w:t>
      </w:r>
      <w:r w:rsidRPr="00CA5C70">
        <w:t>Rcd</w:t>
      </w:r>
      <w:r w:rsidRPr="00CA5C70">
        <w:t xml:space="preserve"> 12208, 12267, para. 120 (2000); </w:t>
      </w:r>
      <w:r w:rsidRPr="00CA5C70">
        <w:rPr>
          <w:lang w:val="it-IT"/>
        </w:rPr>
        <w:t>47 U.S.C. § 214(e)(6).</w:t>
      </w:r>
    </w:p>
  </w:footnote>
  <w:footnote w:id="13">
    <w:p w:rsidR="002D2D19" w:rsidRPr="00CA5C70" w:rsidP="002D2D19" w14:paraId="5479108F" w14:textId="77777777">
      <w:pPr>
        <w:pStyle w:val="FootnoteText"/>
      </w:pPr>
      <w:r w:rsidRPr="00CA5C70">
        <w:rPr>
          <w:rStyle w:val="FootnoteReference"/>
          <w:sz w:val="20"/>
        </w:rPr>
        <w:footnoteRef/>
      </w:r>
      <w:r w:rsidRPr="00CA5C70">
        <w:t xml:space="preserve"> </w:t>
      </w:r>
      <w:r w:rsidRPr="00CA5C70">
        <w:rPr>
          <w:i/>
        </w:rPr>
        <w:t>See</w:t>
      </w:r>
      <w:r w:rsidRPr="00CA5C70">
        <w:t xml:space="preserve"> </w:t>
      </w:r>
      <w:r w:rsidRPr="00CA5C70">
        <w:rPr>
          <w:i/>
        </w:rPr>
        <w:t>Procedures for FCC Designation of Eligible Telecommunications Carriers Pursuant to Section 214(e)(6) of the Communications Act</w:t>
      </w:r>
      <w:r w:rsidRPr="00CA5C70">
        <w:t xml:space="preserve">, CC Docket No. 96-45, Public Notice, 12 FCC </w:t>
      </w:r>
      <w:r w:rsidRPr="00CA5C70">
        <w:t>Rcd</w:t>
      </w:r>
      <w:r w:rsidRPr="00CA5C70">
        <w:t xml:space="preserve"> 22947, 22948 (1997).</w:t>
      </w:r>
    </w:p>
  </w:footnote>
  <w:footnote w:id="14">
    <w:p w:rsidR="002D2D19" w:rsidRPr="00CA5C70" w:rsidP="002D2D19" w14:paraId="437D11F2" w14:textId="77777777">
      <w:pPr>
        <w:pStyle w:val="FootnoteText"/>
      </w:pPr>
      <w:r w:rsidRPr="00CA5C70">
        <w:rPr>
          <w:rStyle w:val="FootnoteReference"/>
          <w:sz w:val="20"/>
        </w:rPr>
        <w:footnoteRef/>
      </w:r>
      <w:r w:rsidRPr="00CA5C70">
        <w:t xml:space="preserve"> 47 U.S.C. § 214(e)(1); 47 CFR § 54.201(d)(1).</w:t>
      </w:r>
    </w:p>
  </w:footnote>
  <w:footnote w:id="15">
    <w:p w:rsidR="002D2D19" w:rsidRPr="00CA5C70" w:rsidP="002D2D19" w14:paraId="30263C25" w14:textId="77777777">
      <w:pPr>
        <w:pStyle w:val="FootnoteText"/>
      </w:pPr>
      <w:r w:rsidRPr="00CA5C70">
        <w:rPr>
          <w:rStyle w:val="FootnoteReference"/>
          <w:sz w:val="20"/>
        </w:rPr>
        <w:footnoteRef/>
      </w:r>
      <w:r w:rsidRPr="00CA5C70">
        <w:t xml:space="preserve"> 47 U.S.C. § 214(e)(1); 47 CFR § 54.201(d)(2).</w:t>
      </w:r>
    </w:p>
  </w:footnote>
  <w:footnote w:id="16">
    <w:p w:rsidR="002D2D19" w:rsidRPr="00CA5C70" w:rsidP="002D2D19" w14:paraId="45DE1901" w14:textId="77777777">
      <w:pPr>
        <w:pStyle w:val="FootnoteText"/>
      </w:pPr>
      <w:r w:rsidRPr="0A998E18">
        <w:rPr>
          <w:rStyle w:val="FootnoteReference"/>
          <w:sz w:val="20"/>
        </w:rPr>
        <w:footnoteRef/>
      </w:r>
      <w:r w:rsidRPr="00CA5C70">
        <w:t xml:space="preserve"> An ETC’s “service area” is set by the designating authority and is the geographic area within which an ETC has universal service obligations and may receive universal service support.  47 U.S.C. § 214(e)(5); 47 CFR § 54.207(a). Although section 214(e)(5) of the Act, 47 U.S.C. § 214(e)(5), requires conformance of a competitive ETC’s service area and an incumbent rural telephone company’s service area, the Commission </w:t>
      </w:r>
      <w:r w:rsidRPr="00CA5C70">
        <w:rPr>
          <w:snapToGrid w:val="0"/>
        </w:rPr>
        <w:t>has separately forborne from imposing such requirements on Auction 90</w:t>
      </w:r>
      <w:r>
        <w:rPr>
          <w:snapToGrid w:val="0"/>
        </w:rPr>
        <w:t>4</w:t>
      </w:r>
      <w:r w:rsidRPr="00CA5C70">
        <w:rPr>
          <w:snapToGrid w:val="0"/>
        </w:rPr>
        <w:t xml:space="preserve"> support recipients.  </w:t>
      </w:r>
      <w:r w:rsidRPr="0A998E18">
        <w:rPr>
          <w:i/>
          <w:iCs/>
          <w:snapToGrid w:val="0"/>
        </w:rPr>
        <w:t>See</w:t>
      </w:r>
      <w:r w:rsidRPr="00CA5C70">
        <w:rPr>
          <w:snapToGrid w:val="0"/>
        </w:rPr>
        <w:t xml:space="preserve"> </w:t>
      </w:r>
      <w:r w:rsidRPr="0A998E18">
        <w:rPr>
          <w:i/>
          <w:iCs/>
          <w:snapToGrid w:val="0"/>
        </w:rPr>
        <w:t>Rural Digital Opportunity Fund; Connect America Fund</w:t>
      </w:r>
      <w:r w:rsidRPr="003B1428">
        <w:rPr>
          <w:snapToGrid w:val="0"/>
        </w:rPr>
        <w:t>, WC Docket Nos. 19-126, 10-90, Report and Order</w:t>
      </w:r>
      <w:r w:rsidRPr="00CA5C70">
        <w:rPr>
          <w:snapToGrid w:val="0"/>
        </w:rPr>
        <w:t xml:space="preserve">, </w:t>
      </w:r>
      <w:r w:rsidRPr="003B1428">
        <w:rPr>
          <w:snapToGrid w:val="0"/>
        </w:rPr>
        <w:t xml:space="preserve">35 FCC </w:t>
      </w:r>
      <w:r w:rsidRPr="003B1428">
        <w:rPr>
          <w:snapToGrid w:val="0"/>
        </w:rPr>
        <w:t>Rcd</w:t>
      </w:r>
      <w:r w:rsidRPr="003B1428">
        <w:rPr>
          <w:snapToGrid w:val="0"/>
        </w:rPr>
        <w:t xml:space="preserve"> 686</w:t>
      </w:r>
      <w:r>
        <w:rPr>
          <w:snapToGrid w:val="0"/>
        </w:rPr>
        <w:t>, 728, para. 93-94</w:t>
      </w:r>
      <w:r>
        <w:t xml:space="preserve"> (2020).</w:t>
      </w:r>
    </w:p>
  </w:footnote>
  <w:footnote w:id="17">
    <w:p w:rsidR="002D2D19" w:rsidRPr="00CA5C70" w:rsidP="002D2D19" w14:paraId="747212BA" w14:textId="77777777">
      <w:pPr>
        <w:pStyle w:val="FootnoteText"/>
      </w:pPr>
      <w:r w:rsidRPr="00CA5C70">
        <w:rPr>
          <w:rStyle w:val="FootnoteReference"/>
          <w:sz w:val="20"/>
        </w:rPr>
        <w:footnoteRef/>
      </w:r>
      <w:r w:rsidRPr="00CA5C70">
        <w:t xml:space="preserve"> 21 U.S.C. § 862; 47 CFR § 1.2002(a)–(b).</w:t>
      </w:r>
    </w:p>
  </w:footnote>
  <w:footnote w:id="18">
    <w:p w:rsidR="002D2D19" w:rsidRPr="00CA5C70" w:rsidP="002D2D19" w14:paraId="574561D4" w14:textId="77777777">
      <w:pPr>
        <w:autoSpaceDE w:val="0"/>
        <w:autoSpaceDN w:val="0"/>
        <w:adjustRightInd w:val="0"/>
        <w:spacing w:after="120"/>
        <w:rPr>
          <w:color w:val="000000"/>
          <w:sz w:val="20"/>
        </w:rPr>
      </w:pPr>
      <w:r w:rsidRPr="00CA5C70">
        <w:rPr>
          <w:rStyle w:val="FootnoteReference"/>
          <w:sz w:val="20"/>
        </w:rPr>
        <w:footnoteRef/>
      </w:r>
      <w:r w:rsidRPr="00CA5C70">
        <w:rPr>
          <w:sz w:val="20"/>
        </w:rPr>
        <w:t xml:space="preserve"> </w:t>
      </w:r>
      <w:r w:rsidRPr="00CA5C70">
        <w:rPr>
          <w:i/>
          <w:iCs/>
          <w:color w:val="000000"/>
          <w:sz w:val="20"/>
        </w:rPr>
        <w:t>See</w:t>
      </w:r>
      <w:r w:rsidRPr="00CA5C70">
        <w:rPr>
          <w:color w:val="000000"/>
          <w:sz w:val="20"/>
        </w:rPr>
        <w:t xml:space="preserve"> 47 CFR § 54.202(a).</w:t>
      </w:r>
    </w:p>
  </w:footnote>
  <w:footnote w:id="19">
    <w:p w:rsidR="002D2D19" w:rsidRPr="00CA5C70" w:rsidP="002D2D19" w14:paraId="1BC6F063" w14:textId="77777777">
      <w:pPr>
        <w:pStyle w:val="FootnoteText"/>
      </w:pPr>
      <w:r w:rsidRPr="00CA5C70">
        <w:rPr>
          <w:rStyle w:val="FootnoteReference"/>
          <w:sz w:val="20"/>
        </w:rPr>
        <w:footnoteRef/>
      </w:r>
      <w:r w:rsidRPr="00CA5C70">
        <w:t xml:space="preserve"> 47 U.S.C. § 214(e)(6); 47 CFR § 54.202(b).</w:t>
      </w:r>
      <w:r>
        <w:t xml:space="preserve">  The Bureau has </w:t>
      </w:r>
      <w:r w:rsidRPr="00074632">
        <w:t>extend</w:t>
      </w:r>
      <w:r>
        <w:t>ed</w:t>
      </w:r>
      <w:r w:rsidRPr="00074632">
        <w:t xml:space="preserve"> to Auction 904 </w:t>
      </w:r>
      <w:r>
        <w:t xml:space="preserve">support recipients </w:t>
      </w:r>
      <w:r w:rsidRPr="00074632">
        <w:t xml:space="preserve">the same waivers of </w:t>
      </w:r>
      <w:r>
        <w:t xml:space="preserve">certain requirements in </w:t>
      </w:r>
      <w:r w:rsidRPr="00074632">
        <w:t>section 54.202 of the Commission’s rules</w:t>
      </w:r>
      <w:r>
        <w:t xml:space="preserve"> and the same presumption that designation will serve the public interest as it had previously extended to Auction 903 support recipients</w:t>
      </w:r>
      <w:r w:rsidRPr="00074632">
        <w:t xml:space="preserve">.  </w:t>
      </w:r>
      <w:r w:rsidRPr="00A223DE">
        <w:rPr>
          <w:i/>
          <w:iCs/>
        </w:rPr>
        <w:t>RDOF Closing Public Notice</w:t>
      </w:r>
      <w:r>
        <w:t xml:space="preserve">, 35 FCC </w:t>
      </w:r>
      <w:r>
        <w:t>Rcd</w:t>
      </w:r>
      <w:r>
        <w:t xml:space="preserve"> at 13901 n.71; </w:t>
      </w:r>
      <w:r w:rsidRPr="00AB096B">
        <w:rPr>
          <w:i/>
        </w:rPr>
        <w:t>WCB Reminds Connect America Fund Phase II Auction Applicants of the Process for Obtaining a Federal Designation as an Eligible Telecommunications Carrier</w:t>
      </w:r>
      <w:r w:rsidRPr="00AB096B">
        <w:t xml:space="preserve">, WC Docket Nos. 09-197 and 10-90, Public Notice, 33 FCC </w:t>
      </w:r>
      <w:r w:rsidRPr="00AB096B">
        <w:t>Rcd</w:t>
      </w:r>
      <w:r w:rsidRPr="00AB096B">
        <w:t xml:space="preserve"> 6696, 6699-6700 (WCB 2019</w:t>
      </w:r>
      <w:r>
        <w:t>).</w:t>
      </w:r>
    </w:p>
  </w:footnote>
  <w:footnote w:id="20">
    <w:p w:rsidR="002D2D19" w:rsidRPr="00CA5C70" w:rsidP="002D2D19" w14:paraId="3A00CECC" w14:textId="77777777">
      <w:pPr>
        <w:pStyle w:val="FootnoteText"/>
      </w:pPr>
      <w:r w:rsidRPr="0A998E18">
        <w:rPr>
          <w:rStyle w:val="FootnoteReference"/>
          <w:sz w:val="20"/>
        </w:rPr>
        <w:footnoteRef/>
      </w:r>
      <w:r w:rsidRPr="00CA5C70">
        <w:t xml:space="preserve"> </w:t>
      </w:r>
      <w:r w:rsidRPr="00CA5C70">
        <w:rPr>
          <w:rStyle w:val="Emphasis"/>
        </w:rPr>
        <w:t xml:space="preserve">See </w:t>
      </w:r>
      <w:r w:rsidRPr="0A998E18">
        <w:rPr>
          <w:i/>
          <w:iCs/>
        </w:rPr>
        <w:t>Electronic</w:t>
      </w:r>
      <w:r w:rsidRPr="00CA5C70">
        <w:rPr>
          <w:rStyle w:val="Emphasis"/>
        </w:rPr>
        <w:t xml:space="preserve"> </w:t>
      </w:r>
      <w:r w:rsidRPr="0A998E18">
        <w:rPr>
          <w:i/>
          <w:iCs/>
        </w:rPr>
        <w:t>Filing</w:t>
      </w:r>
      <w:r w:rsidRPr="00CA5C70">
        <w:rPr>
          <w:rStyle w:val="Emphasis"/>
        </w:rPr>
        <w:t xml:space="preserve"> of </w:t>
      </w:r>
      <w:r w:rsidRPr="0A998E18">
        <w:rPr>
          <w:i/>
          <w:iCs/>
        </w:rPr>
        <w:t>Documents</w:t>
      </w:r>
      <w:r w:rsidRPr="00CA5C70">
        <w:rPr>
          <w:rStyle w:val="Emphasis"/>
        </w:rPr>
        <w:t xml:space="preserve"> in Rulemaking Proceedings</w:t>
      </w:r>
      <w:r w:rsidRPr="00CA5C70">
        <w:t xml:space="preserve">, GC Docket No. 97-113, Report and Order, 13 FCC </w:t>
      </w:r>
      <w:r w:rsidRPr="00CA5C70">
        <w:t>Rcd</w:t>
      </w:r>
      <w:r w:rsidRPr="00CA5C70">
        <w:t xml:space="preserve"> 11322 (1998); 63 Fed. Reg. 24121 (1998).</w:t>
      </w:r>
    </w:p>
  </w:footnote>
  <w:footnote w:id="21">
    <w:p w:rsidR="002D2D19" w:rsidRPr="00CA5C70" w:rsidP="002D2D19" w14:paraId="4C0A30DD" w14:textId="77777777">
      <w:pPr>
        <w:pStyle w:val="FootnoteText"/>
      </w:pPr>
      <w:r w:rsidRPr="00CA5C70">
        <w:rPr>
          <w:rStyle w:val="FootnoteReference"/>
          <w:sz w:val="20"/>
        </w:rPr>
        <w:footnoteRef/>
      </w:r>
      <w:r w:rsidRPr="00CA5C70">
        <w:t xml:space="preserve"> </w:t>
      </w:r>
      <w:r w:rsidRPr="00CA5C70">
        <w:rPr>
          <w:i/>
          <w:iCs/>
        </w:rPr>
        <w:t>See FCC Announces Closure of FCC Headquarters Open Window and Change in Hand-Delivery Policy</w:t>
      </w:r>
      <w:r w:rsidRPr="00CA5C70">
        <w:t xml:space="preserve">, Public Notice, 35 FCC </w:t>
      </w:r>
      <w:r w:rsidRPr="00CA5C70">
        <w:t>Rcd</w:t>
      </w:r>
      <w:r w:rsidRPr="00CA5C70">
        <w:t xml:space="preserve"> 2788 (OMD 2020), https://www.fcc.gov/document/fcc-closes-headquarters-open-window-and-changes-hand-delivery-policy.</w:t>
      </w:r>
    </w:p>
  </w:footnote>
  <w:footnote w:id="22">
    <w:p w:rsidR="002D2D19" w:rsidRPr="00CA5C70" w:rsidP="002D2D19" w14:paraId="3E017670" w14:textId="77777777">
      <w:pPr>
        <w:pStyle w:val="FootnoteText"/>
      </w:pPr>
      <w:r w:rsidRPr="00CA5C70">
        <w:rPr>
          <w:rStyle w:val="FootnoteReference"/>
          <w:sz w:val="20"/>
        </w:rPr>
        <w:footnoteRef/>
      </w:r>
      <w:r w:rsidRPr="00CA5C70">
        <w:t xml:space="preserve"> </w:t>
      </w:r>
      <w:r w:rsidRPr="00CA5C70">
        <w:rPr>
          <w:i/>
        </w:rPr>
        <w:t>See</w:t>
      </w:r>
      <w:r w:rsidRPr="00CA5C70">
        <w:t xml:space="preserve"> 47 CFR § 1.1206.</w:t>
      </w:r>
    </w:p>
  </w:footnote>
  <w:footnote w:id="23">
    <w:p w:rsidR="002D2D19" w:rsidRPr="00CA5C70" w:rsidP="002D2D19" w14:paraId="59296C98" w14:textId="77777777">
      <w:pPr>
        <w:pStyle w:val="FootnoteText"/>
      </w:pPr>
      <w:r w:rsidRPr="00CA5C70">
        <w:rPr>
          <w:rStyle w:val="FootnoteReference"/>
          <w:sz w:val="20"/>
        </w:rPr>
        <w:footnoteRef/>
      </w:r>
      <w:r w:rsidRPr="00CA5C70">
        <w:t xml:space="preserve"> </w:t>
      </w:r>
      <w:r w:rsidRPr="00CA5C70">
        <w:rPr>
          <w:i/>
        </w:rPr>
        <w:t>Id</w:t>
      </w:r>
      <w:r w:rsidRPr="00CA5C70">
        <w:t>. § 1.2016(b)(2)(iii).</w:t>
      </w:r>
    </w:p>
  </w:footnote>
  <w:footnote w:id="24">
    <w:p w:rsidR="002D2D19" w:rsidRPr="00CA5C70" w:rsidP="002D2D19" w14:paraId="2537EF1E" w14:textId="77777777">
      <w:pPr>
        <w:pStyle w:val="FootnoteText"/>
      </w:pPr>
      <w:r w:rsidRPr="00CA5C70">
        <w:rPr>
          <w:rStyle w:val="FootnoteReference"/>
          <w:sz w:val="20"/>
        </w:rPr>
        <w:footnoteRef/>
      </w:r>
      <w:r w:rsidRPr="00CA5C70">
        <w:t xml:space="preserve"> </w:t>
      </w:r>
      <w:r w:rsidRPr="00CA5C70">
        <w:rPr>
          <w:i/>
        </w:rPr>
        <w:t>Id</w:t>
      </w:r>
      <w:r w:rsidRPr="00CA5C70">
        <w:t>. § 1.1206(b)(1).</w:t>
      </w:r>
    </w:p>
  </w:footnote>
  <w:footnote w:id="25">
    <w:p w:rsidR="002D2D19" w:rsidRPr="00CA5C70" w:rsidP="002D2D19" w14:paraId="6DDD1AF3" w14:textId="77777777">
      <w:pPr>
        <w:pStyle w:val="FootnoteText"/>
      </w:pPr>
      <w:r w:rsidRPr="00CA5C70">
        <w:rPr>
          <w:rStyle w:val="FootnoteReference"/>
          <w:sz w:val="20"/>
        </w:rPr>
        <w:footnoteRef/>
      </w:r>
      <w:r w:rsidRPr="00CA5C70">
        <w:t xml:space="preserve"> </w:t>
      </w:r>
      <w:r w:rsidRPr="00CA5C70">
        <w:rPr>
          <w:i/>
        </w:rPr>
        <w:t>Id</w:t>
      </w:r>
      <w:r w:rsidRPr="00CA5C70">
        <w:t>.</w:t>
      </w:r>
    </w:p>
  </w:footnote>
  <w:footnote w:id="26">
    <w:p w:rsidR="002D2D19" w:rsidRPr="00CA5C70" w:rsidP="002D2D19" w14:paraId="565FE04D" w14:textId="77777777">
      <w:pPr>
        <w:pStyle w:val="FootnoteText"/>
      </w:pPr>
      <w:r w:rsidRPr="00CA5C70">
        <w:rPr>
          <w:rStyle w:val="FootnoteReference"/>
          <w:sz w:val="20"/>
        </w:rPr>
        <w:footnoteRef/>
      </w:r>
      <w:r w:rsidRPr="00CA5C70">
        <w:t xml:space="preserve"> </w:t>
      </w:r>
      <w:r w:rsidRPr="00CA5C70">
        <w:rPr>
          <w:i/>
        </w:rPr>
        <w:t>Id</w:t>
      </w:r>
      <w:r w:rsidRPr="00CA5C70">
        <w:t>. § 1.1206(b)(2).</w:t>
      </w:r>
    </w:p>
  </w:footnote>
  <w:footnote w:id="27">
    <w:p w:rsidR="002D2D19" w:rsidRPr="00CA5C70" w:rsidP="002D2D19" w14:paraId="372CC5E9" w14:textId="77777777">
      <w:pPr>
        <w:pStyle w:val="FootnoteText"/>
      </w:pPr>
      <w:r w:rsidRPr="00CA5C70">
        <w:rPr>
          <w:rStyle w:val="FootnoteReference"/>
          <w:sz w:val="20"/>
        </w:rPr>
        <w:footnoteRef/>
      </w:r>
      <w:r w:rsidRPr="00CA5C70">
        <w:t xml:space="preserve"> </w:t>
      </w:r>
      <w:r w:rsidRPr="00CA5C70">
        <w:rPr>
          <w:i/>
        </w:rPr>
        <w:t>Id</w:t>
      </w:r>
      <w:r w:rsidRPr="00CA5C70">
        <w:t xml:space="preserve">. § 1.1206(b)(2)(i); </w:t>
      </w:r>
      <w:r w:rsidRPr="00CA5C70">
        <w:rPr>
          <w:i/>
        </w:rPr>
        <w:t>see also</w:t>
      </w:r>
      <w:r w:rsidRPr="00CA5C70">
        <w:t xml:space="preserve"> </w:t>
      </w:r>
      <w:r w:rsidRPr="00CA5C70">
        <w:rPr>
          <w:i/>
        </w:rPr>
        <w:t xml:space="preserve">id. </w:t>
      </w:r>
      <w:r w:rsidRPr="00CA5C70">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52DE424" w14:textId="721E0112">
    <w:pPr>
      <w:tabs>
        <w:tab w:val="center" w:pos="4680"/>
        <w:tab w:val="right" w:pos="9360"/>
      </w:tabs>
    </w:pPr>
    <w:r w:rsidRPr="009838BC">
      <w:rPr>
        <w:b/>
      </w:rPr>
      <w:tab/>
      <w:t>Federal Communications Commission</w:t>
    </w:r>
    <w:r w:rsidRPr="009838BC">
      <w:rPr>
        <w:b/>
      </w:rPr>
      <w:tab/>
    </w:r>
    <w:r w:rsidR="002D2D19">
      <w:rPr>
        <w:b/>
      </w:rPr>
      <w:t>DA 21-1471</w:t>
    </w:r>
  </w:p>
  <w:p w:rsidR="009838BC" w:rsidRPr="009838BC" w:rsidP="009838BC" w14:paraId="4C95F87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069E0B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8FD13A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779A086" w14:textId="77777777">
                <w:pPr>
                  <w:rPr>
                    <w:rFonts w:ascii="Arial" w:hAnsi="Arial"/>
                    <w:b/>
                    <w:snapToGrid/>
                  </w:rPr>
                </w:pPr>
                <w:r>
                  <w:rPr>
                    <w:rFonts w:ascii="Arial" w:hAnsi="Arial"/>
                    <w:b/>
                  </w:rPr>
                  <w:t>Federal Communications Commission</w:t>
                </w:r>
              </w:p>
              <w:p w:rsidR="00DE0AB8" w:rsidP="00DE0AB8" w14:paraId="600FF38B" w14:textId="77777777">
                <w:pPr>
                  <w:rPr>
                    <w:rFonts w:ascii="Arial" w:hAnsi="Arial"/>
                    <w:b/>
                  </w:rPr>
                </w:pPr>
                <w:r>
                  <w:rPr>
                    <w:rFonts w:ascii="Arial" w:hAnsi="Arial"/>
                    <w:b/>
                  </w:rPr>
                  <w:t>45 L Street NE</w:t>
                </w:r>
              </w:p>
              <w:p w:rsidR="009838BC" w:rsidP="00DE0AB8" w14:paraId="5EFF048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FE8057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223A333" w14:textId="77777777">
                <w:pPr>
                  <w:spacing w:before="40"/>
                  <w:jc w:val="right"/>
                  <w:rPr>
                    <w:rFonts w:ascii="Arial" w:hAnsi="Arial"/>
                    <w:b/>
                    <w:sz w:val="16"/>
                  </w:rPr>
                </w:pPr>
                <w:r>
                  <w:rPr>
                    <w:rFonts w:ascii="Arial" w:hAnsi="Arial"/>
                    <w:b/>
                    <w:sz w:val="16"/>
                  </w:rPr>
                  <w:t>News Media Information 202 / 418-0500</w:t>
                </w:r>
              </w:p>
              <w:p w:rsidR="009838BC" w:rsidP="009838BC" w14:paraId="3C38CF7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A7AFBD0" w14:textId="77777777">
                <w:pPr>
                  <w:jc w:val="right"/>
                </w:pPr>
                <w:r>
                  <w:rPr>
                    <w:rFonts w:ascii="Arial" w:hAnsi="Arial"/>
                    <w:b/>
                    <w:sz w:val="16"/>
                  </w:rPr>
                  <w:t>TTY: 1-888-835-5322</w:t>
                </w:r>
              </w:p>
            </w:txbxContent>
          </v:textbox>
        </v:shape>
      </w:pict>
    </w:r>
  </w:p>
  <w:p w:rsidR="006F7393" w:rsidRPr="009838BC" w:rsidP="009838BC" w14:paraId="5326CCF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D63420"/>
    <w:multiLevelType w:val="hybridMultilevel"/>
    <w:tmpl w:val="FE884C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19"/>
    <w:rsid w:val="000072CE"/>
    <w:rsid w:val="00013A8B"/>
    <w:rsid w:val="00021445"/>
    <w:rsid w:val="00036039"/>
    <w:rsid w:val="00037F90"/>
    <w:rsid w:val="00074632"/>
    <w:rsid w:val="000875BF"/>
    <w:rsid w:val="00096D8C"/>
    <w:rsid w:val="000C0B65"/>
    <w:rsid w:val="000E3D42"/>
    <w:rsid w:val="000E5884"/>
    <w:rsid w:val="00122BD5"/>
    <w:rsid w:val="001979D9"/>
    <w:rsid w:val="001D6BCF"/>
    <w:rsid w:val="001E01CA"/>
    <w:rsid w:val="002060D9"/>
    <w:rsid w:val="00226822"/>
    <w:rsid w:val="002322E8"/>
    <w:rsid w:val="00260594"/>
    <w:rsid w:val="002628C5"/>
    <w:rsid w:val="0028034B"/>
    <w:rsid w:val="00280E1E"/>
    <w:rsid w:val="00285017"/>
    <w:rsid w:val="002A2D2E"/>
    <w:rsid w:val="002D2D19"/>
    <w:rsid w:val="00343749"/>
    <w:rsid w:val="00357D50"/>
    <w:rsid w:val="003730FE"/>
    <w:rsid w:val="003925DC"/>
    <w:rsid w:val="003975E9"/>
    <w:rsid w:val="003B0550"/>
    <w:rsid w:val="003B1428"/>
    <w:rsid w:val="003B694F"/>
    <w:rsid w:val="003F171C"/>
    <w:rsid w:val="00412FC5"/>
    <w:rsid w:val="00422276"/>
    <w:rsid w:val="004242F1"/>
    <w:rsid w:val="00445A00"/>
    <w:rsid w:val="00451B0F"/>
    <w:rsid w:val="0046125F"/>
    <w:rsid w:val="00487524"/>
    <w:rsid w:val="00496106"/>
    <w:rsid w:val="004C12D0"/>
    <w:rsid w:val="004C2EE3"/>
    <w:rsid w:val="004E288E"/>
    <w:rsid w:val="004E4A22"/>
    <w:rsid w:val="00511968"/>
    <w:rsid w:val="0055614C"/>
    <w:rsid w:val="00607BA5"/>
    <w:rsid w:val="00626EB6"/>
    <w:rsid w:val="006353A3"/>
    <w:rsid w:val="00655D03"/>
    <w:rsid w:val="00681819"/>
    <w:rsid w:val="00683F84"/>
    <w:rsid w:val="006A6A81"/>
    <w:rsid w:val="006C14C7"/>
    <w:rsid w:val="006E26AF"/>
    <w:rsid w:val="006F7393"/>
    <w:rsid w:val="0070224F"/>
    <w:rsid w:val="007115F7"/>
    <w:rsid w:val="0077343F"/>
    <w:rsid w:val="00785689"/>
    <w:rsid w:val="00794042"/>
    <w:rsid w:val="0079754B"/>
    <w:rsid w:val="007A1E6D"/>
    <w:rsid w:val="00822CE0"/>
    <w:rsid w:val="00837C62"/>
    <w:rsid w:val="00841AB1"/>
    <w:rsid w:val="008460C9"/>
    <w:rsid w:val="00854791"/>
    <w:rsid w:val="008A24A8"/>
    <w:rsid w:val="008C22FD"/>
    <w:rsid w:val="00901546"/>
    <w:rsid w:val="00910F12"/>
    <w:rsid w:val="00926503"/>
    <w:rsid w:val="00930ECF"/>
    <w:rsid w:val="00981D51"/>
    <w:rsid w:val="009838BC"/>
    <w:rsid w:val="00A223DE"/>
    <w:rsid w:val="00A45F4F"/>
    <w:rsid w:val="00A600A9"/>
    <w:rsid w:val="00A866AC"/>
    <w:rsid w:val="00AA55B7"/>
    <w:rsid w:val="00AA5B9E"/>
    <w:rsid w:val="00AB096B"/>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A5C70"/>
    <w:rsid w:val="00CB6874"/>
    <w:rsid w:val="00CC72B6"/>
    <w:rsid w:val="00D0218D"/>
    <w:rsid w:val="00D216CD"/>
    <w:rsid w:val="00DA2529"/>
    <w:rsid w:val="00DB130A"/>
    <w:rsid w:val="00DC10A1"/>
    <w:rsid w:val="00DC655F"/>
    <w:rsid w:val="00DD7EBD"/>
    <w:rsid w:val="00DE0AB8"/>
    <w:rsid w:val="00DE64C2"/>
    <w:rsid w:val="00DF62B6"/>
    <w:rsid w:val="00E07225"/>
    <w:rsid w:val="00E155B7"/>
    <w:rsid w:val="00E5409F"/>
    <w:rsid w:val="00E57CD3"/>
    <w:rsid w:val="00EC0185"/>
    <w:rsid w:val="00EE00BD"/>
    <w:rsid w:val="00F021FA"/>
    <w:rsid w:val="00F57ACA"/>
    <w:rsid w:val="00F62E97"/>
    <w:rsid w:val="00F64209"/>
    <w:rsid w:val="00F86E0D"/>
    <w:rsid w:val="00F93BF5"/>
    <w:rsid w:val="00F96F63"/>
    <w:rsid w:val="0A998E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F3D878"/>
  <w15:chartTrackingRefBased/>
  <w15:docId w15:val="{E8BE1D52-6FBA-4F4D-86B0-C061666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2D2D19"/>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2D2D19"/>
  </w:style>
  <w:style w:type="character" w:customStyle="1" w:styleId="ParaNumCharChar">
    <w:name w:val="ParaNum Char Char"/>
    <w:link w:val="ParaNum"/>
    <w:rsid w:val="002D2D19"/>
    <w:rPr>
      <w:snapToGrid w:val="0"/>
      <w:kern w:val="28"/>
      <w:sz w:val="22"/>
    </w:rPr>
  </w:style>
  <w:style w:type="character" w:customStyle="1" w:styleId="UnresolvedMention">
    <w:name w:val="Unresolved Mention"/>
    <w:basedOn w:val="DefaultParagraphFont"/>
    <w:uiPriority w:val="99"/>
    <w:semiHidden/>
    <w:unhideWhenUsed/>
    <w:rsid w:val="00232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Nissa.Laughn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92956833369/E%20Fiber%20San%20Juan,%20LLC.ETC%20Designation.pdf" TargetMode="External" /><Relationship Id="rId2" Type="http://schemas.openxmlformats.org/officeDocument/2006/relationships/hyperlink" Target="https://www.fcc.gov/ecfs/filing/10602227425057"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