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D30B5E1" w14:textId="368F6E0F">
      <w:pPr>
        <w:jc w:val="right"/>
        <w:rPr>
          <w:b/>
          <w:sz w:val="24"/>
        </w:rPr>
      </w:pPr>
      <w:r>
        <w:rPr>
          <w:b/>
          <w:sz w:val="24"/>
        </w:rPr>
        <w:t>DA 21-</w:t>
      </w:r>
      <w:r w:rsidR="00C71633">
        <w:rPr>
          <w:b/>
          <w:sz w:val="24"/>
        </w:rPr>
        <w:t>1242</w:t>
      </w:r>
    </w:p>
    <w:p w:rsidR="00013A8B" w:rsidRPr="00B20363" w:rsidP="00013A8B" w14:paraId="30BE51C1" w14:textId="51EBFB08">
      <w:pPr>
        <w:spacing w:before="60"/>
        <w:jc w:val="right"/>
        <w:rPr>
          <w:b/>
          <w:sz w:val="24"/>
        </w:rPr>
      </w:pPr>
      <w:r>
        <w:rPr>
          <w:b/>
          <w:sz w:val="24"/>
        </w:rPr>
        <w:t xml:space="preserve">Released:  </w:t>
      </w:r>
      <w:r w:rsidR="00784D95">
        <w:rPr>
          <w:b/>
          <w:sz w:val="24"/>
        </w:rPr>
        <w:t>October 1, 2021</w:t>
      </w:r>
    </w:p>
    <w:p w:rsidR="00013A8B" w:rsidP="00013A8B" w14:paraId="10532ADD" w14:textId="77777777">
      <w:pPr>
        <w:jc w:val="right"/>
        <w:rPr>
          <w:sz w:val="24"/>
        </w:rPr>
      </w:pPr>
    </w:p>
    <w:p w:rsidR="00013A8B" w:rsidRPr="00B20363" w:rsidP="00013A8B" w14:paraId="61A01A47" w14:textId="0B1BC97A">
      <w:pPr>
        <w:spacing w:after="240"/>
        <w:jc w:val="center"/>
        <w:rPr>
          <w:rFonts w:ascii="Times New Roman Bold" w:hAnsi="Times New Roman Bold"/>
          <w:b/>
          <w:caps/>
          <w:sz w:val="24"/>
        </w:rPr>
      </w:pPr>
      <w:r>
        <w:rPr>
          <w:rFonts w:ascii="Times New Roman Bold" w:hAnsi="Times New Roman Bold"/>
          <w:b/>
          <w:sz w:val="24"/>
        </w:rPr>
        <w:t>WIRELINE COMPETITION BUREAU SEEKS COMMENT ON RURAL DIGITAL OPPORTUNITY FUND PETITIONS FOR DESIGNATION AS AN ELIGIBLE TELECOMMUNICATIONS CARRIER</w:t>
      </w:r>
    </w:p>
    <w:p w:rsidR="00F96F63" w:rsidP="00784D95" w14:paraId="5A66380C" w14:textId="414EEA82">
      <w:pPr>
        <w:jc w:val="center"/>
        <w:rPr>
          <w:b/>
          <w:sz w:val="24"/>
        </w:rPr>
      </w:pPr>
      <w:r>
        <w:rPr>
          <w:b/>
          <w:sz w:val="24"/>
        </w:rPr>
        <w:t>WC Docket No. 09-197</w:t>
      </w:r>
      <w:bookmarkStart w:id="0" w:name="TOChere"/>
    </w:p>
    <w:p w:rsidR="00784D95" w:rsidP="00784D95" w14:paraId="0B8746BC" w14:textId="0C4DC2CD">
      <w:pPr>
        <w:rPr>
          <w:b/>
          <w:sz w:val="24"/>
        </w:rPr>
      </w:pPr>
    </w:p>
    <w:p w:rsidR="00784D95" w:rsidRPr="009672B2" w:rsidP="00784D95" w14:paraId="66C542E6" w14:textId="77777777">
      <w:pPr>
        <w:rPr>
          <w:b/>
          <w:szCs w:val="22"/>
        </w:rPr>
      </w:pPr>
      <w:r w:rsidRPr="009672B2">
        <w:rPr>
          <w:b/>
          <w:szCs w:val="22"/>
        </w:rPr>
        <w:t xml:space="preserve">Comment Date: </w:t>
      </w:r>
      <w:r>
        <w:rPr>
          <w:b/>
          <w:szCs w:val="22"/>
        </w:rPr>
        <w:t xml:space="preserve">October 18, 2021 </w:t>
      </w:r>
    </w:p>
    <w:p w:rsidR="00784D95" w:rsidRPr="00DE64C2" w:rsidP="00784D95" w14:paraId="38A46938" w14:textId="77777777">
      <w:pPr>
        <w:rPr>
          <w:b/>
          <w:szCs w:val="22"/>
        </w:rPr>
      </w:pPr>
      <w:r w:rsidRPr="009672B2">
        <w:rPr>
          <w:b/>
          <w:szCs w:val="22"/>
        </w:rPr>
        <w:t>Reply Comment Date:</w:t>
      </w:r>
      <w:r>
        <w:rPr>
          <w:b/>
          <w:szCs w:val="22"/>
        </w:rPr>
        <w:t xml:space="preserve">  October 25, 2021 </w:t>
      </w:r>
    </w:p>
    <w:p w:rsidR="00784D95" w:rsidP="00784D95" w14:paraId="1E36E354" w14:textId="32C8B53A">
      <w:pPr>
        <w:rPr>
          <w:b/>
          <w:sz w:val="24"/>
        </w:rPr>
      </w:pPr>
    </w:p>
    <w:p w:rsidR="00784D95" w:rsidP="00784D95" w14:paraId="64712788" w14:textId="77777777">
      <w:pPr>
        <w:pStyle w:val="ParaNum"/>
        <w:numPr>
          <w:ilvl w:val="0"/>
          <w:numId w:val="0"/>
        </w:numPr>
        <w:ind w:firstLine="720"/>
        <w:rPr>
          <w:szCs w:val="22"/>
        </w:rPr>
      </w:pPr>
      <w:r w:rsidRPr="00DE64C2">
        <w:rPr>
          <w:szCs w:val="22"/>
        </w:rPr>
        <w:t xml:space="preserve">The Wireline Competition Bureau seeks comment on </w:t>
      </w:r>
      <w:r>
        <w:rPr>
          <w:szCs w:val="22"/>
        </w:rPr>
        <w:t xml:space="preserve">several </w:t>
      </w:r>
      <w:r w:rsidRPr="00DE64C2">
        <w:rPr>
          <w:szCs w:val="22"/>
        </w:rPr>
        <w:t xml:space="preserve">petitions for designation as an Eligible Telecommunications Carrier (ETC), </w:t>
      </w:r>
      <w:r>
        <w:rPr>
          <w:szCs w:val="22"/>
        </w:rPr>
        <w:t xml:space="preserve">listed </w:t>
      </w:r>
      <w:r w:rsidRPr="00DE64C2">
        <w:rPr>
          <w:szCs w:val="22"/>
        </w:rPr>
        <w:t>in the Attachment to this Public Notice</w:t>
      </w:r>
      <w:r>
        <w:rPr>
          <w:szCs w:val="22"/>
        </w:rPr>
        <w:t>, for the purpose of becoming eligible to receive universal service support</w:t>
      </w:r>
      <w:r w:rsidRPr="00DE64C2">
        <w:rPr>
          <w:szCs w:val="22"/>
        </w:rPr>
        <w:t>.  The petitioners are winning bidders</w:t>
      </w:r>
      <w:r>
        <w:rPr>
          <w:szCs w:val="22"/>
        </w:rPr>
        <w:t>,</w:t>
      </w:r>
      <w:r w:rsidRPr="00DE64C2">
        <w:rPr>
          <w:szCs w:val="22"/>
        </w:rPr>
        <w:t xml:space="preserve"> or those assigned support through the divi</w:t>
      </w:r>
      <w:r>
        <w:rPr>
          <w:szCs w:val="22"/>
        </w:rPr>
        <w:t>sion of</w:t>
      </w:r>
      <w:r w:rsidRPr="00DE64C2">
        <w:rPr>
          <w:szCs w:val="22"/>
        </w:rPr>
        <w:t xml:space="preserve"> </w:t>
      </w:r>
      <w:r>
        <w:rPr>
          <w:szCs w:val="22"/>
        </w:rPr>
        <w:t xml:space="preserve">winning </w:t>
      </w:r>
      <w:r w:rsidRPr="00DE64C2">
        <w:rPr>
          <w:szCs w:val="22"/>
        </w:rPr>
        <w:t>bids</w:t>
      </w:r>
      <w:r>
        <w:rPr>
          <w:szCs w:val="22"/>
        </w:rPr>
        <w:t>,</w:t>
      </w:r>
      <w:r w:rsidRPr="00DE64C2">
        <w:rPr>
          <w:szCs w:val="22"/>
        </w:rPr>
        <w:t xml:space="preserve"> in the Rural Digital Opportunity Fund (RDOF) auction (Auction 904).</w:t>
      </w:r>
      <w:r>
        <w:rPr>
          <w:rStyle w:val="FootnoteReference"/>
          <w:szCs w:val="22"/>
        </w:rPr>
        <w:footnoteReference w:id="3"/>
      </w:r>
      <w:r w:rsidRPr="00DE64C2">
        <w:rPr>
          <w:szCs w:val="22"/>
        </w:rPr>
        <w:t xml:space="preserve">  </w:t>
      </w:r>
      <w:r>
        <w:t xml:space="preserve">ETC designation is a prerequisite to receiving universal service support available through the high-cost and Lifeline programs.  </w:t>
      </w:r>
      <w:r w:rsidRPr="00CA5C70">
        <w:t xml:space="preserve">Recipients of high-cost support, including recipients of RDOF support awarded pursuant to Auction 904, must offer the Lifeline discount on all qualifying services in areas where an ETC receives high-cost support, deploy a network capable of delivering service that meets the Lifeline program’s minimum service standards, and commercially offer such service pursuant to </w:t>
      </w:r>
      <w:r>
        <w:t>their</w:t>
      </w:r>
      <w:r w:rsidRPr="00CA5C70">
        <w:t xml:space="preserve"> high-cost obligations.</w:t>
      </w:r>
      <w:r>
        <w:rPr>
          <w:rStyle w:val="FootnoteReference"/>
        </w:rPr>
        <w:footnoteReference w:id="4"/>
      </w:r>
      <w:r w:rsidRPr="00CA5C70">
        <w:t xml:space="preserve">  </w:t>
      </w:r>
    </w:p>
    <w:p w:rsidR="00784D95" w:rsidRPr="008A24A8" w:rsidP="00784D95" w14:paraId="64067A19" w14:textId="77777777">
      <w:pPr>
        <w:pStyle w:val="ParaNum"/>
        <w:numPr>
          <w:ilvl w:val="0"/>
          <w:numId w:val="0"/>
        </w:numPr>
        <w:ind w:firstLine="720"/>
      </w:pPr>
      <w:r>
        <w:t>All Commission ETC designations of RDOF support recipients will be conditioned upon successful completion of the RDOF long-form application (FCC Form 683).  The Commission required all long-form applicants to</w:t>
      </w:r>
      <w:r w:rsidRPr="003730FE">
        <w:t xml:space="preserve"> upload documentation </w:t>
      </w:r>
      <w:r>
        <w:t xml:space="preserve">of ETC designation(s) </w:t>
      </w:r>
      <w:r w:rsidRPr="003730FE">
        <w:t xml:space="preserve">and a certification letter to </w:t>
      </w:r>
      <w:r>
        <w:t>their</w:t>
      </w:r>
      <w:r w:rsidRPr="003730FE">
        <w:t xml:space="preserve"> FCC Form 683.</w:t>
      </w:r>
      <w:r>
        <w:rPr>
          <w:rStyle w:val="FootnoteReference"/>
        </w:rPr>
        <w:footnoteReference w:id="5"/>
      </w:r>
      <w:r w:rsidRPr="003730FE">
        <w:t xml:space="preserve">  </w:t>
      </w:r>
      <w:r>
        <w:t>Each of the petitioners in Attachment A has submitted a waiver request seeking extension of this deadline.</w:t>
      </w:r>
    </w:p>
    <w:p w:rsidR="00784D95" w:rsidRPr="008A24A8" w:rsidP="00784D95" w14:paraId="67870E49" w14:textId="77777777">
      <w:pPr>
        <w:pStyle w:val="ParaNum"/>
        <w:keepNext/>
        <w:numPr>
          <w:ilvl w:val="0"/>
          <w:numId w:val="0"/>
        </w:numPr>
        <w:ind w:firstLine="720"/>
        <w:rPr>
          <w:b/>
          <w:bCs/>
        </w:rPr>
      </w:pPr>
      <w:r w:rsidRPr="008A24A8">
        <w:rPr>
          <w:b/>
          <w:bCs/>
        </w:rPr>
        <w:t>Requirements for FCC ETC Designation</w:t>
      </w:r>
    </w:p>
    <w:p w:rsidR="00784D95" w:rsidP="00784D95" w14:paraId="433BF45D"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6"/>
      </w:r>
      <w:r w:rsidRPr="00854791">
        <w:t xml:space="preserve">  Congress gives primary authority for ETC designations to state </w:t>
      </w:r>
      <w:r w:rsidRPr="00854791">
        <w:t>commissions.</w:t>
      </w:r>
      <w:r>
        <w:rPr>
          <w:rStyle w:val="FootnoteReference"/>
        </w:rPr>
        <w:footnoteReference w:id="7"/>
      </w:r>
      <w:r w:rsidRPr="00854791">
        <w:t xml:space="preserve">  The FCC has authority only when “a common carrier [is] providing telephone exchange service and exchange access that is not subject to the jurisdiction of a State commission.”</w:t>
      </w:r>
      <w:r>
        <w:rPr>
          <w:rStyle w:val="FootnoteReference"/>
        </w:rPr>
        <w:footnoteReference w:id="8"/>
      </w:r>
      <w:r w:rsidRPr="00854791">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9"/>
      </w:r>
      <w:r w:rsidRPr="00854791">
        <w:t xml:space="preserve">  The Commission has delegated authority to the Bureau to consider appropriate ETC designation requests.</w:t>
      </w:r>
      <w:r>
        <w:rPr>
          <w:rStyle w:val="FootnoteReference"/>
        </w:rPr>
        <w:footnoteReference w:id="10"/>
      </w:r>
    </w:p>
    <w:p w:rsidR="00784D95" w:rsidP="00784D95" w14:paraId="6E1A7890" w14:textId="77777777">
      <w:pPr>
        <w:pStyle w:val="ParaNum"/>
        <w:numPr>
          <w:ilvl w:val="0"/>
          <w:numId w:val="0"/>
        </w:numPr>
        <w:ind w:firstLine="720"/>
      </w:pPr>
      <w:r w:rsidRPr="00854791">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1"/>
      </w:r>
      <w:r w:rsidRPr="00854791">
        <w:t xml:space="preserve"> (3) a description of how the petitioner advertises the availability of the supported services and the charges therefor using media of general distribution;</w:t>
      </w:r>
      <w:r>
        <w:rPr>
          <w:rStyle w:val="FootnoteReference"/>
        </w:rPr>
        <w:footnoteReference w:id="12"/>
      </w:r>
      <w:r w:rsidRPr="00854791">
        <w:t xml:space="preserve"> (4) a detailed description of the geographic service area for which the petitioner requests to be designated as an ETC;</w:t>
      </w:r>
      <w:r>
        <w:rPr>
          <w:rStyle w:val="FootnoteReference"/>
        </w:rPr>
        <w:footnoteReference w:id="13"/>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4"/>
      </w:r>
      <w:r w:rsidRPr="0028034B">
        <w:t xml:space="preserve"> </w:t>
      </w:r>
    </w:p>
    <w:p w:rsidR="00784D95" w:rsidP="00784D95" w14:paraId="089011EB" w14:textId="77777777">
      <w:pPr>
        <w:pStyle w:val="ParaNum"/>
        <w:numPr>
          <w:ilvl w:val="0"/>
          <w:numId w:val="0"/>
        </w:numPr>
        <w:ind w:firstLine="720"/>
      </w:pPr>
      <w:r w:rsidRPr="0028034B">
        <w:t>In addition, petitioners</w:t>
      </w:r>
      <w:r>
        <w:t xml:space="preserve"> </w:t>
      </w:r>
      <w:r w:rsidRPr="0028034B">
        <w:t xml:space="preserve">must demonstrate their ability to meet certain service standards.  A petitioner seeking an ETC designation for purposes of becoming eligible to receive </w:t>
      </w:r>
      <w:r>
        <w:t xml:space="preserve">RDOF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5"/>
      </w:r>
      <w:r w:rsidRPr="0028034B">
        <w:t xml:space="preserve"> </w:t>
      </w:r>
      <w:r>
        <w:t xml:space="preserve"> </w:t>
      </w:r>
      <w:r w:rsidRPr="0028034B">
        <w:t>In addition, prior to designating a carrier as an ETC pursuant to section 214(e)(6) of the Act, the Commission must determine whether such designation is in the public interest.</w:t>
      </w:r>
      <w:r>
        <w:rPr>
          <w:rStyle w:val="FootnoteReference"/>
        </w:rPr>
        <w:footnoteReference w:id="16"/>
      </w:r>
      <w:r w:rsidRPr="0028034B">
        <w:t xml:space="preserve">  </w:t>
      </w:r>
    </w:p>
    <w:p w:rsidR="00784D95" w:rsidRPr="00280E1E" w:rsidP="00784D95" w14:paraId="1A0C238A" w14:textId="77777777">
      <w:pPr>
        <w:pStyle w:val="ParaNum"/>
        <w:keepNext/>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784D95" w:rsidRPr="00DE64C2" w:rsidP="00784D95" w14:paraId="5EBC1D54" w14:textId="77777777">
      <w:pPr>
        <w:pStyle w:val="ParaNum"/>
        <w:numPr>
          <w:ilvl w:val="0"/>
          <w:numId w:val="0"/>
        </w:numPr>
        <w:ind w:firstLine="720"/>
        <w:rPr>
          <w:szCs w:val="22"/>
        </w:rPr>
      </w:pPr>
      <w:r w:rsidRPr="00DE64C2">
        <w:rPr>
          <w:szCs w:val="22"/>
        </w:rPr>
        <w:t xml:space="preserve">Interested parties </w:t>
      </w:r>
      <w:r w:rsidRPr="00B37505">
        <w:rPr>
          <w:szCs w:val="22"/>
        </w:rPr>
        <w:t xml:space="preserve">may file </w:t>
      </w:r>
      <w:r w:rsidRPr="00B37505">
        <w:rPr>
          <w:b/>
          <w:szCs w:val="22"/>
        </w:rPr>
        <w:t xml:space="preserve">comments on or before </w:t>
      </w:r>
      <w:r w:rsidRPr="000F5005">
        <w:rPr>
          <w:b/>
          <w:szCs w:val="22"/>
        </w:rPr>
        <w:t>October 18, 2021</w:t>
      </w:r>
      <w:r w:rsidRPr="00B37505">
        <w:rPr>
          <w:szCs w:val="22"/>
        </w:rPr>
        <w:t xml:space="preserve"> and </w:t>
      </w:r>
      <w:r w:rsidRPr="00B37505">
        <w:rPr>
          <w:b/>
          <w:szCs w:val="22"/>
        </w:rPr>
        <w:t>replies on or before October 25, 2021</w:t>
      </w:r>
      <w:r w:rsidRPr="00B37505">
        <w:rPr>
          <w:szCs w:val="22"/>
        </w:rPr>
        <w:t>.  All pleadings</w:t>
      </w:r>
      <w:r w:rsidRPr="00DE64C2">
        <w:rPr>
          <w:szCs w:val="22"/>
        </w:rPr>
        <w:t xml:space="preserve"> must reference </w:t>
      </w:r>
      <w:r w:rsidRPr="00DE64C2">
        <w:rPr>
          <w:b/>
          <w:szCs w:val="22"/>
        </w:rPr>
        <w:t>WC Docket No. 09-197</w:t>
      </w:r>
      <w:r w:rsidRPr="00DE64C2">
        <w:rPr>
          <w:szCs w:val="22"/>
        </w:rPr>
        <w:t>.</w:t>
      </w:r>
      <w:r w:rsidRPr="00DE64C2">
        <w:rPr>
          <w:b/>
          <w:szCs w:val="22"/>
        </w:rPr>
        <w:t xml:space="preserve">  </w:t>
      </w:r>
      <w:r w:rsidRPr="00DE64C2">
        <w:rPr>
          <w:szCs w:val="22"/>
        </w:rPr>
        <w:t>Comments may be filed using the Commission’s Electronic Comment Filing System (ECFS) or by filing paper copies.</w:t>
      </w:r>
      <w:r>
        <w:rPr>
          <w:szCs w:val="22"/>
          <w:vertAlign w:val="superscript"/>
        </w:rPr>
        <w:footnoteReference w:id="17"/>
      </w:r>
    </w:p>
    <w:p w:rsidR="00784D95" w:rsidP="00784D95" w14:paraId="71BE0232" w14:textId="77777777">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r>
        <w:rPr>
          <w:szCs w:val="22"/>
        </w:rPr>
        <w:t>https://www.fcc.gov/ecfs</w:t>
      </w:r>
      <w:r w:rsidRPr="00DE64C2">
        <w:rPr>
          <w:szCs w:val="22"/>
        </w:rPr>
        <w:t xml:space="preserve">.  </w:t>
      </w:r>
    </w:p>
    <w:p w:rsidR="00784D95" w:rsidP="00784D95" w14:paraId="21671A79"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784D95" w:rsidP="00784D95" w14:paraId="0B6F536D"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784D95" w:rsidP="00784D95" w14:paraId="48E02A4E"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4D95" w:rsidRPr="00CB6874" w:rsidP="00784D95" w14:paraId="5AC3C488" w14:textId="77777777">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8"/>
      </w:r>
      <w:r w:rsidRPr="00CB6874">
        <w:rPr>
          <w:szCs w:val="22"/>
        </w:rPr>
        <w:t xml:space="preserve">  </w:t>
      </w:r>
    </w:p>
    <w:p w:rsidR="00784D95" w:rsidRPr="0077343F" w:rsidP="00784D95" w14:paraId="23577936" w14:textId="77777777">
      <w:pPr>
        <w:pStyle w:val="ParaNum"/>
        <w:numPr>
          <w:ilvl w:val="0"/>
          <w:numId w:val="0"/>
        </w:numPr>
        <w:ind w:firstLine="720"/>
        <w:rPr>
          <w:szCs w:val="22"/>
        </w:rPr>
      </w:pPr>
      <w:r w:rsidRPr="0077343F">
        <w:rPr>
          <w:i/>
          <w:szCs w:val="22"/>
        </w:rPr>
        <w:t>Additional Copies</w:t>
      </w:r>
      <w:r w:rsidRPr="0077343F">
        <w:rPr>
          <w:szCs w:val="22"/>
        </w:rPr>
        <w:t xml:space="preserve">.  Parties should send a copy of their filings to by e-mail to Nissa.Laughner@fcc.gov.  </w:t>
      </w:r>
    </w:p>
    <w:p w:rsidR="00784D95" w:rsidRPr="00E57CD3" w:rsidP="00784D95" w14:paraId="6DD1E45B"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784D95" w:rsidRPr="0077343F" w:rsidP="00784D95" w14:paraId="28326BCC" w14:textId="77777777">
      <w:pPr>
        <w:pStyle w:val="ParaNum"/>
        <w:numPr>
          <w:ilvl w:val="0"/>
          <w:numId w:val="0"/>
        </w:numPr>
        <w:ind w:firstLine="720"/>
        <w:rPr>
          <w:szCs w:val="22"/>
        </w:rPr>
      </w:pPr>
      <w:r w:rsidRPr="0077343F">
        <w:rPr>
          <w:i/>
          <w:iCs/>
          <w:szCs w:val="22"/>
        </w:rPr>
        <w:t xml:space="preserve">Permit but Disclose Ex </w:t>
      </w:r>
      <w:r w:rsidRPr="0077343F">
        <w:rPr>
          <w:i/>
          <w:iCs/>
          <w:szCs w:val="22"/>
        </w:rPr>
        <w:t>Parte</w:t>
      </w:r>
      <w:r w:rsidRPr="0077343F">
        <w:rPr>
          <w:i/>
          <w:iCs/>
          <w:szCs w:val="22"/>
        </w:rPr>
        <w:t xml:space="preserve"> Communications.</w:t>
      </w:r>
      <w:r w:rsidRPr="0077343F">
        <w:rPr>
          <w:szCs w:val="22"/>
        </w:rPr>
        <w:t xml:space="preserve">  </w:t>
      </w:r>
      <w:bookmarkStart w:id="1" w:name="_Hlk64536936"/>
      <w:r w:rsidRPr="0077343F">
        <w:rPr>
          <w:szCs w:val="22"/>
        </w:rPr>
        <w:t xml:space="preserve">For the purposes of the Commission’s </w:t>
      </w:r>
      <w:r w:rsidRPr="0077343F">
        <w:rPr>
          <w:i/>
          <w:szCs w:val="22"/>
        </w:rPr>
        <w:t xml:space="preserve">ex </w:t>
      </w:r>
      <w:r w:rsidRPr="0077343F">
        <w:rPr>
          <w:i/>
          <w:szCs w:val="22"/>
        </w:rPr>
        <w:t>parte</w:t>
      </w:r>
      <w:r w:rsidRPr="0077343F">
        <w:rPr>
          <w:szCs w:val="22"/>
        </w:rPr>
        <w:t xml:space="preserve"> rules, each petition submitted pursuant to section 214(e)(6) will be treated as initiating a permit-but-disclose proceeding under the Commission’s rules</w:t>
      </w:r>
      <w:bookmarkEnd w:id="1"/>
      <w:r w:rsidRPr="0077343F">
        <w:rPr>
          <w:szCs w:val="22"/>
        </w:rPr>
        <w:t>.</w:t>
      </w:r>
      <w:r>
        <w:rPr>
          <w:szCs w:val="22"/>
          <w:vertAlign w:val="superscript"/>
        </w:rPr>
        <w:footnoteReference w:id="19"/>
      </w:r>
      <w:r w:rsidRPr="0077343F">
        <w:rPr>
          <w:szCs w:val="22"/>
        </w:rPr>
        <w:t xml:space="preserve">  Persons making </w:t>
      </w:r>
      <w:r w:rsidRPr="0077343F">
        <w:rPr>
          <w:i/>
          <w:szCs w:val="22"/>
        </w:rPr>
        <w:t xml:space="preserve">ex </w:t>
      </w:r>
      <w:r w:rsidRPr="0077343F">
        <w:rPr>
          <w:i/>
          <w:szCs w:val="22"/>
        </w:rPr>
        <w:t>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0"/>
      </w:r>
      <w:r w:rsidRPr="0077343F">
        <w:rPr>
          <w:szCs w:val="22"/>
        </w:rPr>
        <w:t xml:space="preserve">  Persons making oral </w:t>
      </w:r>
      <w:r w:rsidRPr="0077343F">
        <w:rPr>
          <w:i/>
          <w:szCs w:val="22"/>
        </w:rPr>
        <w:t xml:space="preserve">ex </w:t>
      </w:r>
      <w:r w:rsidRPr="0077343F">
        <w:rPr>
          <w:i/>
          <w:szCs w:val="22"/>
        </w:rPr>
        <w:t>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 xml:space="preserve">ex </w:t>
      </w:r>
      <w:r w:rsidRPr="0077343F">
        <w:rPr>
          <w:i/>
          <w:szCs w:val="22"/>
        </w:rPr>
        <w:t>parte</w:t>
      </w:r>
      <w:r w:rsidRPr="0077343F">
        <w:rPr>
          <w:szCs w:val="22"/>
        </w:rPr>
        <w:t xml:space="preserve"> presentation was made, and (2) summarize all data presented and arguments made during the presentation.</w:t>
      </w:r>
      <w:r>
        <w:rPr>
          <w:szCs w:val="22"/>
          <w:vertAlign w:val="superscript"/>
        </w:rPr>
        <w:footnoteReference w:id="21"/>
      </w:r>
      <w:r w:rsidRPr="0077343F">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2"/>
      </w:r>
      <w:r w:rsidRPr="0077343F">
        <w:rPr>
          <w:szCs w:val="22"/>
        </w:rPr>
        <w:t xml:space="preserve">  Documents shown or given to Commission </w:t>
      </w:r>
      <w:r w:rsidRPr="0077343F">
        <w:rPr>
          <w:szCs w:val="22"/>
        </w:rPr>
        <w:t xml:space="preserve">staff during </w:t>
      </w:r>
      <w:r w:rsidRPr="0077343F">
        <w:rPr>
          <w:i/>
          <w:szCs w:val="22"/>
        </w:rPr>
        <w:t xml:space="preserve">ex </w:t>
      </w:r>
      <w:r w:rsidRPr="0077343F">
        <w:rPr>
          <w:i/>
          <w:szCs w:val="22"/>
        </w:rPr>
        <w:t>parte</w:t>
      </w:r>
      <w:r w:rsidRPr="0077343F">
        <w:rPr>
          <w:szCs w:val="22"/>
        </w:rPr>
        <w:t xml:space="preserve"> meetings are deemed to be written </w:t>
      </w:r>
      <w:r w:rsidRPr="0077343F">
        <w:rPr>
          <w:i/>
          <w:szCs w:val="22"/>
        </w:rPr>
        <w:t xml:space="preserve">ex </w:t>
      </w:r>
      <w:r w:rsidRPr="0077343F">
        <w:rPr>
          <w:i/>
          <w:szCs w:val="22"/>
        </w:rPr>
        <w:t>parte</w:t>
      </w:r>
      <w:r w:rsidRPr="0077343F">
        <w:rPr>
          <w:szCs w:val="22"/>
        </w:rPr>
        <w:t xml:space="preserve"> presentations and must be filed consistent with rule 1.1206(b).</w:t>
      </w:r>
      <w:r>
        <w:rPr>
          <w:szCs w:val="22"/>
          <w:vertAlign w:val="superscript"/>
        </w:rPr>
        <w:footnoteReference w:id="23"/>
      </w:r>
      <w:r w:rsidRPr="0077343F">
        <w:rPr>
          <w:szCs w:val="22"/>
        </w:rPr>
        <w:t xml:space="preserve">  In proceedings governed by rule 1.49(f) or for which the Commission has made available a method of electronic filing, written </w:t>
      </w:r>
      <w:r w:rsidRPr="0077343F">
        <w:rPr>
          <w:i/>
          <w:szCs w:val="22"/>
        </w:rPr>
        <w:t xml:space="preserve">ex </w:t>
      </w:r>
      <w:r w:rsidRPr="0077343F">
        <w:rPr>
          <w:i/>
          <w:szCs w:val="22"/>
        </w:rPr>
        <w:t>parte</w:t>
      </w:r>
      <w:r w:rsidRPr="0077343F">
        <w:rPr>
          <w:szCs w:val="22"/>
        </w:rPr>
        <w:t xml:space="preserve"> presentations and memoranda summarizing oral </w:t>
      </w:r>
      <w:r w:rsidRPr="0077343F">
        <w:rPr>
          <w:i/>
          <w:szCs w:val="22"/>
        </w:rPr>
        <w:t xml:space="preserve">ex </w:t>
      </w:r>
      <w:r w:rsidRPr="0077343F">
        <w:rPr>
          <w:i/>
          <w:szCs w:val="22"/>
        </w:rPr>
        <w:t>parte</w:t>
      </w:r>
      <w:r w:rsidRPr="0077343F">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24"/>
      </w:r>
      <w:r w:rsidRPr="0077343F">
        <w:rPr>
          <w:szCs w:val="22"/>
        </w:rPr>
        <w:t xml:space="preserve">  Participants in this proceeding should familiarize themselves with the Commission’s </w:t>
      </w:r>
      <w:r w:rsidRPr="0077343F">
        <w:rPr>
          <w:i/>
          <w:szCs w:val="22"/>
        </w:rPr>
        <w:t xml:space="preserve">ex </w:t>
      </w:r>
      <w:r w:rsidRPr="0077343F">
        <w:rPr>
          <w:i/>
          <w:szCs w:val="22"/>
        </w:rPr>
        <w:t>parte</w:t>
      </w:r>
      <w:r w:rsidRPr="0077343F">
        <w:rPr>
          <w:szCs w:val="22"/>
        </w:rPr>
        <w:t xml:space="preserve"> rules.</w:t>
      </w:r>
    </w:p>
    <w:p w:rsidR="00784D95" w:rsidRPr="0077343F" w:rsidP="00784D95" w14:paraId="315E4AF3" w14:textId="031BE7F1">
      <w:pPr>
        <w:pStyle w:val="ParaNum"/>
        <w:keepNext/>
        <w:numPr>
          <w:ilvl w:val="0"/>
          <w:numId w:val="0"/>
        </w:numPr>
        <w:ind w:firstLine="720"/>
        <w:rPr>
          <w:szCs w:val="22"/>
        </w:rPr>
      </w:pPr>
      <w:r w:rsidRPr="0077343F">
        <w:rPr>
          <w:szCs w:val="22"/>
        </w:rPr>
        <w:t xml:space="preserve">For additional information on this proceeding, please contact Nissa Laughner </w:t>
      </w:r>
      <w:hyperlink r:id="rId5" w:history="1">
        <w:r w:rsidRPr="003975E9">
          <w:rPr>
            <w:rStyle w:val="Hyperlink"/>
            <w:szCs w:val="22"/>
          </w:rPr>
          <w:t>Nissa.Laughner@fcc.gov</w:t>
        </w:r>
      </w:hyperlink>
      <w:r>
        <w:rPr>
          <w:szCs w:val="22"/>
        </w:rPr>
        <w:t xml:space="preserve"> </w:t>
      </w:r>
      <w:r w:rsidRPr="0077343F">
        <w:rPr>
          <w:szCs w:val="22"/>
        </w:rPr>
        <w:t>of the Wireline Competition Bureau, Telecommunications Access Policy Division, (202) 418-7400.</w:t>
      </w:r>
    </w:p>
    <w:p w:rsidR="00A731B8" w:rsidP="00784D95" w14:paraId="4E53329D" w14:textId="77777777">
      <w:pPr>
        <w:keepNext/>
        <w:jc w:val="center"/>
        <w:rPr>
          <w:b/>
          <w:szCs w:val="22"/>
        </w:rPr>
      </w:pPr>
    </w:p>
    <w:p w:rsidR="00A731B8" w:rsidP="00784D95" w14:paraId="16ED0488" w14:textId="6386548E">
      <w:pPr>
        <w:keepNext/>
        <w:jc w:val="center"/>
        <w:rPr>
          <w:b/>
          <w:szCs w:val="22"/>
        </w:rPr>
      </w:pPr>
    </w:p>
    <w:p w:rsidR="00A731B8" w:rsidP="00784D95" w14:paraId="3366A893" w14:textId="77777777">
      <w:pPr>
        <w:keepNext/>
        <w:jc w:val="center"/>
        <w:rPr>
          <w:b/>
          <w:szCs w:val="22"/>
        </w:rPr>
      </w:pPr>
    </w:p>
    <w:p w:rsidR="00784D95" w:rsidRPr="0077343F" w:rsidP="00784D95" w14:paraId="096E1DF4" w14:textId="68C98B2C">
      <w:pPr>
        <w:keepNext/>
        <w:jc w:val="center"/>
        <w:rPr>
          <w:b/>
          <w:szCs w:val="22"/>
        </w:rPr>
      </w:pPr>
      <w:r w:rsidRPr="0077343F">
        <w:rPr>
          <w:b/>
          <w:szCs w:val="22"/>
        </w:rPr>
        <w:t>-FCC-</w:t>
      </w:r>
    </w:p>
    <w:p w:rsidR="00A731B8" w:rsidRPr="00AF56B8" w:rsidP="00A731B8" w14:paraId="58B2534F" w14:textId="77777777">
      <w:pPr>
        <w:spacing w:after="120"/>
        <w:jc w:val="center"/>
        <w:rPr>
          <w:b/>
          <w:szCs w:val="22"/>
        </w:rPr>
      </w:pPr>
      <w:r>
        <w:rPr>
          <w:b/>
          <w:szCs w:val="22"/>
        </w:rPr>
        <w:br w:type="page"/>
      </w:r>
      <w:r w:rsidRPr="00AF56B8">
        <w:rPr>
          <w:b/>
          <w:szCs w:val="22"/>
        </w:rPr>
        <w:t>ATTACHMENT</w:t>
      </w:r>
      <w:r>
        <w:rPr>
          <w:b/>
          <w:szCs w:val="22"/>
        </w:rPr>
        <w:t xml:space="preserve"> A</w:t>
      </w:r>
    </w:p>
    <w:p w:rsidR="00A731B8" w:rsidP="00A731B8" w14:paraId="4C32EB18" w14:textId="77777777">
      <w:pPr>
        <w:spacing w:after="120"/>
        <w:jc w:val="center"/>
        <w:rPr>
          <w:b/>
          <w:szCs w:val="22"/>
        </w:rPr>
      </w:pPr>
      <w:r w:rsidRPr="00AF56B8">
        <w:rPr>
          <w:b/>
          <w:szCs w:val="22"/>
        </w:rPr>
        <w:t>ETC Petitions Covering RDOF-Eligible Areas Only</w:t>
      </w:r>
    </w:p>
    <w:p w:rsidR="00A731B8" w:rsidRPr="00AF56B8" w:rsidP="00A731B8" w14:paraId="5871D90D" w14:textId="77777777">
      <w:pPr>
        <w:spacing w:after="120"/>
        <w:jc w:val="center"/>
        <w:rPr>
          <w:b/>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700"/>
        <w:gridCol w:w="3780"/>
        <w:gridCol w:w="1980"/>
        <w:gridCol w:w="990"/>
      </w:tblGrid>
      <w:tr w14:paraId="5AC41D09" w14:textId="77777777" w:rsidTr="00BF798C">
        <w:tblPrEx>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val="570"/>
        </w:trPr>
        <w:tc>
          <w:tcPr>
            <w:tcW w:w="2700" w:type="dxa"/>
          </w:tcPr>
          <w:p w:rsidR="00A731B8" w:rsidRPr="00AF56B8" w:rsidP="00BF798C" w14:paraId="22A09FB1" w14:textId="77777777">
            <w:pPr>
              <w:autoSpaceDE w:val="0"/>
              <w:autoSpaceDN w:val="0"/>
              <w:adjustRightInd w:val="0"/>
              <w:spacing w:after="120"/>
              <w:rPr>
                <w:b/>
                <w:bCs/>
                <w:color w:val="000000"/>
                <w:szCs w:val="22"/>
              </w:rPr>
            </w:pPr>
            <w:r w:rsidRPr="00AF56B8">
              <w:rPr>
                <w:b/>
                <w:bCs/>
                <w:color w:val="000000"/>
                <w:szCs w:val="22"/>
              </w:rPr>
              <w:t>Bidder Name</w:t>
            </w:r>
          </w:p>
        </w:tc>
        <w:tc>
          <w:tcPr>
            <w:tcW w:w="3780" w:type="dxa"/>
          </w:tcPr>
          <w:p w:rsidR="00A731B8" w:rsidRPr="00AF56B8" w:rsidP="00BF798C" w14:paraId="071B0639" w14:textId="77777777">
            <w:pPr>
              <w:autoSpaceDE w:val="0"/>
              <w:autoSpaceDN w:val="0"/>
              <w:adjustRightInd w:val="0"/>
              <w:spacing w:after="120"/>
              <w:rPr>
                <w:b/>
                <w:bCs/>
                <w:color w:val="000000"/>
                <w:szCs w:val="22"/>
              </w:rPr>
            </w:pPr>
            <w:r w:rsidRPr="00AF56B8">
              <w:rPr>
                <w:b/>
                <w:bCs/>
                <w:color w:val="000000"/>
                <w:szCs w:val="22"/>
              </w:rPr>
              <w:t xml:space="preserve">Petitioner Name(s) </w:t>
            </w:r>
          </w:p>
        </w:tc>
        <w:tc>
          <w:tcPr>
            <w:tcW w:w="1980" w:type="dxa"/>
          </w:tcPr>
          <w:p w:rsidR="00A731B8" w:rsidRPr="00AF56B8" w:rsidP="00BF798C" w14:paraId="32CA5FAC" w14:textId="77777777">
            <w:pPr>
              <w:autoSpaceDE w:val="0"/>
              <w:autoSpaceDN w:val="0"/>
              <w:adjustRightInd w:val="0"/>
              <w:spacing w:after="120"/>
              <w:rPr>
                <w:b/>
                <w:bCs/>
                <w:color w:val="000000"/>
                <w:szCs w:val="22"/>
              </w:rPr>
            </w:pPr>
            <w:r w:rsidRPr="00AF56B8">
              <w:rPr>
                <w:b/>
                <w:szCs w:val="22"/>
              </w:rPr>
              <w:t>Date Filed</w:t>
            </w:r>
          </w:p>
        </w:tc>
        <w:tc>
          <w:tcPr>
            <w:tcW w:w="990" w:type="dxa"/>
          </w:tcPr>
          <w:p w:rsidR="00A731B8" w:rsidRPr="00AF56B8" w:rsidP="00BF798C" w14:paraId="18C50E59" w14:textId="77777777">
            <w:pPr>
              <w:autoSpaceDE w:val="0"/>
              <w:autoSpaceDN w:val="0"/>
              <w:adjustRightInd w:val="0"/>
              <w:spacing w:after="120"/>
              <w:rPr>
                <w:b/>
                <w:bCs/>
                <w:color w:val="000000"/>
                <w:szCs w:val="22"/>
              </w:rPr>
            </w:pPr>
            <w:r w:rsidRPr="00AF56B8">
              <w:rPr>
                <w:b/>
                <w:szCs w:val="22"/>
              </w:rPr>
              <w:t>State</w:t>
            </w:r>
          </w:p>
        </w:tc>
      </w:tr>
      <w:tr w14:paraId="2333C01B" w14:textId="77777777" w:rsidTr="00BF798C">
        <w:tblPrEx>
          <w:tblW w:w="9450" w:type="dxa"/>
          <w:tblInd w:w="-5" w:type="dxa"/>
          <w:tblLayout w:type="fixed"/>
          <w:tblLook w:val="0020"/>
        </w:tblPrEx>
        <w:trPr>
          <w:trHeight w:val="539"/>
        </w:trPr>
        <w:tc>
          <w:tcPr>
            <w:tcW w:w="2700" w:type="dxa"/>
          </w:tcPr>
          <w:p w:rsidR="00A731B8" w:rsidRPr="00AF56B8" w:rsidP="00BF798C" w14:paraId="309ABEA8" w14:textId="77777777">
            <w:pPr>
              <w:autoSpaceDE w:val="0"/>
              <w:autoSpaceDN w:val="0"/>
              <w:adjustRightInd w:val="0"/>
              <w:spacing w:after="120"/>
              <w:rPr>
                <w:color w:val="000000"/>
                <w:szCs w:val="22"/>
              </w:rPr>
            </w:pPr>
            <w:r w:rsidRPr="001A32A5">
              <w:rPr>
                <w:color w:val="000000"/>
                <w:szCs w:val="22"/>
              </w:rPr>
              <w:t>NexTier</w:t>
            </w:r>
            <w:r w:rsidRPr="001A32A5">
              <w:rPr>
                <w:color w:val="000000"/>
                <w:szCs w:val="22"/>
              </w:rPr>
              <w:t xml:space="preserve"> Consortium</w:t>
            </w:r>
          </w:p>
        </w:tc>
        <w:tc>
          <w:tcPr>
            <w:tcW w:w="3780" w:type="dxa"/>
          </w:tcPr>
          <w:p w:rsidR="00A731B8" w:rsidRPr="00AF56B8" w:rsidP="00BF798C" w14:paraId="3B910B72" w14:textId="77777777">
            <w:pPr>
              <w:autoSpaceDE w:val="0"/>
              <w:autoSpaceDN w:val="0"/>
              <w:adjustRightInd w:val="0"/>
              <w:spacing w:after="120"/>
              <w:rPr>
                <w:color w:val="000000"/>
                <w:szCs w:val="22"/>
              </w:rPr>
            </w:pPr>
            <w:r>
              <w:rPr>
                <w:color w:val="000000"/>
                <w:szCs w:val="22"/>
              </w:rPr>
              <w:t>Cyber Broadband Inc.</w:t>
            </w:r>
          </w:p>
        </w:tc>
        <w:tc>
          <w:tcPr>
            <w:tcW w:w="1980" w:type="dxa"/>
          </w:tcPr>
          <w:p w:rsidR="00A731B8" w:rsidRPr="00AF56B8" w:rsidP="00BF798C" w14:paraId="4670FB24" w14:textId="77777777">
            <w:pPr>
              <w:autoSpaceDE w:val="0"/>
              <w:autoSpaceDN w:val="0"/>
              <w:adjustRightInd w:val="0"/>
              <w:spacing w:after="120"/>
              <w:rPr>
                <w:color w:val="000000"/>
                <w:szCs w:val="22"/>
              </w:rPr>
            </w:pPr>
            <w:r w:rsidRPr="00AF56B8">
              <w:rPr>
                <w:color w:val="000000"/>
                <w:szCs w:val="22"/>
              </w:rPr>
              <w:t>0</w:t>
            </w:r>
            <w:r>
              <w:rPr>
                <w:color w:val="000000"/>
                <w:szCs w:val="22"/>
              </w:rPr>
              <w:t>6</w:t>
            </w:r>
            <w:r w:rsidRPr="00AF56B8">
              <w:rPr>
                <w:color w:val="000000"/>
                <w:szCs w:val="22"/>
              </w:rPr>
              <w:t>/0</w:t>
            </w:r>
            <w:r>
              <w:rPr>
                <w:color w:val="000000"/>
                <w:szCs w:val="22"/>
              </w:rPr>
              <w:t>7</w:t>
            </w:r>
            <w:r w:rsidRPr="00AF56B8">
              <w:rPr>
                <w:color w:val="000000"/>
                <w:szCs w:val="22"/>
              </w:rPr>
              <w:t>/2021</w:t>
            </w:r>
          </w:p>
        </w:tc>
        <w:tc>
          <w:tcPr>
            <w:tcW w:w="990" w:type="dxa"/>
          </w:tcPr>
          <w:p w:rsidR="00A731B8" w:rsidRPr="00AF56B8" w:rsidP="00BF798C" w14:paraId="775F6F0A" w14:textId="77777777">
            <w:pPr>
              <w:autoSpaceDE w:val="0"/>
              <w:autoSpaceDN w:val="0"/>
              <w:adjustRightInd w:val="0"/>
              <w:spacing w:after="120"/>
              <w:rPr>
                <w:color w:val="000000"/>
                <w:szCs w:val="22"/>
              </w:rPr>
            </w:pPr>
            <w:r w:rsidRPr="00AF56B8">
              <w:rPr>
                <w:color w:val="000000"/>
                <w:szCs w:val="22"/>
              </w:rPr>
              <w:t>AL</w:t>
            </w:r>
          </w:p>
        </w:tc>
      </w:tr>
      <w:tr w14:paraId="7962CDE1" w14:textId="77777777" w:rsidTr="00BF798C">
        <w:tblPrEx>
          <w:tblW w:w="9450" w:type="dxa"/>
          <w:tblInd w:w="-5" w:type="dxa"/>
          <w:tblLayout w:type="fixed"/>
          <w:tblLook w:val="0020"/>
        </w:tblPrEx>
        <w:trPr>
          <w:trHeight w:val="570"/>
        </w:trPr>
        <w:tc>
          <w:tcPr>
            <w:tcW w:w="2700" w:type="dxa"/>
          </w:tcPr>
          <w:p w:rsidR="00A731B8" w:rsidRPr="00AF56B8" w:rsidP="00BF798C" w14:paraId="135D8DD3" w14:textId="77777777">
            <w:pPr>
              <w:autoSpaceDE w:val="0"/>
              <w:autoSpaceDN w:val="0"/>
              <w:adjustRightInd w:val="0"/>
              <w:spacing w:after="120"/>
              <w:rPr>
                <w:color w:val="000000"/>
                <w:szCs w:val="22"/>
              </w:rPr>
            </w:pPr>
            <w:r w:rsidRPr="001A32A5">
              <w:rPr>
                <w:color w:val="000000"/>
                <w:szCs w:val="22"/>
              </w:rPr>
              <w:t>NexTier</w:t>
            </w:r>
            <w:r w:rsidRPr="001A32A5">
              <w:rPr>
                <w:color w:val="000000"/>
                <w:szCs w:val="22"/>
              </w:rPr>
              <w:t xml:space="preserve"> Consortium</w:t>
            </w:r>
          </w:p>
        </w:tc>
        <w:tc>
          <w:tcPr>
            <w:tcW w:w="3780" w:type="dxa"/>
          </w:tcPr>
          <w:p w:rsidR="00A731B8" w:rsidRPr="00AF56B8" w:rsidP="00BF798C" w14:paraId="07168C1B" w14:textId="77777777">
            <w:pPr>
              <w:autoSpaceDE w:val="0"/>
              <w:autoSpaceDN w:val="0"/>
              <w:adjustRightInd w:val="0"/>
              <w:spacing w:after="120"/>
              <w:rPr>
                <w:color w:val="000000"/>
                <w:szCs w:val="22"/>
              </w:rPr>
            </w:pPr>
            <w:r>
              <w:rPr>
                <w:color w:val="000000"/>
                <w:szCs w:val="22"/>
              </w:rPr>
              <w:t>Monster Broadband Inc.</w:t>
            </w:r>
          </w:p>
        </w:tc>
        <w:tc>
          <w:tcPr>
            <w:tcW w:w="1980" w:type="dxa"/>
          </w:tcPr>
          <w:p w:rsidR="00A731B8" w:rsidRPr="00AF56B8" w:rsidP="00BF798C" w14:paraId="0709A0FC" w14:textId="77777777">
            <w:pPr>
              <w:autoSpaceDE w:val="0"/>
              <w:autoSpaceDN w:val="0"/>
              <w:adjustRightInd w:val="0"/>
              <w:spacing w:after="120"/>
              <w:rPr>
                <w:color w:val="000000"/>
                <w:szCs w:val="22"/>
              </w:rPr>
            </w:pPr>
            <w:r>
              <w:rPr>
                <w:color w:val="000000"/>
                <w:szCs w:val="22"/>
              </w:rPr>
              <w:t>06/07/2021</w:t>
            </w:r>
          </w:p>
        </w:tc>
        <w:tc>
          <w:tcPr>
            <w:tcW w:w="990" w:type="dxa"/>
          </w:tcPr>
          <w:p w:rsidR="00A731B8" w:rsidRPr="00AF56B8" w:rsidP="00BF798C" w14:paraId="1771875E" w14:textId="77777777">
            <w:pPr>
              <w:autoSpaceDE w:val="0"/>
              <w:autoSpaceDN w:val="0"/>
              <w:adjustRightInd w:val="0"/>
              <w:spacing w:after="120"/>
              <w:rPr>
                <w:color w:val="000000"/>
                <w:szCs w:val="22"/>
              </w:rPr>
            </w:pPr>
            <w:r w:rsidRPr="00AF56B8">
              <w:rPr>
                <w:color w:val="000000"/>
                <w:szCs w:val="22"/>
              </w:rPr>
              <w:t>AL</w:t>
            </w:r>
          </w:p>
        </w:tc>
      </w:tr>
      <w:tr w14:paraId="02CCC78E" w14:textId="77777777" w:rsidTr="00BF798C">
        <w:tblPrEx>
          <w:tblW w:w="9450" w:type="dxa"/>
          <w:tblInd w:w="-5" w:type="dxa"/>
          <w:tblLayout w:type="fixed"/>
          <w:tblLook w:val="0020"/>
        </w:tblPrEx>
        <w:trPr>
          <w:trHeight w:val="570"/>
        </w:trPr>
        <w:tc>
          <w:tcPr>
            <w:tcW w:w="2700" w:type="dxa"/>
          </w:tcPr>
          <w:p w:rsidR="00A731B8" w:rsidRPr="00AF56B8" w:rsidP="00BF798C" w14:paraId="5E811B6F" w14:textId="77777777">
            <w:pPr>
              <w:autoSpaceDE w:val="0"/>
              <w:autoSpaceDN w:val="0"/>
              <w:adjustRightInd w:val="0"/>
              <w:spacing w:after="120"/>
              <w:rPr>
                <w:color w:val="000000"/>
                <w:szCs w:val="22"/>
              </w:rPr>
            </w:pPr>
            <w:r w:rsidRPr="001A32A5">
              <w:rPr>
                <w:color w:val="000000"/>
                <w:szCs w:val="22"/>
              </w:rPr>
              <w:t>NexTier</w:t>
            </w:r>
            <w:r w:rsidRPr="001A32A5">
              <w:rPr>
                <w:color w:val="000000"/>
                <w:szCs w:val="22"/>
              </w:rPr>
              <w:t xml:space="preserve"> Consortium</w:t>
            </w:r>
          </w:p>
        </w:tc>
        <w:tc>
          <w:tcPr>
            <w:tcW w:w="3780" w:type="dxa"/>
          </w:tcPr>
          <w:p w:rsidR="00A731B8" w:rsidRPr="00AF56B8" w:rsidP="00BF798C" w14:paraId="1A066457" w14:textId="77777777">
            <w:pPr>
              <w:autoSpaceDE w:val="0"/>
              <w:autoSpaceDN w:val="0"/>
              <w:adjustRightInd w:val="0"/>
              <w:spacing w:after="120"/>
              <w:rPr>
                <w:color w:val="000000"/>
                <w:szCs w:val="22"/>
              </w:rPr>
            </w:pPr>
            <w:r w:rsidRPr="009672B2">
              <w:rPr>
                <w:color w:val="000000"/>
                <w:szCs w:val="22"/>
              </w:rPr>
              <w:t>Seimitsu Corporation</w:t>
            </w:r>
          </w:p>
        </w:tc>
        <w:tc>
          <w:tcPr>
            <w:tcW w:w="1980" w:type="dxa"/>
          </w:tcPr>
          <w:p w:rsidR="00A731B8" w:rsidRPr="00AF56B8" w:rsidP="00BF798C" w14:paraId="0244307B" w14:textId="77777777">
            <w:pPr>
              <w:autoSpaceDE w:val="0"/>
              <w:autoSpaceDN w:val="0"/>
              <w:adjustRightInd w:val="0"/>
              <w:spacing w:after="120"/>
              <w:rPr>
                <w:color w:val="000000"/>
                <w:szCs w:val="22"/>
              </w:rPr>
            </w:pPr>
            <w:r>
              <w:rPr>
                <w:color w:val="000000"/>
                <w:szCs w:val="22"/>
              </w:rPr>
              <w:t>06/07/2021</w:t>
            </w:r>
          </w:p>
        </w:tc>
        <w:tc>
          <w:tcPr>
            <w:tcW w:w="990" w:type="dxa"/>
          </w:tcPr>
          <w:p w:rsidR="00A731B8" w:rsidRPr="00AF56B8" w:rsidP="00BF798C" w14:paraId="0D048E1E" w14:textId="77777777">
            <w:pPr>
              <w:autoSpaceDE w:val="0"/>
              <w:autoSpaceDN w:val="0"/>
              <w:adjustRightInd w:val="0"/>
              <w:spacing w:after="120"/>
              <w:rPr>
                <w:color w:val="000000"/>
                <w:szCs w:val="22"/>
              </w:rPr>
            </w:pPr>
            <w:r w:rsidRPr="00AF56B8">
              <w:rPr>
                <w:color w:val="000000"/>
                <w:szCs w:val="22"/>
              </w:rPr>
              <w:t>AL</w:t>
            </w:r>
          </w:p>
        </w:tc>
      </w:tr>
      <w:tr w14:paraId="0FAA2870" w14:textId="77777777" w:rsidTr="00BF798C">
        <w:tblPrEx>
          <w:tblW w:w="9450" w:type="dxa"/>
          <w:tblInd w:w="-5" w:type="dxa"/>
          <w:tblLayout w:type="fixed"/>
          <w:tblLook w:val="0020"/>
        </w:tblPrEx>
        <w:trPr>
          <w:trHeight w:val="570"/>
        </w:trPr>
        <w:tc>
          <w:tcPr>
            <w:tcW w:w="2700" w:type="dxa"/>
          </w:tcPr>
          <w:p w:rsidR="00A731B8" w:rsidRPr="00AF56B8" w:rsidP="00BF798C" w14:paraId="051054F8" w14:textId="77777777">
            <w:pPr>
              <w:autoSpaceDE w:val="0"/>
              <w:autoSpaceDN w:val="0"/>
              <w:adjustRightInd w:val="0"/>
              <w:spacing w:after="120"/>
              <w:rPr>
                <w:color w:val="000000"/>
                <w:szCs w:val="22"/>
              </w:rPr>
            </w:pPr>
            <w:r>
              <w:rPr>
                <w:color w:val="000000"/>
                <w:szCs w:val="22"/>
              </w:rPr>
              <w:t>RDOF USA Consortium</w:t>
            </w:r>
          </w:p>
        </w:tc>
        <w:tc>
          <w:tcPr>
            <w:tcW w:w="3780" w:type="dxa"/>
          </w:tcPr>
          <w:p w:rsidR="00A731B8" w:rsidRPr="00AF56B8" w:rsidP="00BF798C" w14:paraId="5E984FC4" w14:textId="77777777">
            <w:pPr>
              <w:autoSpaceDE w:val="0"/>
              <w:autoSpaceDN w:val="0"/>
              <w:adjustRightInd w:val="0"/>
              <w:spacing w:after="120"/>
              <w:rPr>
                <w:color w:val="000000"/>
                <w:szCs w:val="22"/>
              </w:rPr>
            </w:pPr>
            <w:r w:rsidRPr="00E25953">
              <w:rPr>
                <w:color w:val="000000"/>
                <w:szCs w:val="22"/>
              </w:rPr>
              <w:t>Tombigbee Communications LLC</w:t>
            </w:r>
          </w:p>
        </w:tc>
        <w:tc>
          <w:tcPr>
            <w:tcW w:w="1980" w:type="dxa"/>
          </w:tcPr>
          <w:p w:rsidR="00A731B8" w:rsidRPr="00AF56B8" w:rsidP="00BF798C" w14:paraId="1438F970" w14:textId="77777777">
            <w:pPr>
              <w:autoSpaceDE w:val="0"/>
              <w:autoSpaceDN w:val="0"/>
              <w:adjustRightInd w:val="0"/>
              <w:spacing w:after="120"/>
              <w:rPr>
                <w:color w:val="000000"/>
                <w:szCs w:val="22"/>
              </w:rPr>
            </w:pPr>
            <w:r>
              <w:rPr>
                <w:color w:val="000000"/>
                <w:szCs w:val="22"/>
              </w:rPr>
              <w:t>06/04/2021</w:t>
            </w:r>
          </w:p>
        </w:tc>
        <w:tc>
          <w:tcPr>
            <w:tcW w:w="990" w:type="dxa"/>
          </w:tcPr>
          <w:p w:rsidR="00A731B8" w:rsidRPr="00AF56B8" w:rsidP="00BF798C" w14:paraId="68C60491" w14:textId="77777777">
            <w:pPr>
              <w:autoSpaceDE w:val="0"/>
              <w:autoSpaceDN w:val="0"/>
              <w:adjustRightInd w:val="0"/>
              <w:spacing w:after="120"/>
              <w:rPr>
                <w:color w:val="000000"/>
                <w:szCs w:val="22"/>
              </w:rPr>
            </w:pPr>
            <w:r w:rsidRPr="00AF56B8">
              <w:rPr>
                <w:color w:val="000000"/>
                <w:szCs w:val="22"/>
              </w:rPr>
              <w:t>AL</w:t>
            </w:r>
          </w:p>
        </w:tc>
      </w:tr>
      <w:tr w14:paraId="03EA1D5B" w14:textId="77777777" w:rsidTr="00BF798C">
        <w:tblPrEx>
          <w:tblW w:w="9450" w:type="dxa"/>
          <w:tblInd w:w="-5" w:type="dxa"/>
          <w:tblLayout w:type="fixed"/>
          <w:tblLook w:val="0020"/>
        </w:tblPrEx>
        <w:trPr>
          <w:trHeight w:val="683"/>
        </w:trPr>
        <w:tc>
          <w:tcPr>
            <w:tcW w:w="2700" w:type="dxa"/>
          </w:tcPr>
          <w:p w:rsidR="00A731B8" w:rsidRPr="00AF56B8" w:rsidP="00BF798C" w14:paraId="0DDE0A89" w14:textId="77777777">
            <w:pPr>
              <w:autoSpaceDE w:val="0"/>
              <w:autoSpaceDN w:val="0"/>
              <w:adjustRightInd w:val="0"/>
              <w:spacing w:after="120"/>
              <w:rPr>
                <w:color w:val="000000"/>
                <w:szCs w:val="22"/>
              </w:rPr>
            </w:pPr>
            <w:r w:rsidRPr="009672B2">
              <w:rPr>
                <w:color w:val="000000"/>
                <w:szCs w:val="22"/>
              </w:rPr>
              <w:t>Windstream Services LLC, Debtor-In-Possession</w:t>
            </w:r>
          </w:p>
        </w:tc>
        <w:tc>
          <w:tcPr>
            <w:tcW w:w="3780" w:type="dxa"/>
          </w:tcPr>
          <w:p w:rsidR="00A731B8" w:rsidRPr="00AF56B8" w:rsidP="00BF798C" w14:paraId="1A46E5F1" w14:textId="77777777">
            <w:pPr>
              <w:autoSpaceDE w:val="0"/>
              <w:autoSpaceDN w:val="0"/>
              <w:adjustRightInd w:val="0"/>
              <w:spacing w:after="120"/>
              <w:rPr>
                <w:color w:val="000000"/>
                <w:szCs w:val="22"/>
              </w:rPr>
            </w:pPr>
            <w:r w:rsidRPr="009672B2">
              <w:rPr>
                <w:color w:val="000000"/>
                <w:szCs w:val="22"/>
              </w:rPr>
              <w:t>Windstream Services LLC, Debtor-In-Possession</w:t>
            </w:r>
          </w:p>
        </w:tc>
        <w:tc>
          <w:tcPr>
            <w:tcW w:w="1980" w:type="dxa"/>
          </w:tcPr>
          <w:p w:rsidR="00A731B8" w:rsidRPr="00AF56B8" w:rsidP="00BF798C" w14:paraId="2CEFFC8F" w14:textId="77777777">
            <w:pPr>
              <w:autoSpaceDE w:val="0"/>
              <w:autoSpaceDN w:val="0"/>
              <w:adjustRightInd w:val="0"/>
              <w:spacing w:after="120"/>
              <w:rPr>
                <w:color w:val="000000"/>
                <w:szCs w:val="22"/>
              </w:rPr>
            </w:pPr>
            <w:r>
              <w:rPr>
                <w:color w:val="000000"/>
                <w:szCs w:val="22"/>
              </w:rPr>
              <w:t>06/07/2021</w:t>
            </w:r>
          </w:p>
        </w:tc>
        <w:tc>
          <w:tcPr>
            <w:tcW w:w="990" w:type="dxa"/>
          </w:tcPr>
          <w:p w:rsidR="00A731B8" w:rsidRPr="00AF56B8" w:rsidP="00BF798C" w14:paraId="0DB8C1A9" w14:textId="77777777">
            <w:pPr>
              <w:autoSpaceDE w:val="0"/>
              <w:autoSpaceDN w:val="0"/>
              <w:adjustRightInd w:val="0"/>
              <w:spacing w:after="120"/>
              <w:rPr>
                <w:color w:val="000000"/>
                <w:szCs w:val="22"/>
              </w:rPr>
            </w:pPr>
            <w:r>
              <w:rPr>
                <w:color w:val="000000"/>
                <w:szCs w:val="22"/>
              </w:rPr>
              <w:t>FL</w:t>
            </w:r>
          </w:p>
        </w:tc>
      </w:tr>
      <w:tr w14:paraId="4DA36B96" w14:textId="77777777" w:rsidTr="00BF798C">
        <w:tblPrEx>
          <w:tblW w:w="9450" w:type="dxa"/>
          <w:tblInd w:w="-5" w:type="dxa"/>
          <w:tblLayout w:type="fixed"/>
          <w:tblLook w:val="0020"/>
        </w:tblPrEx>
        <w:trPr>
          <w:trHeight w:val="570"/>
        </w:trPr>
        <w:tc>
          <w:tcPr>
            <w:tcW w:w="2700" w:type="dxa"/>
          </w:tcPr>
          <w:p w:rsidR="00A731B8" w:rsidRPr="009672B2" w:rsidP="00BF798C" w14:paraId="4774DEEF" w14:textId="77777777">
            <w:pPr>
              <w:autoSpaceDE w:val="0"/>
              <w:autoSpaceDN w:val="0"/>
              <w:adjustRightInd w:val="0"/>
              <w:spacing w:after="120"/>
              <w:rPr>
                <w:color w:val="000000"/>
                <w:szCs w:val="22"/>
              </w:rPr>
            </w:pPr>
            <w:r w:rsidRPr="009672B2">
              <w:rPr>
                <w:color w:val="000000"/>
                <w:szCs w:val="22"/>
              </w:rPr>
              <w:t>Windstream Services LLC, Debtor-In-Possession</w:t>
            </w:r>
          </w:p>
          <w:p w:rsidR="00A731B8" w:rsidRPr="00AF56B8" w:rsidP="00BF798C" w14:paraId="69995D79" w14:textId="77777777">
            <w:pPr>
              <w:autoSpaceDE w:val="0"/>
              <w:autoSpaceDN w:val="0"/>
              <w:adjustRightInd w:val="0"/>
              <w:spacing w:after="120"/>
              <w:rPr>
                <w:color w:val="000000"/>
                <w:szCs w:val="22"/>
              </w:rPr>
            </w:pPr>
          </w:p>
        </w:tc>
        <w:tc>
          <w:tcPr>
            <w:tcW w:w="3780" w:type="dxa"/>
          </w:tcPr>
          <w:p w:rsidR="00A731B8" w:rsidRPr="00AF56B8" w:rsidP="00BF798C" w14:paraId="3BA3E551" w14:textId="77777777">
            <w:pPr>
              <w:autoSpaceDE w:val="0"/>
              <w:autoSpaceDN w:val="0"/>
              <w:adjustRightInd w:val="0"/>
              <w:spacing w:after="120"/>
              <w:rPr>
                <w:color w:val="000000"/>
                <w:szCs w:val="22"/>
              </w:rPr>
            </w:pPr>
            <w:r>
              <w:rPr>
                <w:color w:val="000000"/>
                <w:szCs w:val="22"/>
              </w:rPr>
              <w:t xml:space="preserve">Windstream New York, Inc. </w:t>
            </w:r>
          </w:p>
        </w:tc>
        <w:tc>
          <w:tcPr>
            <w:tcW w:w="1980" w:type="dxa"/>
          </w:tcPr>
          <w:p w:rsidR="00A731B8" w:rsidRPr="00AF56B8" w:rsidP="00BF798C" w14:paraId="19A11FA8" w14:textId="77777777">
            <w:pPr>
              <w:autoSpaceDE w:val="0"/>
              <w:autoSpaceDN w:val="0"/>
              <w:adjustRightInd w:val="0"/>
              <w:spacing w:after="120"/>
              <w:rPr>
                <w:color w:val="000000"/>
                <w:szCs w:val="22"/>
              </w:rPr>
            </w:pPr>
            <w:r>
              <w:rPr>
                <w:color w:val="000000"/>
                <w:szCs w:val="22"/>
              </w:rPr>
              <w:t>06/07/2021</w:t>
            </w:r>
          </w:p>
        </w:tc>
        <w:tc>
          <w:tcPr>
            <w:tcW w:w="990" w:type="dxa"/>
          </w:tcPr>
          <w:p w:rsidR="00A731B8" w:rsidRPr="00AF56B8" w:rsidP="00BF798C" w14:paraId="55483198" w14:textId="77777777">
            <w:pPr>
              <w:autoSpaceDE w:val="0"/>
              <w:autoSpaceDN w:val="0"/>
              <w:adjustRightInd w:val="0"/>
              <w:spacing w:after="120"/>
              <w:rPr>
                <w:color w:val="000000"/>
                <w:szCs w:val="22"/>
              </w:rPr>
            </w:pPr>
            <w:r>
              <w:rPr>
                <w:szCs w:val="22"/>
              </w:rPr>
              <w:t>NY</w:t>
            </w:r>
          </w:p>
        </w:tc>
      </w:tr>
    </w:tbl>
    <w:p w:rsidR="00A731B8" w:rsidRPr="0077343F" w:rsidP="00A731B8" w14:paraId="11632B64" w14:textId="77777777">
      <w:pPr>
        <w:spacing w:after="240"/>
        <w:rPr>
          <w:b/>
          <w:szCs w:val="22"/>
        </w:rPr>
      </w:pPr>
    </w:p>
    <w:p w:rsidR="00A731B8" w:rsidRPr="0077343F" w:rsidP="00A731B8" w14:paraId="0BF5909E" w14:textId="24846343">
      <w:pPr>
        <w:keepNext/>
        <w:rPr>
          <w:b/>
          <w:szCs w:val="22"/>
        </w:rPr>
      </w:pPr>
    </w:p>
    <w:p w:rsidR="00784D95" w:rsidRPr="00784D95" w:rsidP="00784D95" w14:paraId="58DD4697" w14:textId="77777777">
      <w:pPr>
        <w:rPr>
          <w:b/>
          <w:sz w:val="24"/>
        </w:rPr>
      </w:pPr>
    </w:p>
    <w:bookmarkEnd w:id="0"/>
    <w:p w:rsidR="00F96F63" w:rsidP="00F96F63" w14:paraId="1E811701" w14:textId="77777777">
      <w:pPr>
        <w:rPr>
          <w:sz w:val="24"/>
        </w:rPr>
      </w:pPr>
    </w:p>
    <w:p w:rsidR="00930ECF" w:rsidRPr="00930ECF" w:rsidP="00F96F63" w14:paraId="595C3164"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271D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FA3A6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C220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C1D1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4D95" w14:paraId="40DFB3BA" w14:textId="77777777">
      <w:r>
        <w:separator/>
      </w:r>
    </w:p>
  </w:footnote>
  <w:footnote w:type="continuationSeparator" w:id="1">
    <w:p w:rsidR="00784D95" w14:paraId="27C0D279" w14:textId="77777777">
      <w:pPr>
        <w:rPr>
          <w:sz w:val="20"/>
        </w:rPr>
      </w:pPr>
      <w:r>
        <w:rPr>
          <w:sz w:val="20"/>
        </w:rPr>
        <w:t xml:space="preserve">(Continued from previous page)  </w:t>
      </w:r>
      <w:r>
        <w:rPr>
          <w:sz w:val="20"/>
        </w:rPr>
        <w:separator/>
      </w:r>
    </w:p>
  </w:footnote>
  <w:footnote w:type="continuationNotice" w:id="2">
    <w:p w:rsidR="00784D95" w:rsidP="00910F12" w14:paraId="4D48BE5A" w14:textId="77777777">
      <w:pPr>
        <w:jc w:val="right"/>
        <w:rPr>
          <w:sz w:val="20"/>
        </w:rPr>
      </w:pPr>
      <w:r>
        <w:rPr>
          <w:sz w:val="20"/>
        </w:rPr>
        <w:t>(continued….)</w:t>
      </w:r>
    </w:p>
  </w:footnote>
  <w:footnote w:id="3">
    <w:p w:rsidR="00784D95" w:rsidRPr="00CA5C70" w:rsidP="00784D95" w14:paraId="21DB8A59" w14:textId="77777777">
      <w:pPr>
        <w:pStyle w:val="FootnoteText"/>
      </w:pPr>
      <w:r w:rsidRPr="00CA5C70">
        <w:rPr>
          <w:rStyle w:val="FootnoteReference"/>
          <w:sz w:val="20"/>
        </w:rPr>
        <w:footnoteRef/>
      </w:r>
      <w:r w:rsidRPr="00CA5C70">
        <w:t xml:space="preserve"> </w:t>
      </w:r>
      <w:r w:rsidRPr="00CA5C70">
        <w:rPr>
          <w:i/>
        </w:rPr>
        <w:t>See Rural Digital Opportunity Fund Phase I Auction (Auction 904) Closes; Winning Bidders Announced; FCC Form 683 Due January 29, 2021</w:t>
      </w:r>
      <w:r>
        <w:rPr>
          <w:iCs/>
        </w:rPr>
        <w:t>,</w:t>
      </w:r>
      <w:r w:rsidRPr="00CA5C70">
        <w:rPr>
          <w:i/>
        </w:rPr>
        <w:t xml:space="preserve"> </w:t>
      </w:r>
      <w:r w:rsidRPr="00CA5C70">
        <w:rPr>
          <w:iCs/>
        </w:rPr>
        <w:t xml:space="preserve">Public Notice, 35 FCC </w:t>
      </w:r>
      <w:r w:rsidRPr="00CA5C70">
        <w:rPr>
          <w:iCs/>
        </w:rPr>
        <w:t>Rcd</w:t>
      </w:r>
      <w:r w:rsidRPr="00CA5C70">
        <w:rPr>
          <w:iCs/>
        </w:rPr>
        <w:t xml:space="preserve"> 13888, 13890-91, paras. 9-15 (RBATF, OEA, WCB 2020)</w:t>
      </w:r>
      <w:r>
        <w:rPr>
          <w:iCs/>
        </w:rPr>
        <w:t xml:space="preserve"> (</w:t>
      </w:r>
      <w:r w:rsidRPr="00A223DE">
        <w:rPr>
          <w:i/>
        </w:rPr>
        <w:t>RDOF Closing Public Notice</w:t>
      </w:r>
      <w:r>
        <w:rPr>
          <w:iCs/>
        </w:rPr>
        <w:t>)</w:t>
      </w:r>
      <w:r w:rsidRPr="00CA5C70">
        <w:rPr>
          <w:iCs/>
        </w:rPr>
        <w:t xml:space="preserve">; </w:t>
      </w:r>
      <w:r w:rsidRPr="00CA5C70">
        <w:rPr>
          <w:i/>
        </w:rPr>
        <w:t>Rural Digital Opportunity Fund Phase I Auction Scheduled for October 29, 2020; Notice and Filing Requirements and Other Procedures for Auction 904</w:t>
      </w:r>
      <w:r w:rsidRPr="00CA5C70">
        <w:t xml:space="preserve">, AU Docket No. 20-34 et al., Public Notice, 35 FCC </w:t>
      </w:r>
      <w:r w:rsidRPr="00CA5C70">
        <w:t>Rcd</w:t>
      </w:r>
      <w:r w:rsidRPr="00CA5C70">
        <w:t xml:space="preserve"> 6077, 6164-65, paras. 288-93 (2020)</w:t>
      </w:r>
      <w:r>
        <w:t xml:space="preserve"> (</w:t>
      </w:r>
      <w:r w:rsidRPr="006724C0">
        <w:rPr>
          <w:i/>
          <w:iCs/>
        </w:rPr>
        <w:t>Auction 904 Procedures Public Notice</w:t>
      </w:r>
      <w:r>
        <w:t>)</w:t>
      </w:r>
      <w:r w:rsidRPr="00CA5C70">
        <w:t>.</w:t>
      </w:r>
      <w:r>
        <w:t xml:space="preserve">  </w:t>
      </w:r>
    </w:p>
  </w:footnote>
  <w:footnote w:id="4">
    <w:p w:rsidR="00784D95" w:rsidP="00784D95" w14:paraId="7E574415" w14:textId="77777777">
      <w:pPr>
        <w:pStyle w:val="FootnoteText"/>
      </w:pPr>
      <w:r>
        <w:rPr>
          <w:rStyle w:val="FootnoteReference"/>
        </w:rPr>
        <w:footnoteRef/>
      </w:r>
      <w:r>
        <w:t xml:space="preserve"> </w:t>
      </w:r>
      <w:r w:rsidRPr="00CA5C70">
        <w:t xml:space="preserve">47 CFR Part 54, Subparts D, K, L, M.   </w:t>
      </w:r>
    </w:p>
  </w:footnote>
  <w:footnote w:id="5">
    <w:p w:rsidR="00784D95" w:rsidP="00784D95" w14:paraId="74DBCBF7" w14:textId="77777777">
      <w:pPr>
        <w:pStyle w:val="FootnoteText"/>
      </w:pPr>
      <w:r>
        <w:rPr>
          <w:rStyle w:val="FootnoteReference"/>
        </w:rPr>
        <w:footnoteRef/>
      </w:r>
      <w:r>
        <w:t xml:space="preserve"> </w:t>
      </w:r>
      <w:r w:rsidRPr="003730FE">
        <w:t>47 CFR § 54.</w:t>
      </w:r>
      <w:r>
        <w:t>804</w:t>
      </w:r>
      <w:r w:rsidRPr="003730FE">
        <w:t xml:space="preserve">(b)(5); </w:t>
      </w:r>
      <w:r w:rsidRPr="00901546">
        <w:rPr>
          <w:i/>
          <w:iCs/>
        </w:rPr>
        <w:t>RDOF Closing Public Notice</w:t>
      </w:r>
      <w:r>
        <w:t xml:space="preserve">, </w:t>
      </w:r>
      <w:r>
        <w:rPr>
          <w:iCs/>
        </w:rPr>
        <w:t xml:space="preserve">35 FCC </w:t>
      </w:r>
      <w:r>
        <w:rPr>
          <w:iCs/>
        </w:rPr>
        <w:t>Rcd</w:t>
      </w:r>
      <w:r>
        <w:rPr>
          <w:iCs/>
        </w:rPr>
        <w:t xml:space="preserve"> at 13894, 13900-01.</w:t>
      </w:r>
      <w:r w:rsidRPr="003730FE">
        <w:t xml:space="preserve"> </w:t>
      </w:r>
    </w:p>
  </w:footnote>
  <w:footnote w:id="6">
    <w:p w:rsidR="00784D95" w:rsidRPr="00CA5C70" w:rsidP="00784D95" w14:paraId="2F2CCA21" w14:textId="77777777">
      <w:pPr>
        <w:pStyle w:val="FootnoteText"/>
      </w:pPr>
      <w:r w:rsidRPr="00CA5C70">
        <w:rPr>
          <w:rStyle w:val="FootnoteReference"/>
          <w:sz w:val="20"/>
        </w:rPr>
        <w:footnoteRef/>
      </w:r>
      <w:r w:rsidRPr="00CA5C70">
        <w:t xml:space="preserve"> </w:t>
      </w:r>
      <w:r w:rsidRPr="00CA5C70">
        <w:t>47 U.S.C. § 254(e).</w:t>
      </w:r>
    </w:p>
  </w:footnote>
  <w:footnote w:id="7">
    <w:p w:rsidR="00784D95" w:rsidRPr="00CA5C70" w:rsidP="00784D95" w14:paraId="64531027"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8">
    <w:p w:rsidR="00784D95" w:rsidRPr="00CA5C70" w:rsidP="00784D95" w14:paraId="619FA2E6"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9">
    <w:p w:rsidR="00784D95" w:rsidRPr="00CA5C70" w:rsidP="00784D95" w14:paraId="44393FA0"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w:t>
      </w:r>
      <w:r w:rsidRPr="00CA5C70">
        <w:t>Rcd</w:t>
      </w:r>
      <w:r w:rsidRPr="00CA5C70">
        <w:t xml:space="preserve"> 12208, 12267, para. 120 (2000); </w:t>
      </w:r>
      <w:r w:rsidRPr="00CA5C70">
        <w:rPr>
          <w:lang w:val="it-IT"/>
        </w:rPr>
        <w:t>47 U.S.C. § 214(e)(6).</w:t>
      </w:r>
    </w:p>
  </w:footnote>
  <w:footnote w:id="10">
    <w:p w:rsidR="00784D95" w:rsidRPr="00CA5C70" w:rsidP="00784D95" w14:paraId="634AB072"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xml:space="preserve">, CC Docket No. 96-45, Public Notice, 12 FCC </w:t>
      </w:r>
      <w:r w:rsidRPr="00CA5C70">
        <w:t>Rcd</w:t>
      </w:r>
      <w:r w:rsidRPr="00CA5C70">
        <w:t xml:space="preserve"> 22947, 22948 (1997).</w:t>
      </w:r>
    </w:p>
  </w:footnote>
  <w:footnote w:id="11">
    <w:p w:rsidR="00784D95" w:rsidRPr="00CA5C70" w:rsidP="00784D95" w14:paraId="435FDEA7" w14:textId="77777777">
      <w:pPr>
        <w:pStyle w:val="FootnoteText"/>
      </w:pPr>
      <w:r w:rsidRPr="00CA5C70">
        <w:rPr>
          <w:rStyle w:val="FootnoteReference"/>
          <w:sz w:val="20"/>
        </w:rPr>
        <w:footnoteRef/>
      </w:r>
      <w:r w:rsidRPr="00CA5C70">
        <w:t xml:space="preserve"> </w:t>
      </w:r>
      <w:r w:rsidRPr="00CA5C70">
        <w:t>47 U.S.C. § 214(e)(1); 47 CFR § 54.201(d)(1).</w:t>
      </w:r>
    </w:p>
  </w:footnote>
  <w:footnote w:id="12">
    <w:p w:rsidR="00784D95" w:rsidRPr="00CA5C70" w:rsidP="00784D95" w14:paraId="4FED9352" w14:textId="77777777">
      <w:pPr>
        <w:pStyle w:val="FootnoteText"/>
      </w:pPr>
      <w:r w:rsidRPr="00CA5C70">
        <w:rPr>
          <w:rStyle w:val="FootnoteReference"/>
          <w:sz w:val="20"/>
        </w:rPr>
        <w:footnoteRef/>
      </w:r>
      <w:r w:rsidRPr="00CA5C70">
        <w:t xml:space="preserve"> </w:t>
      </w:r>
      <w:r w:rsidRPr="00CA5C70">
        <w:t>47 U.S.C. § 214(e)(1); 47 CFR § 54.201(d)(2).</w:t>
      </w:r>
    </w:p>
  </w:footnote>
  <w:footnote w:id="13">
    <w:p w:rsidR="00784D95" w:rsidRPr="00CA5C70" w:rsidP="00784D95" w14:paraId="683984C8" w14:textId="77777777">
      <w:pPr>
        <w:pStyle w:val="FootnoteText"/>
      </w:pPr>
      <w:r w:rsidRPr="00CA5C70">
        <w:rPr>
          <w:rStyle w:val="FootnoteReference"/>
          <w:sz w:val="20"/>
        </w:rPr>
        <w:footnoteRef/>
      </w:r>
      <w:r w:rsidRPr="00CA5C70">
        <w:t xml:space="preserve"> </w:t>
      </w:r>
      <w:r w:rsidRPr="00CA5C70">
        <w:t xml:space="preserve">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0CA5C70">
        <w:rPr>
          <w:i/>
          <w:snapToGrid w:val="0"/>
        </w:rPr>
        <w:t>See</w:t>
      </w:r>
      <w:r w:rsidRPr="00CA5C70">
        <w:rPr>
          <w:snapToGrid w:val="0"/>
        </w:rPr>
        <w:t xml:space="preserve"> </w:t>
      </w:r>
      <w:r w:rsidRPr="003B142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 xml:space="preserve">35 FCC </w:t>
      </w:r>
      <w:r w:rsidRPr="003B1428">
        <w:rPr>
          <w:snapToGrid w:val="0"/>
        </w:rPr>
        <w:t>Rcd</w:t>
      </w:r>
      <w:r w:rsidRPr="003B1428">
        <w:rPr>
          <w:snapToGrid w:val="0"/>
        </w:rPr>
        <w:t xml:space="preserve"> 686</w:t>
      </w:r>
      <w:r>
        <w:rPr>
          <w:snapToGrid w:val="0"/>
        </w:rPr>
        <w:t>, 728, para. 93-94</w:t>
      </w:r>
      <w:r>
        <w:t xml:space="preserve"> (2000).</w:t>
      </w:r>
    </w:p>
  </w:footnote>
  <w:footnote w:id="14">
    <w:p w:rsidR="00784D95" w:rsidRPr="00CA5C70" w:rsidP="00784D95" w14:paraId="01A7DE40" w14:textId="77777777">
      <w:pPr>
        <w:pStyle w:val="FootnoteText"/>
      </w:pPr>
      <w:r w:rsidRPr="00CA5C70">
        <w:rPr>
          <w:rStyle w:val="FootnoteReference"/>
          <w:sz w:val="20"/>
        </w:rPr>
        <w:footnoteRef/>
      </w:r>
      <w:r w:rsidRPr="00CA5C70">
        <w:t xml:space="preserve"> </w:t>
      </w:r>
      <w:r w:rsidRPr="00CA5C70">
        <w:t>21 U.S.C. § 862; 47 CFR § 1.2002(a)–(b).</w:t>
      </w:r>
    </w:p>
  </w:footnote>
  <w:footnote w:id="15">
    <w:p w:rsidR="00784D95" w:rsidRPr="00CA5C70" w:rsidP="00784D95" w14:paraId="2005FED1" w14:textId="77777777">
      <w:pPr>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6">
    <w:p w:rsidR="00784D95" w:rsidRPr="00CA5C70" w:rsidP="00784D95" w14:paraId="210D48EF" w14:textId="77777777">
      <w:pPr>
        <w:pStyle w:val="FootnoteText"/>
      </w:pPr>
      <w:r w:rsidRPr="00CA5C70">
        <w:rPr>
          <w:rStyle w:val="FootnoteReference"/>
          <w:sz w:val="20"/>
        </w:rPr>
        <w:footnoteRef/>
      </w:r>
      <w:r w:rsidRPr="00CA5C70">
        <w:t xml:space="preserve"> </w:t>
      </w:r>
      <w:r w:rsidRPr="00CA5C70">
        <w:t>47 U.S.C. § 214(e)(6); 47 CFR § 54.202(b).</w:t>
      </w:r>
      <w:r>
        <w:t xml:space="preserve">  The Bureau has </w:t>
      </w:r>
      <w:r w:rsidRPr="00074632">
        <w:t>extend</w:t>
      </w:r>
      <w:r>
        <w:t>ed</w:t>
      </w:r>
      <w:r w:rsidRPr="00074632">
        <w:t xml:space="preserve"> to Auction 904 </w:t>
      </w:r>
      <w:r>
        <w:t xml:space="preserve">support recipients </w:t>
      </w:r>
      <w:r w:rsidRPr="00074632">
        <w:t xml:space="preserve">the same waivers of </w:t>
      </w:r>
      <w:r>
        <w:t xml:space="preserve">certain requirements in </w:t>
      </w:r>
      <w:r w:rsidRPr="00074632">
        <w:t>section 54.202 of the Commission’s rules</w:t>
      </w:r>
      <w:r>
        <w:t xml:space="preserve"> and the same presumption that designation will serve the public interest as it had previously extended to Auction 903 support recipients</w:t>
      </w:r>
      <w:r w:rsidRPr="00074632">
        <w:t xml:space="preserve">.  </w:t>
      </w:r>
      <w:r w:rsidRPr="00A223DE">
        <w:rPr>
          <w:i/>
          <w:iCs/>
        </w:rPr>
        <w:t>RDOF Closing Public Notice</w:t>
      </w:r>
      <w:r>
        <w:t xml:space="preserve">, 35 FCC </w:t>
      </w:r>
      <w:r>
        <w:t>Rcd</w:t>
      </w:r>
      <w:r>
        <w:t xml:space="preserve"> at 13901 n.71; </w:t>
      </w:r>
      <w:r w:rsidRPr="00AB096B">
        <w:rPr>
          <w:i/>
        </w:rPr>
        <w:t>WCB Reminds Connect America Fund Phase II Auction Applicants of the Process for Obtaining a Federal Designation as an Eligible Telecommunications Carrier</w:t>
      </w:r>
      <w:r w:rsidRPr="00AB096B">
        <w:t xml:space="preserve">, WC Docket Nos. 09-197 and 10-90, Public Notice, 33 FCC </w:t>
      </w:r>
      <w:r w:rsidRPr="00AB096B">
        <w:t>Rcd</w:t>
      </w:r>
      <w:r w:rsidRPr="00AB096B">
        <w:t xml:space="preserve"> 6696, 6699-6700 (WCB 2019</w:t>
      </w:r>
      <w:r>
        <w:t>).</w:t>
      </w:r>
    </w:p>
  </w:footnote>
  <w:footnote w:id="17">
    <w:p w:rsidR="00784D95" w:rsidRPr="00CA5C70" w:rsidP="00784D95" w14:paraId="15B3AFDD" w14:textId="77777777">
      <w:pPr>
        <w:pStyle w:val="FootnoteText"/>
      </w:pPr>
      <w:r w:rsidRPr="00CA5C70">
        <w:rPr>
          <w:rStyle w:val="FootnoteReference"/>
          <w:sz w:val="20"/>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xml:space="preserve">, GC Docket No. 97-113, Report and Order, 13 FCC </w:t>
      </w:r>
      <w:r w:rsidRPr="00CA5C70">
        <w:t>Rcd</w:t>
      </w:r>
      <w:r w:rsidRPr="00CA5C70">
        <w:t xml:space="preserve"> 11322 (1998); 63 FR 24121 (1998).</w:t>
      </w:r>
    </w:p>
  </w:footnote>
  <w:footnote w:id="18">
    <w:p w:rsidR="00784D95" w:rsidRPr="00CA5C70" w:rsidP="00784D95" w14:paraId="296E6181"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xml:space="preserve">, Public Notice, 35 FCC </w:t>
      </w:r>
      <w:r w:rsidRPr="00CA5C70">
        <w:t>Rcd</w:t>
      </w:r>
      <w:r w:rsidRPr="00CA5C70">
        <w:t xml:space="preserve"> 2788 (OMD 2020), https://www.fcc.gov/document/fcc-closes-headquarters-open-window-and-changes-hand-delivery-policy.</w:t>
      </w:r>
    </w:p>
  </w:footnote>
  <w:footnote w:id="19">
    <w:p w:rsidR="00784D95" w:rsidRPr="00CA5C70" w:rsidP="00784D95" w14:paraId="0A9F5424"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0">
    <w:p w:rsidR="00784D95" w:rsidRPr="00CA5C70" w:rsidP="00784D95" w14:paraId="1D6BA2BD" w14:textId="77777777">
      <w:pPr>
        <w:pStyle w:val="FootnoteText"/>
      </w:pPr>
      <w:r w:rsidRPr="00CA5C70">
        <w:rPr>
          <w:rStyle w:val="FootnoteReference"/>
          <w:sz w:val="20"/>
        </w:rPr>
        <w:footnoteRef/>
      </w:r>
      <w:r w:rsidRPr="00CA5C70">
        <w:t xml:space="preserve"> </w:t>
      </w:r>
      <w:r w:rsidRPr="00CA5C70">
        <w:rPr>
          <w:i/>
        </w:rPr>
        <w:t>Id</w:t>
      </w:r>
      <w:r w:rsidRPr="00CA5C70">
        <w:t>. § 1.2016(b)(2)(iii).</w:t>
      </w:r>
    </w:p>
  </w:footnote>
  <w:footnote w:id="21">
    <w:p w:rsidR="00784D95" w:rsidRPr="00CA5C70" w:rsidP="00784D95" w14:paraId="454EEA97"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2">
    <w:p w:rsidR="00784D95" w:rsidRPr="00CA5C70" w:rsidP="00784D95" w14:paraId="7F8A6E58"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3">
    <w:p w:rsidR="00784D95" w:rsidRPr="00CA5C70" w:rsidP="00784D95" w14:paraId="7CB81310"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4">
    <w:p w:rsidR="00784D95" w:rsidRPr="00CA5C70" w:rsidP="00784D95" w14:paraId="3CC038A3"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AF18633" w14:textId="1978D9A1">
    <w:pPr>
      <w:tabs>
        <w:tab w:val="center" w:pos="4680"/>
        <w:tab w:val="right" w:pos="9360"/>
      </w:tabs>
    </w:pPr>
    <w:r w:rsidRPr="009838BC">
      <w:rPr>
        <w:b/>
      </w:rPr>
      <w:tab/>
    </w:r>
    <w:r w:rsidRPr="009838BC">
      <w:rPr>
        <w:b/>
      </w:rPr>
      <w:t>Federal Communications Commission</w:t>
    </w:r>
    <w:r w:rsidRPr="009838BC">
      <w:rPr>
        <w:b/>
      </w:rPr>
      <w:tab/>
    </w:r>
    <w:r w:rsidR="00804E4B">
      <w:rPr>
        <w:b/>
      </w:rPr>
      <w:t>DA</w:t>
    </w:r>
    <w:r w:rsidR="00C71633">
      <w:rPr>
        <w:b/>
      </w:rPr>
      <w:t xml:space="preserve"> 21-1242</w:t>
    </w:r>
  </w:p>
  <w:p w:rsidR="009838BC" w:rsidRPr="009838BC" w:rsidP="009838BC" w14:paraId="4EB63BF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9445E6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34A9255" w14:textId="77777777">
                <w:pPr>
                  <w:rPr>
                    <w:rFonts w:ascii="Arial" w:hAnsi="Arial"/>
                    <w:b/>
                    <w:snapToGrid/>
                  </w:rPr>
                </w:pPr>
                <w:r>
                  <w:rPr>
                    <w:rFonts w:ascii="Arial" w:hAnsi="Arial"/>
                    <w:b/>
                  </w:rPr>
                  <w:t>Federal Communications Commission</w:t>
                </w:r>
              </w:p>
              <w:p w:rsidR="00DE0AB8" w:rsidP="00DE0AB8" w14:paraId="6EDCABE1" w14:textId="77777777">
                <w:pPr>
                  <w:rPr>
                    <w:rFonts w:ascii="Arial" w:hAnsi="Arial"/>
                    <w:b/>
                  </w:rPr>
                </w:pPr>
                <w:r>
                  <w:rPr>
                    <w:rFonts w:ascii="Arial" w:hAnsi="Arial"/>
                    <w:b/>
                  </w:rPr>
                  <w:t>45 L Street NE</w:t>
                </w:r>
              </w:p>
              <w:p w:rsidR="009838BC" w:rsidP="00DE0AB8" w14:paraId="22BAD14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EE6D74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121AD46" w14:textId="77777777">
                <w:pPr>
                  <w:spacing w:before="40"/>
                  <w:jc w:val="right"/>
                  <w:rPr>
                    <w:rFonts w:ascii="Arial" w:hAnsi="Arial"/>
                    <w:b/>
                    <w:sz w:val="16"/>
                  </w:rPr>
                </w:pPr>
                <w:r>
                  <w:rPr>
                    <w:rFonts w:ascii="Arial" w:hAnsi="Arial"/>
                    <w:b/>
                    <w:sz w:val="16"/>
                  </w:rPr>
                  <w:t>News Media Information 202 / 418-0500</w:t>
                </w:r>
              </w:p>
              <w:p w:rsidR="009838BC" w:rsidP="009838BC" w14:paraId="640150F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18AE05B" w14:textId="77777777">
                <w:pPr>
                  <w:jc w:val="right"/>
                </w:pPr>
                <w:r>
                  <w:rPr>
                    <w:rFonts w:ascii="Arial" w:hAnsi="Arial"/>
                    <w:b/>
                    <w:sz w:val="16"/>
                  </w:rPr>
                  <w:t>TTY: 1-888-835-5322</w:t>
                </w:r>
              </w:p>
            </w:txbxContent>
          </v:textbox>
        </v:shape>
      </w:pict>
    </w:r>
  </w:p>
  <w:p w:rsidR="006F7393" w:rsidRPr="009838BC" w:rsidP="009838BC" w14:paraId="18DCD52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95"/>
    <w:rsid w:val="000072CE"/>
    <w:rsid w:val="00013A8B"/>
    <w:rsid w:val="00021445"/>
    <w:rsid w:val="00036039"/>
    <w:rsid w:val="00037F90"/>
    <w:rsid w:val="00074632"/>
    <w:rsid w:val="000875BF"/>
    <w:rsid w:val="00096D8C"/>
    <w:rsid w:val="000C0B65"/>
    <w:rsid w:val="000E3D42"/>
    <w:rsid w:val="000E5884"/>
    <w:rsid w:val="000F5005"/>
    <w:rsid w:val="00122BD5"/>
    <w:rsid w:val="001979D9"/>
    <w:rsid w:val="001A32A5"/>
    <w:rsid w:val="001D6BCF"/>
    <w:rsid w:val="001E01CA"/>
    <w:rsid w:val="002060D9"/>
    <w:rsid w:val="00226822"/>
    <w:rsid w:val="00260594"/>
    <w:rsid w:val="0028034B"/>
    <w:rsid w:val="00280E1E"/>
    <w:rsid w:val="00285017"/>
    <w:rsid w:val="002A2D2E"/>
    <w:rsid w:val="00343749"/>
    <w:rsid w:val="00357D50"/>
    <w:rsid w:val="003730FE"/>
    <w:rsid w:val="003925DC"/>
    <w:rsid w:val="003975E9"/>
    <w:rsid w:val="003B0550"/>
    <w:rsid w:val="003B1428"/>
    <w:rsid w:val="003B694F"/>
    <w:rsid w:val="003F171C"/>
    <w:rsid w:val="00412FC5"/>
    <w:rsid w:val="00422276"/>
    <w:rsid w:val="004242F1"/>
    <w:rsid w:val="00445A00"/>
    <w:rsid w:val="00451B0F"/>
    <w:rsid w:val="0046125F"/>
    <w:rsid w:val="00487524"/>
    <w:rsid w:val="00496106"/>
    <w:rsid w:val="004C12D0"/>
    <w:rsid w:val="004C2EE3"/>
    <w:rsid w:val="004E288E"/>
    <w:rsid w:val="004E4A22"/>
    <w:rsid w:val="00511968"/>
    <w:rsid w:val="0055614C"/>
    <w:rsid w:val="00607BA5"/>
    <w:rsid w:val="00626EB6"/>
    <w:rsid w:val="006353A3"/>
    <w:rsid w:val="00655D03"/>
    <w:rsid w:val="006724C0"/>
    <w:rsid w:val="00683F84"/>
    <w:rsid w:val="006A6A81"/>
    <w:rsid w:val="006E26AF"/>
    <w:rsid w:val="006F7393"/>
    <w:rsid w:val="0070224F"/>
    <w:rsid w:val="007115F7"/>
    <w:rsid w:val="0077343F"/>
    <w:rsid w:val="00784D95"/>
    <w:rsid w:val="00785689"/>
    <w:rsid w:val="0079754B"/>
    <w:rsid w:val="007A1E6D"/>
    <w:rsid w:val="00804E4B"/>
    <w:rsid w:val="00822CE0"/>
    <w:rsid w:val="00837C62"/>
    <w:rsid w:val="00841AB1"/>
    <w:rsid w:val="00854791"/>
    <w:rsid w:val="008A24A8"/>
    <w:rsid w:val="008C22FD"/>
    <w:rsid w:val="00901546"/>
    <w:rsid w:val="00910F12"/>
    <w:rsid w:val="00926503"/>
    <w:rsid w:val="00930ECF"/>
    <w:rsid w:val="009672B2"/>
    <w:rsid w:val="009838BC"/>
    <w:rsid w:val="00A223DE"/>
    <w:rsid w:val="00A45F4F"/>
    <w:rsid w:val="00A600A9"/>
    <w:rsid w:val="00A731B8"/>
    <w:rsid w:val="00A866AC"/>
    <w:rsid w:val="00AA55B7"/>
    <w:rsid w:val="00AA5B9E"/>
    <w:rsid w:val="00AB096B"/>
    <w:rsid w:val="00AB2407"/>
    <w:rsid w:val="00AB53DF"/>
    <w:rsid w:val="00AF56B8"/>
    <w:rsid w:val="00B07E5C"/>
    <w:rsid w:val="00B20363"/>
    <w:rsid w:val="00B326E3"/>
    <w:rsid w:val="00B37505"/>
    <w:rsid w:val="00B811F7"/>
    <w:rsid w:val="00BA5DC6"/>
    <w:rsid w:val="00BA6196"/>
    <w:rsid w:val="00BC6D8C"/>
    <w:rsid w:val="00BF798C"/>
    <w:rsid w:val="00C16AF2"/>
    <w:rsid w:val="00C34006"/>
    <w:rsid w:val="00C426B1"/>
    <w:rsid w:val="00C71633"/>
    <w:rsid w:val="00C82B6B"/>
    <w:rsid w:val="00C90D6A"/>
    <w:rsid w:val="00CA5C70"/>
    <w:rsid w:val="00CB6874"/>
    <w:rsid w:val="00CC72B6"/>
    <w:rsid w:val="00D0218D"/>
    <w:rsid w:val="00D216CD"/>
    <w:rsid w:val="00DA2529"/>
    <w:rsid w:val="00DB130A"/>
    <w:rsid w:val="00DC10A1"/>
    <w:rsid w:val="00DC655F"/>
    <w:rsid w:val="00DD7EBD"/>
    <w:rsid w:val="00DE0AB8"/>
    <w:rsid w:val="00DE64C2"/>
    <w:rsid w:val="00DF62B6"/>
    <w:rsid w:val="00E07225"/>
    <w:rsid w:val="00E155B7"/>
    <w:rsid w:val="00E25953"/>
    <w:rsid w:val="00E5409F"/>
    <w:rsid w:val="00E57CD3"/>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F84417"/>
  <w15:chartTrackingRefBased/>
  <w15:docId w15:val="{0ED3603B-5F37-46E8-9527-6189EB2D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784D95"/>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784D95"/>
  </w:style>
  <w:style w:type="character" w:customStyle="1" w:styleId="ParaNumCharChar">
    <w:name w:val="ParaNum Char Char"/>
    <w:link w:val="ParaNum"/>
    <w:rsid w:val="00784D95"/>
    <w:rPr>
      <w:snapToGrid w:val="0"/>
      <w:kern w:val="28"/>
      <w:sz w:val="22"/>
    </w:rPr>
  </w:style>
  <w:style w:type="character" w:customStyle="1" w:styleId="UnresolvedMention">
    <w:name w:val="Unresolved Mention"/>
    <w:basedOn w:val="DefaultParagraphFont"/>
    <w:uiPriority w:val="99"/>
    <w:semiHidden/>
    <w:unhideWhenUsed/>
    <w:rsid w:val="0078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ssa.Laughn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