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452413C1" w14:textId="5359CB45">
      <w:pPr>
        <w:jc w:val="right"/>
        <w:rPr>
          <w:b/>
          <w:sz w:val="24"/>
        </w:rPr>
      </w:pPr>
      <w:r>
        <w:rPr>
          <w:b/>
          <w:sz w:val="24"/>
        </w:rPr>
        <w:t>DA 21-</w:t>
      </w:r>
      <w:r w:rsidR="00335400">
        <w:rPr>
          <w:b/>
          <w:sz w:val="24"/>
        </w:rPr>
        <w:t>1096</w:t>
      </w:r>
    </w:p>
    <w:p w:rsidR="00013A8B" w:rsidRPr="00B20363" w:rsidP="00013A8B" w14:paraId="1416A071" w14:textId="72C39F68">
      <w:pPr>
        <w:spacing w:before="60"/>
        <w:jc w:val="right"/>
        <w:rPr>
          <w:b/>
          <w:sz w:val="24"/>
        </w:rPr>
      </w:pPr>
      <w:r>
        <w:rPr>
          <w:b/>
          <w:sz w:val="24"/>
        </w:rPr>
        <w:t xml:space="preserve">Released:  </w:t>
      </w:r>
      <w:r w:rsidR="005F484C">
        <w:rPr>
          <w:b/>
          <w:sz w:val="24"/>
        </w:rPr>
        <w:t>September 2, 2021</w:t>
      </w:r>
    </w:p>
    <w:p w:rsidR="00013A8B" w:rsidP="00013A8B" w14:paraId="4315D3E9" w14:textId="77777777">
      <w:pPr>
        <w:jc w:val="right"/>
        <w:rPr>
          <w:sz w:val="24"/>
        </w:rPr>
      </w:pPr>
    </w:p>
    <w:p w:rsidR="00013A8B" w:rsidRPr="00B20363" w:rsidP="00013A8B" w14:paraId="376F68B6" w14:textId="056C8DDE">
      <w:pPr>
        <w:spacing w:after="240"/>
        <w:jc w:val="center"/>
        <w:rPr>
          <w:rFonts w:ascii="Times New Roman Bold" w:hAnsi="Times New Roman Bold"/>
          <w:b/>
          <w:caps/>
          <w:sz w:val="24"/>
        </w:rPr>
      </w:pPr>
      <w:r>
        <w:rPr>
          <w:rFonts w:ascii="Times New Roman Bold" w:hAnsi="Times New Roman Bold"/>
          <w:b/>
          <w:sz w:val="24"/>
        </w:rPr>
        <w:t xml:space="preserve">WIRELINE COMPETITION BUREAU SEEKS COMMENT ON </w:t>
      </w:r>
      <w:r>
        <w:rPr>
          <w:rFonts w:ascii="Times New Roman Bold" w:hAnsi="Times New Roman Bold"/>
          <w:b/>
          <w:sz w:val="24"/>
        </w:rPr>
        <w:t>NECA</w:t>
      </w:r>
      <w:r>
        <w:rPr>
          <w:rFonts w:ascii="Times New Roman Bold" w:hAnsi="Times New Roman Bold"/>
          <w:b/>
          <w:sz w:val="24"/>
        </w:rPr>
        <w:t xml:space="preserve"> 2022 MODIFICATION OF THE AVERAGE SCHEDULE COMPANY UNIVERSAL SERVICE </w:t>
      </w:r>
      <w:r>
        <w:rPr>
          <w:rFonts w:ascii="Times New Roman Bold" w:hAnsi="Times New Roman Bold"/>
          <w:b/>
          <w:sz w:val="24"/>
        </w:rPr>
        <w:t>HIGH COST</w:t>
      </w:r>
      <w:r>
        <w:rPr>
          <w:rFonts w:ascii="Times New Roman Bold" w:hAnsi="Times New Roman Bold"/>
          <w:b/>
          <w:sz w:val="24"/>
        </w:rPr>
        <w:t xml:space="preserve"> LOOP SUPPORT FORMULA</w:t>
      </w:r>
    </w:p>
    <w:p w:rsidR="00013A8B" w:rsidP="00013A8B" w14:paraId="4C012F47" w14:textId="3E390FFC">
      <w:pPr>
        <w:jc w:val="center"/>
        <w:rPr>
          <w:b/>
          <w:sz w:val="24"/>
        </w:rPr>
      </w:pPr>
      <w:r>
        <w:rPr>
          <w:b/>
          <w:sz w:val="24"/>
        </w:rPr>
        <w:t>WC Docket Nos. 05-337 and 10-90</w:t>
      </w:r>
    </w:p>
    <w:p w:rsidR="005F484C" w:rsidP="005F484C" w14:paraId="2E2706F2" w14:textId="080E2539">
      <w:pPr>
        <w:rPr>
          <w:b/>
          <w:sz w:val="24"/>
        </w:rPr>
      </w:pPr>
    </w:p>
    <w:p w:rsidR="005F484C" w:rsidP="005F484C" w14:paraId="7E9DCBE2" w14:textId="2CE3FCA3">
      <w:pPr>
        <w:rPr>
          <w:b/>
          <w:szCs w:val="22"/>
        </w:rPr>
      </w:pPr>
      <w:r>
        <w:rPr>
          <w:b/>
          <w:szCs w:val="22"/>
        </w:rPr>
        <w:t xml:space="preserve">Comment Date:  October </w:t>
      </w:r>
      <w:r>
        <w:rPr>
          <w:b/>
          <w:szCs w:val="22"/>
        </w:rPr>
        <w:t>4</w:t>
      </w:r>
      <w:r>
        <w:rPr>
          <w:b/>
          <w:szCs w:val="22"/>
        </w:rPr>
        <w:t>, 2021</w:t>
      </w:r>
    </w:p>
    <w:p w:rsidR="005F484C" w:rsidP="005F484C" w14:paraId="06A392BE" w14:textId="4380C611">
      <w:pPr>
        <w:rPr>
          <w:b/>
          <w:szCs w:val="22"/>
        </w:rPr>
      </w:pPr>
      <w:r>
        <w:rPr>
          <w:b/>
          <w:szCs w:val="22"/>
        </w:rPr>
        <w:t xml:space="preserve">Reply Comment Date: October </w:t>
      </w:r>
      <w:r w:rsidR="00395B7E">
        <w:rPr>
          <w:b/>
          <w:szCs w:val="22"/>
        </w:rPr>
        <w:t>19</w:t>
      </w:r>
      <w:r>
        <w:rPr>
          <w:b/>
          <w:szCs w:val="22"/>
        </w:rPr>
        <w:t>, 2021</w:t>
      </w:r>
    </w:p>
    <w:p w:rsidR="005F484C" w:rsidP="005F484C" w14:paraId="3AC4124C" w14:textId="0EFEC19B">
      <w:pPr>
        <w:rPr>
          <w:b/>
          <w:sz w:val="24"/>
        </w:rPr>
      </w:pPr>
    </w:p>
    <w:p w:rsidR="005F484C" w:rsidP="005F484C" w14:paraId="0DB4ABD8" w14:textId="77777777">
      <w:pPr>
        <w:autoSpaceDE w:val="0"/>
        <w:autoSpaceDN w:val="0"/>
        <w:adjustRightInd w:val="0"/>
        <w:spacing w:after="120"/>
        <w:ind w:firstLine="720"/>
        <w:rPr>
          <w:szCs w:val="22"/>
        </w:rPr>
      </w:pPr>
      <w:r>
        <w:t>On August 27, 2021, the National Exchange Carrier Association, Inc. (</w:t>
      </w:r>
      <w:r>
        <w:t>NECA</w:t>
      </w:r>
      <w:r>
        <w:t xml:space="preserve">) filed its 2022 Modification of the Average Schedule Universal Service </w:t>
      </w:r>
      <w:r>
        <w:t>High Cost</w:t>
      </w:r>
      <w:r>
        <w:t xml:space="preserve"> Loop Support Formula.</w:t>
      </w:r>
      <w:r>
        <w:rPr>
          <w:rStyle w:val="FootnoteReference"/>
        </w:rPr>
        <w:footnoteReference w:id="3"/>
      </w:r>
      <w:r>
        <w:t xml:space="preserve">  The proposed formula, if approved, would take effect on January 1, 2022, and remain in effect through December 31, 2022.  The Wireline Competition Bureau seeks comment on the proposed formula.</w:t>
      </w:r>
    </w:p>
    <w:p w:rsidR="005F484C" w:rsidP="005F484C" w14:paraId="6731464C" w14:textId="77777777">
      <w:pPr>
        <w:autoSpaceDE w:val="0"/>
        <w:autoSpaceDN w:val="0"/>
        <w:adjustRightInd w:val="0"/>
        <w:spacing w:after="120"/>
        <w:ind w:firstLine="720"/>
        <w:rPr>
          <w:szCs w:val="22"/>
        </w:rPr>
      </w:pPr>
      <w:r>
        <w:t>Pursuant to sections 1.415 and 1.419 of the Commission’s rules, interested parties may file comments on or before the dates indicated above.</w:t>
      </w:r>
      <w:r>
        <w:rPr>
          <w:rStyle w:val="FootnoteReference"/>
        </w:rPr>
        <w:footnoteReference w:id="4"/>
      </w:r>
      <w:r>
        <w:t xml:space="preserve">  </w:t>
      </w:r>
      <w:r>
        <w:rPr>
          <w:szCs w:val="22"/>
        </w:rPr>
        <w:t xml:space="preserve">All pleadings are to reference </w:t>
      </w:r>
      <w:r>
        <w:rPr>
          <w:b/>
          <w:szCs w:val="22"/>
        </w:rPr>
        <w:t xml:space="preserve">WC Docket No. 05-337.  </w:t>
      </w:r>
      <w:r>
        <w:t>Comments may be filed using the Commission’s Electronic Comment Filing System (ECFS), or by filing paper copies</w:t>
      </w:r>
      <w:r>
        <w:rPr>
          <w:szCs w:val="22"/>
        </w:rPr>
        <w:t>.</w:t>
      </w:r>
      <w:r>
        <w:rPr>
          <w:rStyle w:val="FootnoteReference"/>
          <w:szCs w:val="22"/>
        </w:rPr>
        <w:footnoteReference w:id="5"/>
      </w:r>
    </w:p>
    <w:p w:rsidR="005F484C" w:rsidRPr="00014C54" w:rsidP="005F484C" w14:paraId="6862C0BA" w14:textId="14683DC2">
      <w:pPr>
        <w:widowControl/>
        <w:numPr>
          <w:ilvl w:val="0"/>
          <w:numId w:val="8"/>
        </w:numPr>
        <w:spacing w:after="120"/>
        <w:rPr>
          <w:szCs w:val="22"/>
        </w:rPr>
      </w:pPr>
      <w:r w:rsidRPr="00014C54">
        <w:rPr>
          <w:szCs w:val="22"/>
        </w:rPr>
        <w:t xml:space="preserve">Electronic Filers:  Comments may be filed electronically using the Internet by accessing the ECFS:  </w:t>
      </w:r>
      <w:hyperlink r:id="rId5" w:history="1">
        <w:r>
          <w:rPr>
            <w:rStyle w:val="Hyperlink"/>
          </w:rPr>
          <w:t>www.fcc.gov/ecfs</w:t>
        </w:r>
      </w:hyperlink>
      <w:r w:rsidRPr="00014C54">
        <w:rPr>
          <w:szCs w:val="22"/>
        </w:rPr>
        <w:t xml:space="preserve">.  </w:t>
      </w:r>
    </w:p>
    <w:p w:rsidR="005F484C" w:rsidRPr="00014C54" w:rsidP="005F484C" w14:paraId="2F8887B9" w14:textId="77777777">
      <w:pPr>
        <w:numPr>
          <w:ilvl w:val="0"/>
          <w:numId w:val="8"/>
        </w:numPr>
        <w:spacing w:after="120"/>
        <w:rPr>
          <w:szCs w:val="22"/>
        </w:rPr>
      </w:pPr>
      <w:r w:rsidRPr="00014C54">
        <w:rPr>
          <w:szCs w:val="22"/>
        </w:rPr>
        <w:t>Paper Filers:  Parties who choose to file by paper must file an original and one copy of each filing.</w:t>
      </w:r>
      <w:r>
        <w:rPr>
          <w:szCs w:val="22"/>
        </w:rPr>
        <w:t xml:space="preserve">  </w:t>
      </w:r>
      <w:r w:rsidRPr="00014C54">
        <w:rPr>
          <w:szCs w:val="22"/>
        </w:rPr>
        <w:t>If more than one docket or rulemaking number appears in the caption of this proceeding, filers must submit two additional copies for each additional docket or rulemaking number.</w:t>
      </w:r>
    </w:p>
    <w:p w:rsidR="005F484C" w:rsidRPr="00014C54" w:rsidP="005F484C" w14:paraId="23CB8A1E" w14:textId="77777777">
      <w:pPr>
        <w:numPr>
          <w:ilvl w:val="0"/>
          <w:numId w:val="8"/>
        </w:numPr>
        <w:spacing w:after="120"/>
        <w:rPr>
          <w:szCs w:val="22"/>
        </w:rPr>
      </w:pPr>
      <w:r w:rsidRPr="00014C54">
        <w:rPr>
          <w:szCs w:val="22"/>
        </w:rPr>
        <w:t>Filings can be sent by commercial overnight courier, or by first-class or overnight U.S. Postal Service mail.</w:t>
      </w:r>
      <w:r>
        <w:rPr>
          <w:szCs w:val="22"/>
        </w:rPr>
        <w:t xml:space="preserve">  </w:t>
      </w:r>
      <w:r w:rsidRPr="00014C54">
        <w:rPr>
          <w:szCs w:val="22"/>
        </w:rPr>
        <w:t>All filings must be addressed to the Commission’s Secretary, Office of the Secretary, Federal Communications Commission.</w:t>
      </w:r>
    </w:p>
    <w:p w:rsidR="005F484C" w:rsidRPr="00014C54" w:rsidP="005F484C" w14:paraId="527E666E" w14:textId="77777777">
      <w:pPr>
        <w:numPr>
          <w:ilvl w:val="0"/>
          <w:numId w:val="8"/>
        </w:numPr>
        <w:spacing w:after="120"/>
        <w:rPr>
          <w:szCs w:val="22"/>
        </w:rPr>
      </w:pPr>
      <w:r w:rsidRPr="00014C54">
        <w:rPr>
          <w:szCs w:val="22"/>
        </w:rPr>
        <w:t>Commercial overnight mail (other than U.S. Postal Service Express Mail and Priority Mail) must be sent to 9050 Junction Drive, Annapolis Junction, MD 20701</w:t>
      </w:r>
      <w:bookmarkStart w:id="0" w:name="_Hlk50023765"/>
      <w:r w:rsidRPr="00014C54">
        <w:rPr>
          <w:szCs w:val="22"/>
        </w:rPr>
        <w:t>.</w:t>
      </w:r>
      <w:r>
        <w:rPr>
          <w:szCs w:val="22"/>
        </w:rPr>
        <w:t xml:space="preserve">  </w:t>
      </w:r>
      <w:r w:rsidRPr="00014C54">
        <w:rPr>
          <w:szCs w:val="22"/>
        </w:rPr>
        <w:t xml:space="preserve">U.S. Postal Service first-class, Express, and Priority mail must be addressed to </w:t>
      </w:r>
      <w:r w:rsidRPr="006816EE">
        <w:rPr>
          <w:color w:val="000000"/>
          <w:szCs w:val="22"/>
        </w:rPr>
        <w:t>45 L Street, NE</w:t>
      </w:r>
      <w:r w:rsidRPr="00014C54">
        <w:rPr>
          <w:szCs w:val="22"/>
        </w:rPr>
        <w:t>, Washington DC  20554</w:t>
      </w:r>
      <w:bookmarkEnd w:id="0"/>
    </w:p>
    <w:p w:rsidR="005F484C" w:rsidRPr="00014C54" w:rsidP="005F484C" w14:paraId="562C7961" w14:textId="77777777">
      <w:pPr>
        <w:widowControl/>
        <w:numPr>
          <w:ilvl w:val="0"/>
          <w:numId w:val="8"/>
        </w:numPr>
        <w:spacing w:after="120"/>
        <w:rPr>
          <w:szCs w:val="22"/>
        </w:rPr>
      </w:pPr>
      <w:r w:rsidRPr="00014C54">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r w:rsidRPr="00014C54">
        <w:rPr>
          <w:szCs w:val="22"/>
        </w:rPr>
        <w:t xml:space="preserve"> </w:t>
      </w:r>
    </w:p>
    <w:p w:rsidR="005F484C" w:rsidP="005F484C" w14:paraId="03395BE7" w14:textId="77777777">
      <w:pPr>
        <w:spacing w:after="120"/>
        <w:ind w:firstLine="360"/>
      </w:pPr>
      <w:r>
        <w:t xml:space="preserve">In addition, we request that one copy of each pleading be sent to each of the following: </w:t>
      </w:r>
    </w:p>
    <w:p w:rsidR="005F484C" w:rsidP="005F484C" w14:paraId="4A876257" w14:textId="289756E4">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Abdel Eqab, Telecommunications Access Policy Division, Wireline Competition Bureau, e-mail: </w:t>
      </w:r>
      <w:hyperlink r:id="rId6" w:history="1">
        <w:r w:rsidRPr="006D76C5">
          <w:rPr>
            <w:rStyle w:val="Hyperlink"/>
            <w:szCs w:val="22"/>
          </w:rPr>
          <w:t>Abdel-Hamid.Eqab@fcc.gov</w:t>
        </w:r>
      </w:hyperlink>
      <w:r w:rsidRPr="005F484C">
        <w:rPr>
          <w:bCs/>
          <w:szCs w:val="22"/>
        </w:rPr>
        <w:t>;</w:t>
      </w:r>
      <w:r>
        <w:rPr>
          <w:b/>
          <w:szCs w:val="22"/>
        </w:rPr>
        <w:t xml:space="preserve"> </w:t>
      </w:r>
      <w:r>
        <w:rPr>
          <w:szCs w:val="22"/>
        </w:rPr>
        <w:t>and</w:t>
      </w:r>
    </w:p>
    <w:p w:rsidR="005F484C" w:rsidP="005F484C" w14:paraId="46D49101" w14:textId="77777777">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Charles Tyler, Telecommunications Access Policy Division, Wireline Competition Bureau, e-mail:  </w:t>
      </w:r>
      <w:hyperlink r:id="rId7" w:history="1"/>
      <w:hyperlink r:id="rId8" w:history="1">
        <w:r w:rsidRPr="005A30CF">
          <w:rPr>
            <w:rStyle w:val="Hyperlink"/>
            <w:szCs w:val="22"/>
          </w:rPr>
          <w:t>Charles.Tyler@fcc.gov</w:t>
        </w:r>
      </w:hyperlink>
      <w:r>
        <w:rPr>
          <w:szCs w:val="22"/>
        </w:rPr>
        <w:t xml:space="preserve">. </w:t>
      </w:r>
    </w:p>
    <w:p w:rsidR="005F484C" w:rsidP="005F484C" w14:paraId="63CBA5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ab/>
      </w:r>
      <w:r>
        <w:rPr>
          <w:szCs w:val="22"/>
          <w:u w:val="single"/>
        </w:rPr>
        <w:t>People with Disabilities</w:t>
      </w:r>
      <w:r>
        <w:rPr>
          <w:szCs w:val="22"/>
        </w:rPr>
        <w:t xml:space="preserve">.  </w:t>
      </w:r>
      <w:r w:rsidRPr="00FE2EBB">
        <w:rPr>
          <w:szCs w:val="22"/>
        </w:rPr>
        <w:t>To request materials in accessible formats for people with disabilities (braille,</w:t>
      </w:r>
      <w:r>
        <w:rPr>
          <w:szCs w:val="22"/>
        </w:rPr>
        <w:t xml:space="preserve"> </w:t>
      </w:r>
      <w:r w:rsidRPr="00FE2EBB">
        <w:rPr>
          <w:szCs w:val="22"/>
        </w:rPr>
        <w:t>large print, electronic files, audio format), send an e-mail to fcc504@fcc.gov, or call the Consumer &amp;</w:t>
      </w:r>
      <w:r>
        <w:rPr>
          <w:szCs w:val="22"/>
        </w:rPr>
        <w:t xml:space="preserve"> </w:t>
      </w:r>
      <w:r w:rsidRPr="00FE2EBB">
        <w:rPr>
          <w:szCs w:val="22"/>
        </w:rPr>
        <w:t>Governmental Affairs Bureau at 202-418-0530 (voice), 202-418-0432 (TTY).</w:t>
      </w:r>
    </w:p>
    <w:p w:rsidR="005F484C" w:rsidP="005F484C" w14:paraId="1692A3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ab/>
      </w:r>
      <w:r>
        <w:rPr>
          <w:szCs w:val="22"/>
          <w:u w:val="single"/>
        </w:rPr>
        <w:t>Availability of Documents</w:t>
      </w:r>
      <w:r>
        <w:rPr>
          <w:szCs w:val="22"/>
        </w:rPr>
        <w:t xml:space="preserve">.  Comments, reply comments, and </w:t>
      </w:r>
      <w:r>
        <w:rPr>
          <w:i/>
          <w:szCs w:val="22"/>
        </w:rPr>
        <w:t xml:space="preserve">ex </w:t>
      </w:r>
      <w:r>
        <w:rPr>
          <w:i/>
          <w:szCs w:val="22"/>
        </w:rPr>
        <w:t>parte</w:t>
      </w:r>
      <w:r>
        <w:rPr>
          <w:szCs w:val="22"/>
        </w:rPr>
        <w:t xml:space="preserve"> submissions will be publicly available online via ECFS.</w:t>
      </w:r>
      <w:r>
        <w:rPr>
          <w:szCs w:val="22"/>
          <w:vertAlign w:val="superscript"/>
        </w:rPr>
        <w:footnoteReference w:id="7"/>
      </w:r>
      <w:r>
        <w:rPr>
          <w:szCs w:val="22"/>
        </w:rPr>
        <w:t xml:space="preserve">  </w:t>
      </w:r>
    </w:p>
    <w:p w:rsidR="005F484C" w:rsidP="005F484C" w14:paraId="1289802F" w14:textId="77777777">
      <w:pPr>
        <w:spacing w:after="120"/>
        <w:ind w:firstLine="720"/>
        <w:rPr>
          <w:szCs w:val="22"/>
        </w:rPr>
      </w:pPr>
      <w:r>
        <w:rPr>
          <w:szCs w:val="22"/>
        </w:rPr>
        <w:t xml:space="preserve">The proceeding this Notice initiates shall be treated as a “permit-but-disclose” proceeding in accordance with the Commission’s </w:t>
      </w:r>
      <w:r>
        <w:rPr>
          <w:i/>
          <w:iCs/>
          <w:szCs w:val="22"/>
        </w:rPr>
        <w:t xml:space="preserve">ex </w:t>
      </w:r>
      <w:r>
        <w:rPr>
          <w:i/>
          <w:iCs/>
          <w:szCs w:val="22"/>
        </w:rPr>
        <w:t>parte</w:t>
      </w:r>
      <w:r>
        <w:rPr>
          <w:i/>
          <w:iCs/>
          <w:szCs w:val="22"/>
        </w:rPr>
        <w:t xml:space="preserve"> </w:t>
      </w:r>
      <w:r>
        <w:rPr>
          <w:szCs w:val="22"/>
        </w:rPr>
        <w:t>rules.</w:t>
      </w:r>
      <w:r>
        <w:rPr>
          <w:rStyle w:val="FootnoteReference"/>
          <w:szCs w:val="22"/>
        </w:rPr>
        <w:footnoteReference w:id="8"/>
      </w:r>
      <w:r>
        <w:rPr>
          <w:szCs w:val="22"/>
        </w:rPr>
        <w:t xml:space="preserve">  Persons making </w:t>
      </w:r>
      <w:r>
        <w:rPr>
          <w:i/>
          <w:szCs w:val="22"/>
        </w:rPr>
        <w:t xml:space="preserve">ex </w:t>
      </w:r>
      <w:r>
        <w:rPr>
          <w:i/>
          <w:szCs w:val="22"/>
        </w:rPr>
        <w:t>parte</w:t>
      </w:r>
      <w:r>
        <w:rPr>
          <w:i/>
          <w:szCs w:val="22"/>
        </w:rPr>
        <w:t xml:space="preserv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w:t>
      </w:r>
      <w:r>
        <w:rPr>
          <w:i/>
          <w:iCs/>
          <w:szCs w:val="22"/>
        </w:rPr>
        <w:t>parte</w:t>
      </w:r>
      <w:r>
        <w:rPr>
          <w:i/>
          <w:iCs/>
          <w:szCs w:val="22"/>
        </w:rPr>
        <w:t xml:space="preserve"> </w:t>
      </w:r>
      <w:r>
        <w:rPr>
          <w:szCs w:val="22"/>
        </w:rPr>
        <w:t xml:space="preserve">presentations are reminded that memoranda summarizing the presentation must (1) list all persons attending or otherwise participating in the meeting at which the </w:t>
      </w:r>
      <w:r>
        <w:rPr>
          <w:i/>
          <w:iCs/>
          <w:szCs w:val="22"/>
        </w:rPr>
        <w:t xml:space="preserve">ex </w:t>
      </w:r>
      <w:r>
        <w:rPr>
          <w:i/>
          <w:iCs/>
          <w:szCs w:val="22"/>
        </w:rPr>
        <w:t>parte</w:t>
      </w:r>
      <w:r>
        <w:rPr>
          <w:i/>
          <w:iCs/>
          <w:szCs w:val="22"/>
        </w:rPr>
        <w:t xml:space="preserv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w:t>
      </w:r>
      <w:r>
        <w:rPr>
          <w:i/>
          <w:iCs/>
          <w:szCs w:val="22"/>
        </w:rPr>
        <w:t>parte</w:t>
      </w:r>
      <w:r>
        <w:rPr>
          <w:i/>
          <w:iCs/>
          <w:szCs w:val="22"/>
        </w:rPr>
        <w:t xml:space="preserve"> </w:t>
      </w:r>
      <w:r>
        <w:rPr>
          <w:szCs w:val="22"/>
        </w:rPr>
        <w:t xml:space="preserve">meetings are deemed to be written </w:t>
      </w:r>
      <w:r>
        <w:rPr>
          <w:i/>
          <w:iCs/>
          <w:szCs w:val="22"/>
        </w:rPr>
        <w:t xml:space="preserve">ex </w:t>
      </w:r>
      <w:r>
        <w:rPr>
          <w:i/>
          <w:iCs/>
          <w:szCs w:val="22"/>
        </w:rPr>
        <w:t>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w:t>
      </w:r>
      <w:r>
        <w:rPr>
          <w:i/>
          <w:iCs/>
          <w:szCs w:val="22"/>
        </w:rPr>
        <w:t>parte</w:t>
      </w:r>
      <w:r>
        <w:rPr>
          <w:i/>
          <w:iCs/>
          <w:szCs w:val="22"/>
        </w:rPr>
        <w:t xml:space="preserve"> </w:t>
      </w:r>
      <w:r>
        <w:rPr>
          <w:szCs w:val="22"/>
        </w:rPr>
        <w:t xml:space="preserve">presentations and memoranda summarizing oral </w:t>
      </w:r>
      <w:r>
        <w:rPr>
          <w:i/>
          <w:iCs/>
          <w:szCs w:val="22"/>
        </w:rPr>
        <w:t xml:space="preserve">ex </w:t>
      </w:r>
      <w:r>
        <w:rPr>
          <w:i/>
          <w:iCs/>
          <w:szCs w:val="22"/>
        </w:rPr>
        <w:t>parte</w:t>
      </w:r>
      <w:r>
        <w:rPr>
          <w:i/>
          <w:iCs/>
          <w:szCs w:val="22"/>
        </w:rPr>
        <w:t xml:space="preserv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w:t>
      </w:r>
      <w:r>
        <w:rPr>
          <w:i/>
          <w:iCs/>
          <w:szCs w:val="22"/>
        </w:rPr>
        <w:t>parte</w:t>
      </w:r>
      <w:r>
        <w:rPr>
          <w:i/>
          <w:iCs/>
          <w:szCs w:val="22"/>
        </w:rPr>
        <w:t xml:space="preserve"> </w:t>
      </w:r>
      <w:r>
        <w:rPr>
          <w:szCs w:val="22"/>
        </w:rPr>
        <w:t>rules.</w:t>
      </w:r>
    </w:p>
    <w:p w:rsidR="005F484C" w:rsidP="005F484C" w14:paraId="40075853" w14:textId="713627D1">
      <w:pPr>
        <w:spacing w:after="120"/>
        <w:ind w:firstLine="720"/>
        <w:rPr>
          <w:szCs w:val="22"/>
        </w:rPr>
      </w:pPr>
      <w:r>
        <w:rPr>
          <w:szCs w:val="22"/>
        </w:rPr>
        <w:t xml:space="preserve">For further information, please contact Abdel Eqab, Telecommunications Access Policy Division, Wireline Competition Bureau at </w:t>
      </w:r>
      <w:hyperlink r:id="rId6" w:history="1">
        <w:r w:rsidRPr="005A30CF">
          <w:rPr>
            <w:rStyle w:val="Hyperlink"/>
            <w:szCs w:val="22"/>
          </w:rPr>
          <w:t>Abdel-Hamid.Eqab@fcc.gov</w:t>
        </w:r>
      </w:hyperlink>
      <w:r>
        <w:rPr>
          <w:szCs w:val="22"/>
        </w:rPr>
        <w:t xml:space="preserve">, </w:t>
      </w:r>
      <w:r>
        <w:rPr>
          <w:szCs w:val="22"/>
        </w:rPr>
        <w:t>(202) 418-7400 or TTY (202) 418-0484.</w:t>
      </w:r>
    </w:p>
    <w:p w:rsidR="005F484C" w:rsidP="005F484C" w14:paraId="74D44C67" w14:textId="77777777">
      <w:pPr>
        <w:spacing w:after="120"/>
        <w:rPr>
          <w:b/>
        </w:rPr>
      </w:pPr>
    </w:p>
    <w:p w:rsidR="005F484C" w:rsidP="005F484C" w14:paraId="5E562289" w14:textId="77777777">
      <w:pPr>
        <w:rPr>
          <w:b/>
          <w:sz w:val="24"/>
        </w:rPr>
      </w:pPr>
    </w:p>
    <w:p w:rsidR="00F96F63" w:rsidRPr="00930ECF" w:rsidP="00F96F63" w14:paraId="647F9D85" w14:textId="77777777">
      <w:pPr>
        <w:rPr>
          <w:sz w:val="24"/>
        </w:rPr>
      </w:pPr>
      <w:bookmarkStart w:id="1" w:name="TOChere"/>
    </w:p>
    <w:bookmarkEnd w:id="1"/>
    <w:p w:rsidR="00930ECF" w:rsidRPr="005F484C" w:rsidP="005F484C" w14:paraId="15F1DB44" w14:textId="32B0BDDD">
      <w:pPr>
        <w:spacing w:after="120"/>
        <w:jc w:val="center"/>
        <w:rPr>
          <w:b/>
          <w:szCs w:val="22"/>
        </w:rPr>
      </w:pPr>
      <w:r>
        <w:rPr>
          <w:b/>
        </w:rPr>
        <w:t>- FCC -</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71E2B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B725D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DBE5D0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A1FC55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484C" w14:paraId="7A7581A3" w14:textId="77777777">
      <w:r>
        <w:separator/>
      </w:r>
    </w:p>
  </w:footnote>
  <w:footnote w:type="continuationSeparator" w:id="1">
    <w:p w:rsidR="005F484C" w14:paraId="2A7CC6F7" w14:textId="77777777">
      <w:pPr>
        <w:rPr>
          <w:sz w:val="20"/>
        </w:rPr>
      </w:pPr>
      <w:r>
        <w:rPr>
          <w:sz w:val="20"/>
        </w:rPr>
        <w:t xml:space="preserve">(Continued from previous page)  </w:t>
      </w:r>
      <w:r>
        <w:rPr>
          <w:sz w:val="20"/>
        </w:rPr>
        <w:separator/>
      </w:r>
    </w:p>
  </w:footnote>
  <w:footnote w:type="continuationNotice" w:id="2">
    <w:p w:rsidR="005F484C" w:rsidP="00910F12" w14:paraId="15D7A15D" w14:textId="77777777">
      <w:pPr>
        <w:jc w:val="right"/>
        <w:rPr>
          <w:sz w:val="20"/>
        </w:rPr>
      </w:pPr>
      <w:r>
        <w:rPr>
          <w:sz w:val="20"/>
        </w:rPr>
        <w:t>(continued….)</w:t>
      </w:r>
    </w:p>
  </w:footnote>
  <w:footnote w:id="3">
    <w:p w:rsidR="005F484C" w:rsidP="005F484C" w14:paraId="0F840CF9" w14:textId="77777777">
      <w:pPr>
        <w:pStyle w:val="FootnoteText"/>
      </w:pPr>
      <w:r>
        <w:rPr>
          <w:rStyle w:val="FootnoteReference"/>
        </w:rPr>
        <w:footnoteRef/>
      </w:r>
      <w:r>
        <w:t xml:space="preserve"> </w:t>
      </w:r>
      <w:r>
        <w:t>NECA</w:t>
      </w:r>
      <w:r>
        <w:t xml:space="preserve"> 2022 Modification of the Average Schedule Universal Service High-Cost Loop Support Formula, WC Docket No. 05-337 (filed Aug. 27, 2021). </w:t>
      </w:r>
    </w:p>
  </w:footnote>
  <w:footnote w:id="4">
    <w:p w:rsidR="005F484C" w:rsidP="005F484C" w14:paraId="57F2622E" w14:textId="77777777">
      <w:pPr>
        <w:pStyle w:val="FootnoteText"/>
      </w:pPr>
      <w:r>
        <w:rPr>
          <w:rStyle w:val="FootnoteReference"/>
        </w:rPr>
        <w:footnoteRef/>
      </w:r>
      <w:r>
        <w:t xml:space="preserve"> 47 CFR §§ 1.415, 1.419.</w:t>
      </w:r>
    </w:p>
  </w:footnote>
  <w:footnote w:id="5">
    <w:p w:rsidR="005F484C" w:rsidP="005F484C" w14:paraId="08AD619F" w14:textId="77777777">
      <w:pPr>
        <w:pStyle w:val="FootnoteText"/>
      </w:pPr>
      <w:r>
        <w:rPr>
          <w:rStyle w:val="FootnoteReference"/>
        </w:rPr>
        <w:footnoteRef/>
      </w:r>
      <w:r>
        <w:t xml:space="preserve"> </w:t>
      </w:r>
      <w:r>
        <w:rPr>
          <w:i/>
        </w:rPr>
        <w:t>See Electronic Filing of Documents in Rulemaking Proceedings</w:t>
      </w:r>
      <w:r>
        <w:t xml:space="preserve">, GC Docket No. 97-113, Report and Order, 13 FCC </w:t>
      </w:r>
      <w:r>
        <w:t>Rcd</w:t>
      </w:r>
      <w:r>
        <w:t xml:space="preserve"> 11322 (1998).</w:t>
      </w:r>
    </w:p>
  </w:footnote>
  <w:footnote w:id="6">
    <w:p w:rsidR="005F484C" w:rsidP="005F484C" w14:paraId="7E86BB3E" w14:textId="77777777">
      <w:pPr>
        <w:pStyle w:val="FootnoteText"/>
      </w:pPr>
      <w:r>
        <w:rPr>
          <w:rStyle w:val="FootnoteReference"/>
        </w:rPr>
        <w:footnoteRef/>
      </w:r>
      <w:r>
        <w:t xml:space="preserve"> </w:t>
      </w:r>
      <w:r w:rsidRPr="0026394F">
        <w:rPr>
          <w:i/>
          <w:iCs/>
        </w:rPr>
        <w:t>See</w:t>
      </w:r>
      <w:r w:rsidRPr="0026394F">
        <w:t xml:space="preserve"> </w:t>
      </w:r>
      <w:r w:rsidRPr="0026394F">
        <w:rPr>
          <w:i/>
          <w:iCs/>
        </w:rPr>
        <w:t>FCC Announces Closure of FCC Headquarters Open Window and Change in Hand-Delivery Policy</w:t>
      </w:r>
      <w:r w:rsidRPr="0026394F">
        <w:t>, Public Notice,</w:t>
      </w:r>
      <w:r>
        <w:t xml:space="preserve"> </w:t>
      </w:r>
      <w:r w:rsidRPr="0026394F">
        <w:t xml:space="preserve">35 FCC </w:t>
      </w:r>
      <w:r w:rsidRPr="0026394F">
        <w:t>Rcd</w:t>
      </w:r>
      <w:r w:rsidRPr="0026394F">
        <w:t xml:space="preserve"> 2788 (Mar</w:t>
      </w:r>
      <w:r>
        <w:t>.</w:t>
      </w:r>
      <w:r w:rsidRPr="0026394F">
        <w:t xml:space="preserve"> 19, 2020).</w:t>
      </w:r>
    </w:p>
  </w:footnote>
  <w:footnote w:id="7">
    <w:p w:rsidR="005F484C" w:rsidP="005F484C" w14:paraId="11CA395B" w14:textId="77777777">
      <w:pPr>
        <w:pStyle w:val="FootnoteText"/>
      </w:pPr>
      <w:r>
        <w:rPr>
          <w:rStyle w:val="FootnoteReference"/>
        </w:rPr>
        <w:footnoteRef/>
      </w:r>
      <w:r>
        <w:t xml:space="preserve"> Documents will generally be available electronically in ASCII, Microsoft Word, and/or Adobe Acrobat.</w:t>
      </w:r>
    </w:p>
  </w:footnote>
  <w:footnote w:id="8">
    <w:p w:rsidR="005F484C" w:rsidP="005F484C" w14:paraId="1607070B" w14:textId="77777777">
      <w:pPr>
        <w:pStyle w:val="FootnoteText"/>
        <w:rPr>
          <w:i/>
          <w:iCs/>
        </w:rPr>
      </w:pPr>
      <w:r>
        <w:rPr>
          <w:rStyle w:val="FootnoteReference"/>
        </w:rPr>
        <w:footnoteRef/>
      </w:r>
      <w:r>
        <w:t xml:space="preserve"> 47 CFR §§ 1.1200 </w:t>
      </w:r>
      <w:r>
        <w:rPr>
          <w:i/>
          <w:iCs/>
        </w:rPr>
        <w:t>et seq.</w:t>
      </w:r>
    </w:p>
    <w:p w:rsidR="005F484C" w:rsidP="005F484C" w14:paraId="26A5E034" w14:textId="7777777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4843EEF" w14:textId="39B2BA6A">
    <w:pPr>
      <w:tabs>
        <w:tab w:val="center" w:pos="4680"/>
        <w:tab w:val="right" w:pos="9360"/>
      </w:tabs>
    </w:pPr>
    <w:r w:rsidRPr="009838BC">
      <w:rPr>
        <w:b/>
      </w:rPr>
      <w:tab/>
      <w:t>Federal Communications Commission</w:t>
    </w:r>
    <w:r w:rsidRPr="009838BC">
      <w:rPr>
        <w:b/>
      </w:rPr>
      <w:tab/>
    </w:r>
    <w:r w:rsidR="005F484C">
      <w:rPr>
        <w:b/>
      </w:rPr>
      <w:t>DA 21-</w:t>
    </w:r>
    <w:r w:rsidR="00335400">
      <w:rPr>
        <w:b/>
      </w:rPr>
      <w:t>1096</w:t>
    </w:r>
  </w:p>
  <w:p w:rsidR="009838BC" w:rsidRPr="009838BC" w:rsidP="009838BC" w14:paraId="606F0BD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F275AE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BF5109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F1EE9E9" w14:textId="77777777">
                <w:pPr>
                  <w:rPr>
                    <w:rFonts w:ascii="Arial" w:hAnsi="Arial"/>
                    <w:b/>
                    <w:snapToGrid/>
                  </w:rPr>
                </w:pPr>
                <w:r>
                  <w:rPr>
                    <w:rFonts w:ascii="Arial" w:hAnsi="Arial"/>
                    <w:b/>
                  </w:rPr>
                  <w:t>Federal Communications Commission</w:t>
                </w:r>
              </w:p>
              <w:p w:rsidR="00DE0AB8" w:rsidP="00DE0AB8" w14:paraId="600091CB" w14:textId="77777777">
                <w:pPr>
                  <w:rPr>
                    <w:rFonts w:ascii="Arial" w:hAnsi="Arial"/>
                    <w:b/>
                  </w:rPr>
                </w:pPr>
                <w:r>
                  <w:rPr>
                    <w:rFonts w:ascii="Arial" w:hAnsi="Arial"/>
                    <w:b/>
                  </w:rPr>
                  <w:t>45 L Street NE</w:t>
                </w:r>
              </w:p>
              <w:p w:rsidR="009838BC" w:rsidP="00DE0AB8" w14:paraId="10E6063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38ADA4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6732201" w14:textId="77777777">
                <w:pPr>
                  <w:spacing w:before="40"/>
                  <w:jc w:val="right"/>
                  <w:rPr>
                    <w:rFonts w:ascii="Arial" w:hAnsi="Arial"/>
                    <w:b/>
                    <w:sz w:val="16"/>
                  </w:rPr>
                </w:pPr>
                <w:r>
                  <w:rPr>
                    <w:rFonts w:ascii="Arial" w:hAnsi="Arial"/>
                    <w:b/>
                    <w:sz w:val="16"/>
                  </w:rPr>
                  <w:t>News Media Information 202 / 418-0500</w:t>
                </w:r>
              </w:p>
              <w:p w:rsidR="009838BC" w:rsidP="009838BC" w14:paraId="29EC3DA8"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7061FD5" w14:textId="77777777">
                <w:pPr>
                  <w:jc w:val="right"/>
                </w:pPr>
                <w:r>
                  <w:rPr>
                    <w:rFonts w:ascii="Arial" w:hAnsi="Arial"/>
                    <w:b/>
                    <w:sz w:val="16"/>
                  </w:rPr>
                  <w:t>TTY: 1-888-835-5322</w:t>
                </w:r>
              </w:p>
            </w:txbxContent>
          </v:textbox>
        </v:shape>
      </w:pict>
    </w:r>
  </w:p>
  <w:p w:rsidR="006F7393" w:rsidRPr="009838BC" w:rsidP="009838BC" w14:paraId="30E3E88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00600C"/>
    <w:multiLevelType w:val="hybridMultilevel"/>
    <w:tmpl w:val="1D083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ECA7DF0"/>
    <w:multiLevelType w:val="singleLevel"/>
    <w:tmpl w:val="47CCC0D4"/>
    <w:lvl w:ilvl="0">
      <w:start w:val="1"/>
      <w:numFmt w:val="decimal"/>
      <w:lvlText w:val="(%1)"/>
      <w:lvlJc w:val="left"/>
      <w:pPr>
        <w:tabs>
          <w:tab w:val="num" w:pos="900"/>
        </w:tabs>
        <w:ind w:left="900" w:hanging="360"/>
      </w:pPr>
      <w:rPr>
        <w:rFont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4C"/>
    <w:rsid w:val="000072CE"/>
    <w:rsid w:val="00013A8B"/>
    <w:rsid w:val="00014C54"/>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6394F"/>
    <w:rsid w:val="00285017"/>
    <w:rsid w:val="002A2D2E"/>
    <w:rsid w:val="00335400"/>
    <w:rsid w:val="00343749"/>
    <w:rsid w:val="00357D50"/>
    <w:rsid w:val="003925DC"/>
    <w:rsid w:val="00395B7E"/>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A30CF"/>
    <w:rsid w:val="005F484C"/>
    <w:rsid w:val="00607BA5"/>
    <w:rsid w:val="00626EB6"/>
    <w:rsid w:val="006353A3"/>
    <w:rsid w:val="00655D03"/>
    <w:rsid w:val="006816EE"/>
    <w:rsid w:val="00683F84"/>
    <w:rsid w:val="006A6A81"/>
    <w:rsid w:val="006D76C5"/>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0FE2E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92F3AB"/>
  <w15:chartTrackingRefBased/>
  <w15:docId w15:val="{F661DE73-F655-43D7-BC68-034F0C6B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5F484C"/>
  </w:style>
  <w:style w:type="character" w:customStyle="1" w:styleId="UnresolvedMention">
    <w:name w:val="Unresolved Mention"/>
    <w:basedOn w:val="DefaultParagraphFont"/>
    <w:uiPriority w:val="99"/>
    <w:semiHidden/>
    <w:unhideWhenUsed/>
    <w:rsid w:val="005F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Abdel-Hamid.Eqab@fcc.gov" TargetMode="External" /><Relationship Id="rId7" Type="http://schemas.openxmlformats.org/officeDocument/2006/relationships/hyperlink" Target="mailto:" TargetMode="External" /><Relationship Id="rId8" Type="http://schemas.openxmlformats.org/officeDocument/2006/relationships/hyperlink" Target="mailto:Charles.Tyl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