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61E5" w14:paraId="754067B9" w14:textId="77777777">
      <w:pPr>
        <w:jc w:val="right"/>
        <w:rPr>
          <w:sz w:val="24"/>
        </w:rPr>
      </w:pPr>
    </w:p>
    <w:p w:rsidR="003161E5" w14:paraId="75F464C0" w14:textId="306ABC18">
      <w:pPr>
        <w:jc w:val="right"/>
        <w:rPr>
          <w:b/>
          <w:sz w:val="24"/>
        </w:rPr>
      </w:pPr>
      <w:r>
        <w:rPr>
          <w:b/>
          <w:sz w:val="24"/>
        </w:rPr>
        <w:t>DA 21-1058</w:t>
      </w:r>
    </w:p>
    <w:p w:rsidR="003161E5" w14:paraId="3BCA2378" w14:textId="2E95DF08">
      <w:pPr>
        <w:spacing w:before="60"/>
        <w:jc w:val="right"/>
        <w:rPr>
          <w:b/>
          <w:sz w:val="24"/>
        </w:rPr>
      </w:pPr>
      <w:r>
        <w:rPr>
          <w:b/>
          <w:sz w:val="24"/>
        </w:rPr>
        <w:t xml:space="preserve">Released:  </w:t>
      </w:r>
      <w:r w:rsidR="004174E7">
        <w:rPr>
          <w:b/>
          <w:sz w:val="24"/>
        </w:rPr>
        <w:t>August 27, 2021</w:t>
      </w:r>
    </w:p>
    <w:p w:rsidR="003161E5" w14:paraId="54BF8709" w14:textId="77777777">
      <w:pPr>
        <w:jc w:val="right"/>
        <w:rPr>
          <w:sz w:val="24"/>
        </w:rPr>
      </w:pPr>
    </w:p>
    <w:p w:rsidR="003161E5" w14:paraId="52AC594F" w14:textId="4C61C392">
      <w:pPr>
        <w:spacing w:after="240"/>
        <w:jc w:val="center"/>
        <w:rPr>
          <w:rFonts w:ascii="Times New Roman Bold" w:hAnsi="Times New Roman Bold"/>
          <w:b/>
          <w:caps/>
          <w:sz w:val="24"/>
        </w:rPr>
      </w:pPr>
      <w:r>
        <w:rPr>
          <w:rFonts w:ascii="Times New Roman Bold" w:hAnsi="Times New Roman Bold"/>
          <w:b/>
          <w:caps/>
          <w:sz w:val="24"/>
        </w:rPr>
        <w:t xml:space="preserve">REQUEST FOR COMMENT and </w:t>
      </w:r>
      <w:r w:rsidR="00CC3168">
        <w:rPr>
          <w:rFonts w:ascii="Times New Roman Bold" w:hAnsi="Times New Roman Bold"/>
          <w:b/>
          <w:caps/>
          <w:sz w:val="24"/>
        </w:rPr>
        <w:t xml:space="preserve">procedures for obtaining confidential </w:t>
      </w:r>
      <w:r w:rsidR="004568BF">
        <w:rPr>
          <w:rFonts w:ascii="Times New Roman Bold" w:hAnsi="Times New Roman Bold"/>
          <w:b/>
          <w:caps/>
          <w:sz w:val="24"/>
        </w:rPr>
        <w:t xml:space="preserve">stage 2 </w:t>
      </w:r>
      <w:r w:rsidR="00CC3168">
        <w:rPr>
          <w:rFonts w:ascii="Times New Roman Bold" w:hAnsi="Times New Roman Bold"/>
          <w:b/>
          <w:caps/>
          <w:sz w:val="24"/>
        </w:rPr>
        <w:t>information</w:t>
      </w:r>
      <w:r w:rsidR="0004104C">
        <w:rPr>
          <w:rFonts w:ascii="Times New Roman Bold" w:hAnsi="Times New Roman Bold"/>
          <w:b/>
          <w:caps/>
          <w:sz w:val="24"/>
        </w:rPr>
        <w:t xml:space="preserve"> related to </w:t>
      </w:r>
      <w:r w:rsidR="00237DF7">
        <w:rPr>
          <w:rFonts w:ascii="Times New Roman Bold" w:hAnsi="Times New Roman Bold"/>
          <w:b/>
          <w:caps/>
          <w:sz w:val="24"/>
        </w:rPr>
        <w:t xml:space="preserve">application for </w:t>
      </w:r>
      <w:r w:rsidR="004568BF">
        <w:rPr>
          <w:rFonts w:ascii="Times New Roman Bold" w:hAnsi="Times New Roman Bold"/>
          <w:b/>
          <w:caps/>
          <w:sz w:val="24"/>
        </w:rPr>
        <w:t xml:space="preserve">review by </w:t>
      </w:r>
      <w:r w:rsidR="00237DF7">
        <w:rPr>
          <w:rFonts w:ascii="Times New Roman Bold" w:hAnsi="Times New Roman Bold"/>
          <w:b/>
          <w:caps/>
          <w:sz w:val="24"/>
        </w:rPr>
        <w:t>puerto rico telephone co</w:t>
      </w:r>
      <w:r w:rsidR="004568BF">
        <w:rPr>
          <w:rFonts w:ascii="Times New Roman Bold" w:hAnsi="Times New Roman Bold"/>
          <w:b/>
          <w:caps/>
          <w:sz w:val="24"/>
        </w:rPr>
        <w:t>mpany</w:t>
      </w:r>
      <w:r w:rsidR="0068724E">
        <w:rPr>
          <w:rFonts w:ascii="Times New Roman Bold" w:hAnsi="Times New Roman Bold"/>
          <w:b/>
          <w:caps/>
          <w:sz w:val="24"/>
        </w:rPr>
        <w:t xml:space="preserve"> </w:t>
      </w:r>
    </w:p>
    <w:p w:rsidR="003161E5" w14:paraId="29A8232C" w14:textId="1429CBA7">
      <w:pPr>
        <w:jc w:val="center"/>
        <w:rPr>
          <w:b/>
          <w:sz w:val="24"/>
        </w:rPr>
      </w:pPr>
      <w:r>
        <w:rPr>
          <w:b/>
          <w:sz w:val="24"/>
        </w:rPr>
        <w:t>WC Docket No</w:t>
      </w:r>
      <w:r w:rsidR="00757701">
        <w:rPr>
          <w:b/>
          <w:sz w:val="24"/>
        </w:rPr>
        <w:t>s</w:t>
      </w:r>
      <w:r>
        <w:rPr>
          <w:b/>
          <w:sz w:val="24"/>
        </w:rPr>
        <w:t>. 18-143</w:t>
      </w:r>
      <w:r w:rsidR="00757701">
        <w:rPr>
          <w:b/>
          <w:sz w:val="24"/>
        </w:rPr>
        <w:t>, 10-90</w:t>
      </w:r>
    </w:p>
    <w:p w:rsidR="003161E5" w14:paraId="6076E3F6" w14:textId="195D6D73">
      <w:bookmarkStart w:id="0" w:name="TOChere"/>
    </w:p>
    <w:p w:rsidR="00E47171" w:rsidRPr="0081525D" w:rsidP="00E47171" w14:paraId="20493480" w14:textId="6A2EF69F">
      <w:pPr>
        <w:rPr>
          <w:b/>
          <w:bCs/>
        </w:rPr>
      </w:pPr>
      <w:r>
        <w:rPr>
          <w:b/>
          <w:bCs/>
        </w:rPr>
        <w:t>Oppositions Due</w:t>
      </w:r>
      <w:r w:rsidRPr="0081525D">
        <w:rPr>
          <w:b/>
          <w:bCs/>
        </w:rPr>
        <w:t xml:space="preserve"> Date:  September </w:t>
      </w:r>
      <w:r w:rsidRPr="009E0EB7">
        <w:rPr>
          <w:b/>
          <w:bCs/>
        </w:rPr>
        <w:t>1</w:t>
      </w:r>
      <w:r w:rsidRPr="009E0EB7" w:rsidR="005B6871">
        <w:rPr>
          <w:b/>
          <w:bCs/>
        </w:rPr>
        <w:t>3</w:t>
      </w:r>
      <w:r w:rsidRPr="0081525D">
        <w:rPr>
          <w:b/>
          <w:bCs/>
        </w:rPr>
        <w:t>, 2021</w:t>
      </w:r>
    </w:p>
    <w:p w:rsidR="00E47171" w:rsidP="00E47171" w14:paraId="336FC980" w14:textId="74105078">
      <w:r w:rsidRPr="0081525D">
        <w:rPr>
          <w:b/>
          <w:bCs/>
        </w:rPr>
        <w:t>Repl</w:t>
      </w:r>
      <w:r>
        <w:rPr>
          <w:b/>
          <w:bCs/>
        </w:rPr>
        <w:t>ies</w:t>
      </w:r>
      <w:r w:rsidRPr="0081525D">
        <w:rPr>
          <w:b/>
          <w:bCs/>
        </w:rPr>
        <w:t xml:space="preserve"> </w:t>
      </w:r>
      <w:r>
        <w:rPr>
          <w:b/>
          <w:bCs/>
        </w:rPr>
        <w:t>to Oppositions Due</w:t>
      </w:r>
      <w:r w:rsidRPr="0081525D">
        <w:rPr>
          <w:b/>
          <w:bCs/>
        </w:rPr>
        <w:t xml:space="preserve"> Date:  September </w:t>
      </w:r>
      <w:r w:rsidRPr="009E0EB7">
        <w:rPr>
          <w:b/>
          <w:bCs/>
        </w:rPr>
        <w:t>2</w:t>
      </w:r>
      <w:r w:rsidRPr="009E0EB7" w:rsidR="0053107D">
        <w:rPr>
          <w:b/>
          <w:bCs/>
        </w:rPr>
        <w:t>3</w:t>
      </w:r>
      <w:r w:rsidRPr="0081525D">
        <w:rPr>
          <w:b/>
          <w:bCs/>
        </w:rPr>
        <w:t>, 2021</w:t>
      </w:r>
    </w:p>
    <w:p w:rsidR="00E47171" w14:paraId="303C9C69" w14:textId="77777777"/>
    <w:bookmarkEnd w:id="0"/>
    <w:p w:rsidR="00E86D6C" w:rsidP="00847ED7" w14:paraId="4C14510C" w14:textId="2437ECFF">
      <w:pPr>
        <w:spacing w:after="240"/>
      </w:pPr>
      <w:r>
        <w:tab/>
      </w:r>
      <w:r w:rsidR="006D6E9A">
        <w:t>By t</w:t>
      </w:r>
      <w:r w:rsidR="002B3DFB">
        <w:t>his Public Notice</w:t>
      </w:r>
      <w:r w:rsidR="006D6E9A">
        <w:t xml:space="preserve">, the Wireline Competition Bureau (Bureau) </w:t>
      </w:r>
      <w:r w:rsidR="002B3DFB">
        <w:t xml:space="preserve">seeks comments on the </w:t>
      </w:r>
      <w:r w:rsidR="006D6E9A">
        <w:t>Application for Review filed by Puerto Rico Telephone Company, Inc. (PRTC)</w:t>
      </w:r>
      <w:r w:rsidR="002B3DFB">
        <w:t xml:space="preserve"> regarding the selection of Liberty Communications of Puerto Rico, Inc. (Liberty) as the winning applicant in certain </w:t>
      </w:r>
      <w:r w:rsidR="002B3DFB">
        <w:t>municipios</w:t>
      </w:r>
      <w:r w:rsidR="00035224">
        <w:t xml:space="preserve"> following the Stage 2 competitive process</w:t>
      </w:r>
      <w:r w:rsidR="00151F74">
        <w:t xml:space="preserve"> of the Bringing Puerto Rico Together Fund.</w:t>
      </w:r>
      <w:r>
        <w:rPr>
          <w:rStyle w:val="FootnoteReference"/>
        </w:rPr>
        <w:footnoteReference w:id="3"/>
      </w:r>
      <w:r w:rsidR="00151F74">
        <w:t xml:space="preserve"> </w:t>
      </w:r>
      <w:r w:rsidR="00EB766A">
        <w:t xml:space="preserve"> </w:t>
      </w:r>
      <w:r w:rsidR="002B3DFB">
        <w:t xml:space="preserve">In addition, </w:t>
      </w:r>
      <w:r w:rsidR="00151F74">
        <w:t>t</w:t>
      </w:r>
      <w:r>
        <w:t>his Public Notice describes the process necessary for</w:t>
      </w:r>
      <w:r w:rsidR="00935CA6">
        <w:t xml:space="preserve"> stakeholders</w:t>
      </w:r>
      <w:r>
        <w:t xml:space="preserve"> to obtain access to </w:t>
      </w:r>
      <w:r w:rsidR="001355EE">
        <w:t xml:space="preserve">highly </w:t>
      </w:r>
      <w:r>
        <w:t>confidential</w:t>
      </w:r>
      <w:r w:rsidR="001355EE">
        <w:t xml:space="preserve"> and confidential information provided </w:t>
      </w:r>
      <w:r w:rsidR="00EB766A">
        <w:t>in</w:t>
      </w:r>
      <w:r w:rsidR="003F5E27">
        <w:t xml:space="preserve"> the Application for Review</w:t>
      </w:r>
      <w:r w:rsidR="00635A2D">
        <w:t>.</w:t>
      </w:r>
      <w:r>
        <w:rPr>
          <w:rStyle w:val="FootnoteReference"/>
        </w:rPr>
        <w:footnoteReference w:id="4"/>
      </w:r>
      <w:r w:rsidR="00953DCD">
        <w:t xml:space="preserve">  </w:t>
      </w:r>
    </w:p>
    <w:p w:rsidR="00330BCD" w:rsidP="00847ED7" w14:paraId="6BCBA996" w14:textId="263D6D45">
      <w:pPr>
        <w:spacing w:after="240"/>
      </w:pPr>
      <w:r>
        <w:tab/>
      </w:r>
      <w:r w:rsidR="008236A1">
        <w:t xml:space="preserve">For the Stage 2 competitive process, the </w:t>
      </w:r>
      <w:r w:rsidR="008D554D">
        <w:t>Bureau</w:t>
      </w:r>
      <w:r w:rsidR="008236A1">
        <w:t xml:space="preserve"> required applicants to submit FCC Form 563</w:t>
      </w:r>
      <w:r w:rsidR="00256520">
        <w:t>4</w:t>
      </w:r>
      <w:r w:rsidR="00314550">
        <w:t xml:space="preserve"> along with other information demonstrating that </w:t>
      </w:r>
      <w:r w:rsidR="003815C0">
        <w:t>the applicants were financially and technically qualified to meet the</w:t>
      </w:r>
      <w:r w:rsidR="00E45385">
        <w:t xml:space="preserve"> Commission’s</w:t>
      </w:r>
      <w:r w:rsidR="003815C0">
        <w:t xml:space="preserve"> requirements </w:t>
      </w:r>
      <w:r w:rsidR="00E45385">
        <w:t>to</w:t>
      </w:r>
      <w:r w:rsidRPr="00132163" w:rsidR="000328D6">
        <w:t xml:space="preserve"> promote the deployment of advanced, hardened networks</w:t>
      </w:r>
      <w:r w:rsidR="00A07F70">
        <w:t xml:space="preserve"> in Puerto Rico.</w:t>
      </w:r>
      <w:r>
        <w:rPr>
          <w:rStyle w:val="FootnoteReference"/>
        </w:rPr>
        <w:footnoteReference w:id="5"/>
      </w:r>
      <w:r w:rsidR="004C420E">
        <w:t xml:space="preserve">  As directed by the Commission, the </w:t>
      </w:r>
      <w:r w:rsidR="009B38CB">
        <w:t xml:space="preserve">Bureau </w:t>
      </w:r>
      <w:r w:rsidR="004C420E">
        <w:t xml:space="preserve">scored </w:t>
      </w:r>
      <w:r w:rsidR="00831CA2">
        <w:t xml:space="preserve">applicants’ proposals </w:t>
      </w:r>
      <w:r w:rsidRPr="00132163" w:rsidR="00831CA2">
        <w:t xml:space="preserve">based on a 270-point scale </w:t>
      </w:r>
      <w:r w:rsidR="00831CA2">
        <w:t>for</w:t>
      </w:r>
      <w:r w:rsidRPr="00132163" w:rsidR="00831CA2">
        <w:t xml:space="preserve"> (1) price; (2) network performance, including speed, latency, and usage allowance; and (3) resilience and redundancy.</w:t>
      </w:r>
      <w:r>
        <w:rPr>
          <w:vertAlign w:val="superscript"/>
        </w:rPr>
        <w:footnoteReference w:id="6"/>
      </w:r>
      <w:r w:rsidR="00035E62">
        <w:t xml:space="preserve">  </w:t>
      </w:r>
      <w:r w:rsidR="00186557">
        <w:t>The Bureau selected t</w:t>
      </w:r>
      <w:r w:rsidR="00035E62">
        <w:t xml:space="preserve">he applicant with the lowest overall score </w:t>
      </w:r>
      <w:r w:rsidR="00CB77FE">
        <w:t>as the winning applicant</w:t>
      </w:r>
      <w:r w:rsidR="008D554D">
        <w:t xml:space="preserve"> for each </w:t>
      </w:r>
      <w:r w:rsidR="008D554D">
        <w:t>municipio</w:t>
      </w:r>
      <w:r w:rsidR="00CB77FE">
        <w:t>.</w:t>
      </w:r>
      <w:r>
        <w:rPr>
          <w:vertAlign w:val="superscript"/>
        </w:rPr>
        <w:footnoteReference w:id="7"/>
      </w:r>
    </w:p>
    <w:p w:rsidR="00F234F8" w:rsidP="00611490" w14:paraId="5A8062B5" w14:textId="469A0E52">
      <w:pPr>
        <w:spacing w:after="240"/>
        <w:ind w:firstLine="720"/>
        <w:rPr>
          <w:szCs w:val="22"/>
        </w:rPr>
      </w:pPr>
      <w:r>
        <w:t xml:space="preserve">Certain application information submitted by the parties as part of the Stage 2 competitive process </w:t>
      </w:r>
      <w:r w:rsidR="003E78BE">
        <w:t>may be</w:t>
      </w:r>
      <w:r>
        <w:t xml:space="preserve"> relevant and material to the issues raised and constitute the record on which the Commission must evaluate PRTC’s </w:t>
      </w:r>
      <w:r w:rsidR="009B3562">
        <w:t>A</w:t>
      </w:r>
      <w:r w:rsidR="00BC691D">
        <w:t>pplication for Review</w:t>
      </w:r>
      <w:r>
        <w:t>.</w:t>
      </w:r>
      <w:r w:rsidRPr="00883B80">
        <w:rPr>
          <w:szCs w:val="22"/>
        </w:rPr>
        <w:t xml:space="preserve"> </w:t>
      </w:r>
      <w:r w:rsidR="004174E7">
        <w:rPr>
          <w:szCs w:val="22"/>
        </w:rPr>
        <w:t xml:space="preserve"> </w:t>
      </w:r>
      <w:r w:rsidRPr="00883B80">
        <w:t xml:space="preserve">While we are mindful of the sensitive nature of some of the information involved, we are also mindful of the general right of affected </w:t>
      </w:r>
      <w:r w:rsidR="00E175C6">
        <w:t>a</w:t>
      </w:r>
      <w:r>
        <w:t xml:space="preserve">pplicants and </w:t>
      </w:r>
      <w:r w:rsidR="00F75AE7">
        <w:t>stakeholders</w:t>
      </w:r>
      <w:r w:rsidRPr="00883B80">
        <w:t>, and of our desire for such parties to meaningfully participate in this proceeding.</w:t>
      </w:r>
      <w:r w:rsidR="000913E1">
        <w:t xml:space="preserve">  </w:t>
      </w:r>
      <w:r>
        <w:rPr>
          <w:szCs w:val="22"/>
        </w:rPr>
        <w:t xml:space="preserve">We </w:t>
      </w:r>
      <w:r>
        <w:rPr>
          <w:szCs w:val="22"/>
        </w:rPr>
        <w:t xml:space="preserve">therefore provide </w:t>
      </w:r>
      <w:r w:rsidR="0043570E">
        <w:rPr>
          <w:szCs w:val="22"/>
        </w:rPr>
        <w:t>in the Protective Order and A</w:t>
      </w:r>
      <w:r w:rsidR="007F7BB3">
        <w:rPr>
          <w:szCs w:val="22"/>
        </w:rPr>
        <w:t xml:space="preserve">cknowledgment of Confidentiality, which are concurrently released with this Public Notice, </w:t>
      </w:r>
      <w:r>
        <w:rPr>
          <w:szCs w:val="22"/>
        </w:rPr>
        <w:t xml:space="preserve">guidance regarding </w:t>
      </w:r>
      <w:r w:rsidRPr="00350C7D">
        <w:rPr>
          <w:szCs w:val="22"/>
        </w:rPr>
        <w:t>the procedure</w:t>
      </w:r>
      <w:r w:rsidR="00BD716A">
        <w:rPr>
          <w:szCs w:val="22"/>
        </w:rPr>
        <w:t xml:space="preserve"> </w:t>
      </w:r>
      <w:r w:rsidR="00F75AE7">
        <w:rPr>
          <w:szCs w:val="22"/>
        </w:rPr>
        <w:t>stakeholders</w:t>
      </w:r>
      <w:r w:rsidR="00A10951">
        <w:rPr>
          <w:szCs w:val="22"/>
        </w:rPr>
        <w:t xml:space="preserve"> must follow to seek</w:t>
      </w:r>
      <w:r w:rsidRPr="00350C7D">
        <w:rPr>
          <w:szCs w:val="22"/>
        </w:rPr>
        <w:t xml:space="preserve"> access to </w:t>
      </w:r>
      <w:r w:rsidR="00A10951">
        <w:rPr>
          <w:szCs w:val="22"/>
        </w:rPr>
        <w:t xml:space="preserve">highly </w:t>
      </w:r>
      <w:r w:rsidRPr="00350C7D">
        <w:rPr>
          <w:szCs w:val="22"/>
        </w:rPr>
        <w:t>confidential</w:t>
      </w:r>
      <w:r w:rsidR="00A10951">
        <w:rPr>
          <w:szCs w:val="22"/>
        </w:rPr>
        <w:t xml:space="preserve"> and confidential application</w:t>
      </w:r>
      <w:r w:rsidRPr="00350C7D">
        <w:rPr>
          <w:szCs w:val="22"/>
        </w:rPr>
        <w:t xml:space="preserve"> information </w:t>
      </w:r>
      <w:r w:rsidR="005A0815">
        <w:rPr>
          <w:szCs w:val="22"/>
        </w:rPr>
        <w:t xml:space="preserve">related to the </w:t>
      </w:r>
      <w:r w:rsidR="00BC691D">
        <w:rPr>
          <w:szCs w:val="22"/>
        </w:rPr>
        <w:t>Application for Review</w:t>
      </w:r>
      <w:r w:rsidRPr="00350C7D">
        <w:rPr>
          <w:szCs w:val="22"/>
        </w:rPr>
        <w:t>.</w:t>
      </w:r>
      <w:r w:rsidR="00343011">
        <w:rPr>
          <w:szCs w:val="22"/>
        </w:rPr>
        <w:t xml:space="preserve">  </w:t>
      </w:r>
    </w:p>
    <w:p w:rsidR="009E03BE" w:rsidP="00611490" w14:paraId="3B8799C5" w14:textId="0A8ABDCD">
      <w:pPr>
        <w:spacing w:after="240"/>
        <w:ind w:firstLine="720"/>
        <w:rPr>
          <w:szCs w:val="22"/>
        </w:rPr>
      </w:pPr>
      <w:r>
        <w:rPr>
          <w:szCs w:val="22"/>
        </w:rPr>
        <w:t xml:space="preserve">Interested parties may file an opposition to this Application for Review on or before </w:t>
      </w:r>
      <w:r w:rsidRPr="000F3BB9">
        <w:rPr>
          <w:b/>
          <w:bCs/>
          <w:szCs w:val="22"/>
        </w:rPr>
        <w:t>September 1</w:t>
      </w:r>
      <w:r w:rsidR="00694D2B">
        <w:rPr>
          <w:b/>
          <w:bCs/>
          <w:szCs w:val="22"/>
        </w:rPr>
        <w:t>3</w:t>
      </w:r>
      <w:r w:rsidRPr="000F3BB9">
        <w:rPr>
          <w:b/>
          <w:bCs/>
          <w:szCs w:val="22"/>
        </w:rPr>
        <w:t>, 2021</w:t>
      </w:r>
      <w:r>
        <w:rPr>
          <w:szCs w:val="22"/>
        </w:rPr>
        <w:t>.</w:t>
      </w:r>
      <w:r>
        <w:rPr>
          <w:rStyle w:val="FootnoteReference"/>
          <w:szCs w:val="22"/>
        </w:rPr>
        <w:footnoteReference w:id="8"/>
      </w:r>
      <w:r>
        <w:rPr>
          <w:szCs w:val="22"/>
        </w:rPr>
        <w:t xml:space="preserve">  Replies to oppositions must be filed within 10 days after the opposition is filed, but no later than </w:t>
      </w:r>
      <w:r w:rsidRPr="000F3BB9">
        <w:rPr>
          <w:b/>
          <w:bCs/>
          <w:szCs w:val="22"/>
        </w:rPr>
        <w:t>September 2</w:t>
      </w:r>
      <w:r w:rsidR="00694D2B">
        <w:rPr>
          <w:b/>
          <w:bCs/>
          <w:szCs w:val="22"/>
        </w:rPr>
        <w:t>3</w:t>
      </w:r>
      <w:r w:rsidRPr="000F3BB9">
        <w:rPr>
          <w:b/>
          <w:bCs/>
          <w:szCs w:val="22"/>
        </w:rPr>
        <w:t>, 2021</w:t>
      </w:r>
      <w:r>
        <w:rPr>
          <w:szCs w:val="22"/>
        </w:rPr>
        <w:t>.</w:t>
      </w:r>
      <w:r>
        <w:rPr>
          <w:rStyle w:val="FootnoteReference"/>
          <w:szCs w:val="22"/>
        </w:rPr>
        <w:footnoteReference w:id="9"/>
      </w:r>
      <w:r>
        <w:rPr>
          <w:szCs w:val="22"/>
        </w:rPr>
        <w:t xml:space="preserve">  Oppositions to the application for review must be served on the party seeking review and on parties to the proceeding.</w:t>
      </w:r>
      <w:r>
        <w:rPr>
          <w:rStyle w:val="FootnoteReference"/>
          <w:szCs w:val="22"/>
        </w:rPr>
        <w:footnoteReference w:id="10"/>
      </w:r>
      <w:r>
        <w:rPr>
          <w:szCs w:val="22"/>
        </w:rPr>
        <w:t xml:space="preserve">  </w:t>
      </w:r>
      <w:r w:rsidR="00920DF7">
        <w:rPr>
          <w:szCs w:val="22"/>
        </w:rPr>
        <w:t xml:space="preserve">Oppositions and replies </w:t>
      </w:r>
      <w:r w:rsidR="004B28EC">
        <w:rPr>
          <w:szCs w:val="22"/>
        </w:rPr>
        <w:t xml:space="preserve">that do not contain highly confidential or confidential information </w:t>
      </w:r>
      <w:r w:rsidR="00920DF7">
        <w:rPr>
          <w:szCs w:val="22"/>
        </w:rPr>
        <w:t>may be filed using the Commission’s Electronic Comment Filing System (ECFS).  However, o</w:t>
      </w:r>
      <w:r w:rsidR="00D13634">
        <w:rPr>
          <w:szCs w:val="22"/>
        </w:rPr>
        <w:t xml:space="preserve">ppositions to the </w:t>
      </w:r>
      <w:r w:rsidR="002D0548">
        <w:rPr>
          <w:szCs w:val="22"/>
        </w:rPr>
        <w:t>A</w:t>
      </w:r>
      <w:r w:rsidR="00A815EF">
        <w:rPr>
          <w:szCs w:val="22"/>
        </w:rPr>
        <w:t>pplication for Review</w:t>
      </w:r>
      <w:r w:rsidR="008432F3">
        <w:rPr>
          <w:szCs w:val="22"/>
        </w:rPr>
        <w:t xml:space="preserve"> and replies </w:t>
      </w:r>
      <w:r w:rsidR="00EE355D">
        <w:rPr>
          <w:szCs w:val="22"/>
        </w:rPr>
        <w:t xml:space="preserve">that contain </w:t>
      </w:r>
      <w:r w:rsidR="00676B31">
        <w:rPr>
          <w:szCs w:val="22"/>
        </w:rPr>
        <w:t xml:space="preserve">highly confidential or confidential information available pursuant to the Protective Order </w:t>
      </w:r>
      <w:r w:rsidR="008432F3">
        <w:rPr>
          <w:szCs w:val="22"/>
        </w:rPr>
        <w:t>shall be served on the party seeking review and filed with the Commission in accordance with the procedures provided by the Protective Order.</w:t>
      </w:r>
      <w:r>
        <w:rPr>
          <w:rStyle w:val="FootnoteReference"/>
          <w:szCs w:val="22"/>
        </w:rPr>
        <w:footnoteReference w:id="11"/>
      </w:r>
    </w:p>
    <w:p w:rsidR="00F31F95" w:rsidP="00611490" w14:paraId="0CDDB07F" w14:textId="69194727">
      <w:pPr>
        <w:spacing w:after="240"/>
        <w:ind w:firstLine="720"/>
        <w:rPr>
          <w:szCs w:val="22"/>
        </w:rPr>
      </w:pPr>
      <w:r>
        <w:rPr>
          <w:szCs w:val="22"/>
        </w:rPr>
        <w:t xml:space="preserve">For </w:t>
      </w:r>
      <w:r w:rsidR="007E6C07">
        <w:rPr>
          <w:szCs w:val="22"/>
        </w:rPr>
        <w:t>f</w:t>
      </w:r>
      <w:r>
        <w:rPr>
          <w:szCs w:val="22"/>
        </w:rPr>
        <w:t>urther information, please contact Dangkhoa Nguyen, Attorney Advisor, Telecommunications Access Policy Division, Wireline Competition Bureau at (202</w:t>
      </w:r>
      <w:r w:rsidR="00476E36">
        <w:rPr>
          <w:szCs w:val="22"/>
        </w:rPr>
        <w:t>) 418-7865 or Dangkhoa.nguyen@fcc.gov.</w:t>
      </w:r>
    </w:p>
    <w:p w:rsidR="00C55A8E" w:rsidP="00C55A8E" w14:paraId="053E485F" w14:textId="76999EF4">
      <w:pPr>
        <w:rPr>
          <w:szCs w:val="22"/>
        </w:rPr>
      </w:pPr>
    </w:p>
    <w:p w:rsidR="00C55A8E" w:rsidRPr="000C5C94" w:rsidP="004174E7" w14:paraId="7E73DABE" w14:textId="50B524C2">
      <w:pPr>
        <w:jc w:val="center"/>
        <w:rPr>
          <w:b/>
          <w:bCs/>
        </w:rPr>
      </w:pPr>
      <w:r>
        <w:rPr>
          <w:b/>
          <w:bCs/>
          <w:szCs w:val="22"/>
        </w:rPr>
        <w:t>-FCC-</w:t>
      </w: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1E5" w14:paraId="1B9B11C9" w14:textId="77777777">
    <w:pPr>
      <w:pStyle w:val="Footer"/>
      <w:framePr w:wrap="around" w:vAnchor="text" w:hAnchor="margin" w:xAlign="center" w:y="1"/>
    </w:pPr>
    <w:r>
      <w:fldChar w:fldCharType="begin"/>
    </w:r>
    <w:r>
      <w:instrText xml:space="preserve">PAGE  </w:instrText>
    </w:r>
    <w:r>
      <w:fldChar w:fldCharType="separate"/>
    </w:r>
    <w:r>
      <w:fldChar w:fldCharType="end"/>
    </w:r>
  </w:p>
  <w:p w:rsidR="003161E5" w14:paraId="27061D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1E5" w14:paraId="61AAF4F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1E5" w14:paraId="2158690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31B8" w14:paraId="15D435FA" w14:textId="77777777">
      <w:r>
        <w:separator/>
      </w:r>
    </w:p>
  </w:footnote>
  <w:footnote w:type="continuationSeparator" w:id="1">
    <w:p w:rsidR="00FC31B8" w14:paraId="470A22C4" w14:textId="77777777">
      <w:pPr>
        <w:rPr>
          <w:sz w:val="20"/>
        </w:rPr>
      </w:pPr>
      <w:r>
        <w:rPr>
          <w:sz w:val="20"/>
        </w:rPr>
        <w:t xml:space="preserve">(Continued from previous page)  </w:t>
      </w:r>
      <w:r>
        <w:rPr>
          <w:sz w:val="20"/>
        </w:rPr>
        <w:separator/>
      </w:r>
    </w:p>
  </w:footnote>
  <w:footnote w:type="continuationNotice" w:id="2">
    <w:p w:rsidR="00FC31B8" w14:paraId="5E069D60" w14:textId="77777777">
      <w:pPr>
        <w:jc w:val="right"/>
        <w:rPr>
          <w:sz w:val="20"/>
        </w:rPr>
      </w:pPr>
      <w:r>
        <w:rPr>
          <w:sz w:val="20"/>
        </w:rPr>
        <w:t>(continued….)</w:t>
      </w:r>
    </w:p>
  </w:footnote>
  <w:footnote w:id="3">
    <w:p w:rsidR="00151F74" w:rsidP="00151F74" w14:paraId="22BF00D7" w14:textId="77777777">
      <w:pPr>
        <w:pStyle w:val="FootnoteText"/>
      </w:pPr>
      <w:r>
        <w:rPr>
          <w:rStyle w:val="FootnoteReference"/>
        </w:rPr>
        <w:footnoteRef/>
      </w:r>
      <w:r>
        <w:t xml:space="preserve"> “Bringing Puerto Rico Together” is the translation of “</w:t>
      </w:r>
      <w:r>
        <w:t>Uniendo</w:t>
      </w:r>
      <w:r>
        <w:t xml:space="preserve"> a Puerto Rico.”</w:t>
      </w:r>
    </w:p>
  </w:footnote>
  <w:footnote w:id="4">
    <w:p w:rsidR="00C62CE8" w14:paraId="70836DC4" w14:textId="108CCF60">
      <w:pPr>
        <w:pStyle w:val="FootnoteText"/>
      </w:pPr>
      <w:r>
        <w:rPr>
          <w:rStyle w:val="FootnoteReference"/>
        </w:rPr>
        <w:footnoteRef/>
      </w:r>
      <w:r>
        <w:t xml:space="preserve"> Application for Review by Puerto Rico Telephone Company, Inc., WC Docket No. 18-143 (filed Dec. </w:t>
      </w:r>
      <w:r w:rsidR="00F72EE3">
        <w:t>2</w:t>
      </w:r>
      <w:r>
        <w:t>, 2020).</w:t>
      </w:r>
    </w:p>
  </w:footnote>
  <w:footnote w:id="5">
    <w:p w:rsidR="00A07F70" w14:paraId="405C96B9" w14:textId="5619B847">
      <w:pPr>
        <w:pStyle w:val="FootnoteText"/>
      </w:pPr>
      <w:r>
        <w:rPr>
          <w:rStyle w:val="FootnoteReference"/>
        </w:rPr>
        <w:footnoteRef/>
      </w:r>
      <w:r>
        <w:t xml:space="preserve"> </w:t>
      </w:r>
      <w:r w:rsidRPr="000A6055" w:rsidR="004E43AD">
        <w:rPr>
          <w:i/>
          <w:iCs/>
        </w:rPr>
        <w:t xml:space="preserve">The </w:t>
      </w:r>
      <w:r w:rsidRPr="000A6055" w:rsidR="004E43AD">
        <w:rPr>
          <w:i/>
          <w:iCs/>
        </w:rPr>
        <w:t>Uniendo</w:t>
      </w:r>
      <w:r w:rsidRPr="000A6055" w:rsidR="004E43AD">
        <w:rPr>
          <w:i/>
          <w:iCs/>
        </w:rPr>
        <w:t xml:space="preserve"> a Puerto Rico Fund and the </w:t>
      </w:r>
      <w:r w:rsidR="004E43AD">
        <w:rPr>
          <w:i/>
          <w:iCs/>
        </w:rPr>
        <w:t>C</w:t>
      </w:r>
      <w:r w:rsidRPr="000A6055" w:rsidR="004E43AD">
        <w:rPr>
          <w:i/>
          <w:iCs/>
        </w:rPr>
        <w:t>onnect USVI Fund</w:t>
      </w:r>
      <w:r w:rsidR="004E43AD">
        <w:t xml:space="preserve">, Report and Order and Order on Reconsideration, 34 FCC </w:t>
      </w:r>
      <w:r w:rsidR="004E43AD">
        <w:t>Rcd</w:t>
      </w:r>
      <w:r w:rsidR="004E43AD">
        <w:t xml:space="preserve"> 9109</w:t>
      </w:r>
      <w:r w:rsidR="006755A4">
        <w:t xml:space="preserve"> (2019) (</w:t>
      </w:r>
      <w:r w:rsidRPr="000A6055" w:rsidR="006755A4">
        <w:rPr>
          <w:i/>
          <w:iCs/>
        </w:rPr>
        <w:t>PR-USVI Stage 2 Order</w:t>
      </w:r>
      <w:r w:rsidR="006755A4">
        <w:t>)</w:t>
      </w:r>
      <w:r w:rsidR="009B38CB">
        <w:t xml:space="preserve">; </w:t>
      </w:r>
      <w:r w:rsidRPr="006E1035" w:rsidR="009B38CB">
        <w:rPr>
          <w:i/>
          <w:iCs/>
        </w:rPr>
        <w:t>Uniendo</w:t>
      </w:r>
      <w:r w:rsidRPr="006E1035" w:rsidR="009B38CB">
        <w:rPr>
          <w:i/>
          <w:iCs/>
        </w:rPr>
        <w:t xml:space="preserve"> A Puerto Rico Fund and Connect USVI Fund Notice and Filing Requirements and Other Procedures for Stage 2 Fixed Competitive Proposal Process</w:t>
      </w:r>
      <w:r w:rsidR="009B38CB">
        <w:t xml:space="preserve">, Public Notice, WC Docket Nos. 18-143, 10-90, 35 FCC </w:t>
      </w:r>
      <w:r w:rsidR="009B38CB">
        <w:t>Rcd</w:t>
      </w:r>
      <w:r w:rsidR="009B38CB">
        <w:t xml:space="preserve"> 218, 220, 252-55, paras. 2, 124-34 (2020) (</w:t>
      </w:r>
      <w:r w:rsidR="009B38CB">
        <w:rPr>
          <w:i/>
          <w:iCs/>
        </w:rPr>
        <w:t>Procedures Public Notice</w:t>
      </w:r>
      <w:r w:rsidR="009B38CB">
        <w:t>).</w:t>
      </w:r>
    </w:p>
  </w:footnote>
  <w:footnote w:id="6">
    <w:p w:rsidR="00831CA2" w:rsidP="00831CA2" w14:paraId="002DE2DE" w14:textId="4A0CE220">
      <w:pPr>
        <w:pStyle w:val="FootnoteText"/>
      </w:pPr>
      <w:r>
        <w:rPr>
          <w:rStyle w:val="FootnoteReference"/>
        </w:rPr>
        <w:footnoteRef/>
      </w:r>
      <w:r>
        <w:t xml:space="preserve"> </w:t>
      </w:r>
      <w:r w:rsidRPr="441EA6F3" w:rsidR="008D3DB6">
        <w:rPr>
          <w:i/>
          <w:iCs/>
        </w:rPr>
        <w:t>PR-USVI Stage 2 Order</w:t>
      </w:r>
      <w:r w:rsidR="008D3DB6">
        <w:t>,</w:t>
      </w:r>
      <w:r w:rsidR="00437DC1">
        <w:t xml:space="preserve"> </w:t>
      </w:r>
      <w:r w:rsidR="00C21C16">
        <w:t xml:space="preserve">34 FCC </w:t>
      </w:r>
      <w:r w:rsidR="00C21C16">
        <w:t>Rcd</w:t>
      </w:r>
      <w:r w:rsidR="00C21C16">
        <w:t xml:space="preserve"> </w:t>
      </w:r>
      <w:r w:rsidR="00437DC1">
        <w:t>at</w:t>
      </w:r>
      <w:r w:rsidR="00E06648">
        <w:t xml:space="preserve"> 9116-17, paras. 13-14</w:t>
      </w:r>
      <w:r>
        <w:t xml:space="preserve">; </w:t>
      </w:r>
      <w:r w:rsidRPr="441EA6F3" w:rsidR="00C21C16">
        <w:rPr>
          <w:i/>
          <w:iCs/>
        </w:rPr>
        <w:t>Procedures Public Notice</w:t>
      </w:r>
      <w:r w:rsidR="00C21C16">
        <w:t xml:space="preserve">, 35 FCC </w:t>
      </w:r>
      <w:r w:rsidR="00C21C16">
        <w:t>Rcd</w:t>
      </w:r>
      <w:r w:rsidR="00C21C16">
        <w:t xml:space="preserve"> at 252-55, paras. 124-134.</w:t>
      </w:r>
    </w:p>
  </w:footnote>
  <w:footnote w:id="7">
    <w:p w:rsidR="00154C26" w:rsidP="00154C26" w14:paraId="00066F2E" w14:textId="77777777">
      <w:pPr>
        <w:pStyle w:val="FootnoteText"/>
      </w:pPr>
      <w:r>
        <w:rPr>
          <w:rStyle w:val="FootnoteReference"/>
        </w:rPr>
        <w:footnoteRef/>
      </w:r>
      <w:r>
        <w:t xml:space="preserve"> </w:t>
      </w:r>
      <w:r w:rsidRPr="441EA6F3">
        <w:rPr>
          <w:i/>
          <w:iCs/>
        </w:rPr>
        <w:t>PR-USVI Stage 2 Order</w:t>
      </w:r>
      <w:r>
        <w:t xml:space="preserve">, 34 FCC </w:t>
      </w:r>
      <w:r>
        <w:t>Rcd</w:t>
      </w:r>
      <w:r>
        <w:t xml:space="preserve"> at 9114, 9117, 9135, paras. 10, 14, 41; </w:t>
      </w:r>
      <w:r w:rsidRPr="441EA6F3">
        <w:rPr>
          <w:i/>
          <w:iCs/>
        </w:rPr>
        <w:t>Procedures Public Notice</w:t>
      </w:r>
      <w:r>
        <w:t xml:space="preserve">, 35 FCC </w:t>
      </w:r>
      <w:r>
        <w:t>Rcd</w:t>
      </w:r>
      <w:r>
        <w:t xml:space="preserve"> at 252-55, paras. 124-134.</w:t>
      </w:r>
    </w:p>
  </w:footnote>
  <w:footnote w:id="8">
    <w:p w:rsidR="00250838" w:rsidP="00250838" w14:paraId="2F26AC07" w14:textId="7A4D83F2">
      <w:pPr>
        <w:pStyle w:val="FootnoteText"/>
      </w:pPr>
      <w:r>
        <w:rPr>
          <w:rStyle w:val="FootnoteReference"/>
        </w:rPr>
        <w:footnoteRef/>
      </w:r>
      <w:r>
        <w:t xml:space="preserve"> We find good cause to waive section 1.115(d)’s normal filing deadline requiring oppositions to be filed within 15 days after the application for review is filed.  47 CFR § 1.115(d).  In this instance, </w:t>
      </w:r>
      <w:r w:rsidR="00FB709E">
        <w:t xml:space="preserve">on December </w:t>
      </w:r>
      <w:r w:rsidR="00F72EE3">
        <w:t>2</w:t>
      </w:r>
      <w:r w:rsidR="00FB709E">
        <w:t>, 202</w:t>
      </w:r>
      <w:r w:rsidR="009E0EB7">
        <w:t>0</w:t>
      </w:r>
      <w:r w:rsidR="00FB709E">
        <w:t xml:space="preserve">, </w:t>
      </w:r>
      <w:r>
        <w:t>PRTC</w:t>
      </w:r>
      <w:r>
        <w:t xml:space="preserve"> filed the A</w:t>
      </w:r>
      <w:r w:rsidR="00A815EF">
        <w:t>pplication for Review</w:t>
      </w:r>
      <w:r>
        <w:t xml:space="preserve"> seeking confidential treatment and filed a copy of the A</w:t>
      </w:r>
      <w:r w:rsidR="00A815EF">
        <w:t>pplication for Review</w:t>
      </w:r>
      <w:r>
        <w:t xml:space="preserve"> that was redacted in its entirety, preventing parties from reviewing the</w:t>
      </w:r>
      <w:r w:rsidR="00D36F7B">
        <w:t xml:space="preserve"> Application for Review</w:t>
      </w:r>
      <w:r>
        <w:t xml:space="preserve"> and having the opportunity to submit comments or oppositions</w:t>
      </w:r>
      <w:bookmarkStart w:id="1" w:name="_Hlk80959113"/>
      <w:r>
        <w:t xml:space="preserve">.  Based on the re-filing of a copy of the </w:t>
      </w:r>
      <w:r w:rsidR="00D36F7B">
        <w:t>Application for Review that is</w:t>
      </w:r>
      <w:r>
        <w:t xml:space="preserve"> available for public inspection</w:t>
      </w:r>
      <w:r w:rsidR="000E5E83">
        <w:t xml:space="preserve"> </w:t>
      </w:r>
      <w:r w:rsidR="009E0EB7">
        <w:t>as of</w:t>
      </w:r>
      <w:r w:rsidR="000E5E83">
        <w:t xml:space="preserve"> August 20, 2021</w:t>
      </w:r>
      <w:r>
        <w:t xml:space="preserve">, </w:t>
      </w:r>
      <w:bookmarkEnd w:id="1"/>
      <w:r>
        <w:t>we conclude that the normal filing deadline requirements shall begin from the release of this Public Notice seeking comment on the A</w:t>
      </w:r>
      <w:r w:rsidR="003E0A0D">
        <w:t>pplication for Review</w:t>
      </w:r>
      <w:r>
        <w:t>.</w:t>
      </w:r>
    </w:p>
  </w:footnote>
  <w:footnote w:id="9">
    <w:p w:rsidR="00250838" w:rsidP="00250838" w14:paraId="79A24D53" w14:textId="77777777">
      <w:pPr>
        <w:pStyle w:val="FootnoteText"/>
      </w:pPr>
      <w:r>
        <w:rPr>
          <w:rStyle w:val="FootnoteReference"/>
        </w:rPr>
        <w:footnoteRef/>
      </w:r>
      <w:r>
        <w:t xml:space="preserve"> 47 CFR § 1.115(d).  </w:t>
      </w:r>
    </w:p>
  </w:footnote>
  <w:footnote w:id="10">
    <w:p w:rsidR="00250838" w:rsidP="00250838" w14:paraId="627D5F9D" w14:textId="77777777">
      <w:pPr>
        <w:pStyle w:val="FootnoteText"/>
      </w:pPr>
      <w:r>
        <w:rPr>
          <w:rStyle w:val="FootnoteReference"/>
        </w:rPr>
        <w:footnoteRef/>
      </w:r>
      <w:r>
        <w:t xml:space="preserve"> 47 CFR § 1.115(f).  </w:t>
      </w:r>
    </w:p>
  </w:footnote>
  <w:footnote w:id="11">
    <w:p w:rsidR="0073621D" w14:paraId="3B7720D1" w14:textId="76BA868F">
      <w:pPr>
        <w:pStyle w:val="FootnoteText"/>
      </w:pPr>
      <w:r>
        <w:rPr>
          <w:rStyle w:val="FootnoteReference"/>
        </w:rPr>
        <w:footnoteRef/>
      </w:r>
      <w:r>
        <w:t xml:space="preserve"> </w:t>
      </w:r>
      <w:r w:rsidRPr="00DB40B8" w:rsidR="00DB40B8">
        <w:rPr>
          <w:i/>
          <w:iCs/>
        </w:rPr>
        <w:t>Protective Order</w:t>
      </w:r>
      <w:r w:rsidR="00DB40B8">
        <w:t xml:space="preserve"> at </w:t>
      </w:r>
      <w:r w:rsidR="00AF7EA8">
        <w:t>6-7,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1E5" w14:paraId="5FABC4A0" w14:textId="0077C14E">
    <w:pPr>
      <w:tabs>
        <w:tab w:val="center" w:pos="4680"/>
        <w:tab w:val="right" w:pos="9360"/>
      </w:tabs>
    </w:pPr>
    <w:r>
      <w:rPr>
        <w:b/>
      </w:rPr>
      <w:tab/>
      <w:t>Federal Communications Commission</w:t>
    </w:r>
    <w:r>
      <w:rPr>
        <w:b/>
      </w:rPr>
      <w:tab/>
    </w:r>
    <w:r w:rsidR="00A42790">
      <w:rPr>
        <w:b/>
      </w:rPr>
      <w:t>DA 21-1058</w:t>
    </w:r>
  </w:p>
  <w:p w:rsidR="003161E5" w14:paraId="5BA321F6" w14:textId="52C469B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61E5" w14:paraId="1C5AD38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61E5" w14:paraId="5215AA9C" w14:textId="29DF096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4302CB1"/>
    <w:multiLevelType w:val="hybridMultilevel"/>
    <w:tmpl w:val="658C3D72"/>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C"/>
    <w:rsid w:val="000328D6"/>
    <w:rsid w:val="00035224"/>
    <w:rsid w:val="00035E62"/>
    <w:rsid w:val="0004104C"/>
    <w:rsid w:val="000913E1"/>
    <w:rsid w:val="000A6055"/>
    <w:rsid w:val="000C5C94"/>
    <w:rsid w:val="000D0A58"/>
    <w:rsid w:val="000E5E83"/>
    <w:rsid w:val="000E77AD"/>
    <w:rsid w:val="000F2025"/>
    <w:rsid w:val="000F3BB9"/>
    <w:rsid w:val="00106C02"/>
    <w:rsid w:val="0012224B"/>
    <w:rsid w:val="00132163"/>
    <w:rsid w:val="001344A3"/>
    <w:rsid w:val="001355EE"/>
    <w:rsid w:val="00151F74"/>
    <w:rsid w:val="00154C26"/>
    <w:rsid w:val="0016683D"/>
    <w:rsid w:val="00172728"/>
    <w:rsid w:val="00173DB9"/>
    <w:rsid w:val="00186557"/>
    <w:rsid w:val="00237DF7"/>
    <w:rsid w:val="00246DEA"/>
    <w:rsid w:val="00250838"/>
    <w:rsid w:val="0025404B"/>
    <w:rsid w:val="00256520"/>
    <w:rsid w:val="002B3DFB"/>
    <w:rsid w:val="002D0548"/>
    <w:rsid w:val="002D4354"/>
    <w:rsid w:val="00305E1E"/>
    <w:rsid w:val="00314550"/>
    <w:rsid w:val="00316076"/>
    <w:rsid w:val="003161E5"/>
    <w:rsid w:val="00330BCD"/>
    <w:rsid w:val="00343011"/>
    <w:rsid w:val="00350C7D"/>
    <w:rsid w:val="003815C0"/>
    <w:rsid w:val="003C31D7"/>
    <w:rsid w:val="003E0A0D"/>
    <w:rsid w:val="003E78BE"/>
    <w:rsid w:val="003F5E27"/>
    <w:rsid w:val="004174E7"/>
    <w:rsid w:val="0043570E"/>
    <w:rsid w:val="00437DC1"/>
    <w:rsid w:val="004568BF"/>
    <w:rsid w:val="00476E36"/>
    <w:rsid w:val="004A2A03"/>
    <w:rsid w:val="004B28EC"/>
    <w:rsid w:val="004C420E"/>
    <w:rsid w:val="004C476E"/>
    <w:rsid w:val="004E43AD"/>
    <w:rsid w:val="004F5755"/>
    <w:rsid w:val="00525FFB"/>
    <w:rsid w:val="0053107D"/>
    <w:rsid w:val="0053192A"/>
    <w:rsid w:val="00534B3C"/>
    <w:rsid w:val="005A0815"/>
    <w:rsid w:val="005A67CE"/>
    <w:rsid w:val="005B6871"/>
    <w:rsid w:val="005D5427"/>
    <w:rsid w:val="005D5D8E"/>
    <w:rsid w:val="005F058B"/>
    <w:rsid w:val="00611490"/>
    <w:rsid w:val="00620078"/>
    <w:rsid w:val="00635A2D"/>
    <w:rsid w:val="0063772A"/>
    <w:rsid w:val="00642A3F"/>
    <w:rsid w:val="0065163B"/>
    <w:rsid w:val="00652214"/>
    <w:rsid w:val="006755A4"/>
    <w:rsid w:val="00676B31"/>
    <w:rsid w:val="006835F2"/>
    <w:rsid w:val="0068698F"/>
    <w:rsid w:val="0068724E"/>
    <w:rsid w:val="00694D2B"/>
    <w:rsid w:val="006D6E9A"/>
    <w:rsid w:val="006E1035"/>
    <w:rsid w:val="006E176C"/>
    <w:rsid w:val="006F7A1B"/>
    <w:rsid w:val="0073621D"/>
    <w:rsid w:val="00757701"/>
    <w:rsid w:val="00767B59"/>
    <w:rsid w:val="00797C54"/>
    <w:rsid w:val="007D79AB"/>
    <w:rsid w:val="007E6C07"/>
    <w:rsid w:val="007F7BB3"/>
    <w:rsid w:val="008136F1"/>
    <w:rsid w:val="0081525D"/>
    <w:rsid w:val="00821CF5"/>
    <w:rsid w:val="008236A1"/>
    <w:rsid w:val="00831CA2"/>
    <w:rsid w:val="008432F3"/>
    <w:rsid w:val="00843320"/>
    <w:rsid w:val="00847ED7"/>
    <w:rsid w:val="00883B80"/>
    <w:rsid w:val="008D3DB6"/>
    <w:rsid w:val="008D554D"/>
    <w:rsid w:val="008D5D81"/>
    <w:rsid w:val="0091461C"/>
    <w:rsid w:val="00920DF7"/>
    <w:rsid w:val="00935CA6"/>
    <w:rsid w:val="00953DCD"/>
    <w:rsid w:val="009973D0"/>
    <w:rsid w:val="009A5736"/>
    <w:rsid w:val="009A69C2"/>
    <w:rsid w:val="009B3562"/>
    <w:rsid w:val="009B38CB"/>
    <w:rsid w:val="009D1826"/>
    <w:rsid w:val="009E03BE"/>
    <w:rsid w:val="009E0EB7"/>
    <w:rsid w:val="009F6359"/>
    <w:rsid w:val="00A07F70"/>
    <w:rsid w:val="00A10951"/>
    <w:rsid w:val="00A120AE"/>
    <w:rsid w:val="00A13823"/>
    <w:rsid w:val="00A30386"/>
    <w:rsid w:val="00A36209"/>
    <w:rsid w:val="00A42790"/>
    <w:rsid w:val="00A524C7"/>
    <w:rsid w:val="00A5532C"/>
    <w:rsid w:val="00A815EF"/>
    <w:rsid w:val="00A843B5"/>
    <w:rsid w:val="00A853D1"/>
    <w:rsid w:val="00AA235A"/>
    <w:rsid w:val="00AD05EF"/>
    <w:rsid w:val="00AF7EA8"/>
    <w:rsid w:val="00B51771"/>
    <w:rsid w:val="00B56CB3"/>
    <w:rsid w:val="00B776C7"/>
    <w:rsid w:val="00BB3B09"/>
    <w:rsid w:val="00BC691D"/>
    <w:rsid w:val="00BD716A"/>
    <w:rsid w:val="00BF2EAE"/>
    <w:rsid w:val="00C14287"/>
    <w:rsid w:val="00C21C16"/>
    <w:rsid w:val="00C30B9A"/>
    <w:rsid w:val="00C35D3E"/>
    <w:rsid w:val="00C47663"/>
    <w:rsid w:val="00C55A8E"/>
    <w:rsid w:val="00C62192"/>
    <w:rsid w:val="00C62CE8"/>
    <w:rsid w:val="00CB77FE"/>
    <w:rsid w:val="00CC3168"/>
    <w:rsid w:val="00CE5357"/>
    <w:rsid w:val="00D13634"/>
    <w:rsid w:val="00D20087"/>
    <w:rsid w:val="00D31B69"/>
    <w:rsid w:val="00D36F7B"/>
    <w:rsid w:val="00D45016"/>
    <w:rsid w:val="00D55162"/>
    <w:rsid w:val="00D933C8"/>
    <w:rsid w:val="00DA221C"/>
    <w:rsid w:val="00DA3B58"/>
    <w:rsid w:val="00DB40B8"/>
    <w:rsid w:val="00DE7800"/>
    <w:rsid w:val="00E05AF6"/>
    <w:rsid w:val="00E06648"/>
    <w:rsid w:val="00E175C6"/>
    <w:rsid w:val="00E22FC8"/>
    <w:rsid w:val="00E2360F"/>
    <w:rsid w:val="00E300CD"/>
    <w:rsid w:val="00E43F81"/>
    <w:rsid w:val="00E45385"/>
    <w:rsid w:val="00E47171"/>
    <w:rsid w:val="00E5134B"/>
    <w:rsid w:val="00E733F5"/>
    <w:rsid w:val="00E742E9"/>
    <w:rsid w:val="00E75E00"/>
    <w:rsid w:val="00E77E68"/>
    <w:rsid w:val="00E86D6C"/>
    <w:rsid w:val="00EB766A"/>
    <w:rsid w:val="00ED5AC6"/>
    <w:rsid w:val="00EE355D"/>
    <w:rsid w:val="00EF39B5"/>
    <w:rsid w:val="00EF74C5"/>
    <w:rsid w:val="00F00430"/>
    <w:rsid w:val="00F234F8"/>
    <w:rsid w:val="00F31F95"/>
    <w:rsid w:val="00F72EE3"/>
    <w:rsid w:val="00F75AE7"/>
    <w:rsid w:val="00FA1641"/>
    <w:rsid w:val="00FB3302"/>
    <w:rsid w:val="00FB43FE"/>
    <w:rsid w:val="00FB709E"/>
    <w:rsid w:val="00FC31B8"/>
    <w:rsid w:val="00FE7B99"/>
    <w:rsid w:val="00FE7C87"/>
    <w:rsid w:val="00FF5F73"/>
    <w:rsid w:val="441EA6F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0F7FEC"/>
  <w15:chartTrackingRefBased/>
  <w15:docId w15:val="{C039695E-280D-40E9-BED5-D0DA278A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Footnote Text Char Char,Footnote Text Char Char Char Char,Footnote Text Char1,Footnote Text Char2 Char Char2 Char2 Char Char,Footnote Text Char4 Char Char1 Char Char,Footnote Text Char5 Char,Footnote Text Char5 Char Char"/>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rsid w:val="000328D6"/>
    <w:rPr>
      <w:rFonts w:ascii="Segoe UI" w:hAnsi="Segoe UI" w:cs="Segoe UI"/>
      <w:sz w:val="18"/>
      <w:szCs w:val="18"/>
    </w:rPr>
  </w:style>
  <w:style w:type="character" w:customStyle="1" w:styleId="BalloonTextChar">
    <w:name w:val="Balloon Text Char"/>
    <w:link w:val="BalloonText"/>
    <w:uiPriority w:val="99"/>
    <w:semiHidden/>
    <w:rsid w:val="000328D6"/>
    <w:rPr>
      <w:rFonts w:ascii="Segoe UI" w:hAnsi="Segoe UI" w:cs="Segoe UI"/>
      <w:snapToGrid w:val="0"/>
      <w:kern w:val="28"/>
      <w:sz w:val="18"/>
      <w:szCs w:val="18"/>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link w:val="FootnoteText"/>
    <w:locked/>
    <w:rsid w:val="00831CA2"/>
  </w:style>
  <w:style w:type="character" w:styleId="CommentReference">
    <w:name w:val="annotation reference"/>
    <w:basedOn w:val="DefaultParagraphFont"/>
    <w:uiPriority w:val="99"/>
    <w:semiHidden/>
    <w:unhideWhenUsed/>
    <w:rsid w:val="002D0548"/>
    <w:rPr>
      <w:sz w:val="16"/>
      <w:szCs w:val="16"/>
    </w:rPr>
  </w:style>
  <w:style w:type="paragraph" w:styleId="CommentText">
    <w:name w:val="annotation text"/>
    <w:basedOn w:val="Normal"/>
    <w:link w:val="CommentTextChar"/>
    <w:uiPriority w:val="99"/>
    <w:semiHidden/>
    <w:unhideWhenUsed/>
    <w:rsid w:val="002D0548"/>
    <w:rPr>
      <w:sz w:val="20"/>
    </w:rPr>
  </w:style>
  <w:style w:type="character" w:customStyle="1" w:styleId="CommentTextChar">
    <w:name w:val="Comment Text Char"/>
    <w:basedOn w:val="DefaultParagraphFont"/>
    <w:link w:val="CommentText"/>
    <w:uiPriority w:val="99"/>
    <w:semiHidden/>
    <w:rsid w:val="002D0548"/>
    <w:rPr>
      <w:snapToGrid w:val="0"/>
      <w:kern w:val="28"/>
    </w:rPr>
  </w:style>
  <w:style w:type="paragraph" w:styleId="CommentSubject">
    <w:name w:val="annotation subject"/>
    <w:basedOn w:val="CommentText"/>
    <w:next w:val="CommentText"/>
    <w:link w:val="CommentSubjectChar"/>
    <w:uiPriority w:val="99"/>
    <w:semiHidden/>
    <w:unhideWhenUsed/>
    <w:rsid w:val="002D0548"/>
    <w:rPr>
      <w:b/>
      <w:bCs/>
    </w:rPr>
  </w:style>
  <w:style w:type="character" w:customStyle="1" w:styleId="CommentSubjectChar">
    <w:name w:val="Comment Subject Char"/>
    <w:basedOn w:val="CommentTextChar"/>
    <w:link w:val="CommentSubject"/>
    <w:uiPriority w:val="99"/>
    <w:semiHidden/>
    <w:rsid w:val="002D05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