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2DEAB5B7"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04A06F2" w14:textId="77777777">
      <w:pPr>
        <w:pStyle w:val="StyleBoldCentered"/>
      </w:pPr>
      <w:r>
        <w:t>F</w:t>
      </w:r>
      <w:r>
        <w:rPr>
          <w:caps w:val="0"/>
        </w:rPr>
        <w:t>ederal Communications Commission</w:t>
      </w:r>
    </w:p>
    <w:p w:rsidR="004C2EE3" w:rsidP="00096D8C" w14:paraId="52F9471B" w14:textId="77777777">
      <w:pPr>
        <w:pStyle w:val="StyleBoldCentered"/>
      </w:pPr>
      <w:r>
        <w:rPr>
          <w:caps w:val="0"/>
        </w:rPr>
        <w:t>Washington, D.C. 20554</w:t>
      </w:r>
    </w:p>
    <w:p w:rsidR="004C2EE3" w:rsidP="0070224F" w14:paraId="4029C4CE" w14:textId="77777777"/>
    <w:p w:rsidR="004C2EE3" w:rsidP="0070224F" w14:paraId="1D6FDF31" w14:textId="77777777"/>
    <w:tbl>
      <w:tblPr>
        <w:tblW w:w="0" w:type="auto"/>
        <w:tblLayout w:type="fixed"/>
        <w:tblLook w:val="0000"/>
      </w:tblPr>
      <w:tblGrid>
        <w:gridCol w:w="4698"/>
        <w:gridCol w:w="630"/>
        <w:gridCol w:w="4248"/>
      </w:tblGrid>
      <w:tr w14:paraId="05B50986" w14:textId="77777777">
        <w:tblPrEx>
          <w:tblW w:w="0" w:type="auto"/>
          <w:tblLayout w:type="fixed"/>
          <w:tblLook w:val="0000"/>
        </w:tblPrEx>
        <w:tc>
          <w:tcPr>
            <w:tcW w:w="4698" w:type="dxa"/>
          </w:tcPr>
          <w:p w:rsidR="004C2EE3" w14:paraId="67D211CC" w14:textId="77777777">
            <w:pPr>
              <w:tabs>
                <w:tab w:val="center" w:pos="4680"/>
              </w:tabs>
              <w:suppressAutoHyphens/>
              <w:rPr>
                <w:spacing w:val="-2"/>
              </w:rPr>
            </w:pPr>
            <w:r>
              <w:rPr>
                <w:spacing w:val="-2"/>
              </w:rPr>
              <w:t>In the Matter of</w:t>
            </w:r>
          </w:p>
          <w:p w:rsidR="004C2EE3" w14:paraId="0101A564" w14:textId="77777777">
            <w:pPr>
              <w:tabs>
                <w:tab w:val="center" w:pos="4680"/>
              </w:tabs>
              <w:suppressAutoHyphens/>
              <w:rPr>
                <w:spacing w:val="-2"/>
              </w:rPr>
            </w:pPr>
          </w:p>
          <w:p w:rsidR="004C2EE3" w:rsidRPr="007115F7" w:rsidP="007115F7" w14:paraId="37329E7B" w14:textId="77777777">
            <w:pPr>
              <w:tabs>
                <w:tab w:val="center" w:pos="4680"/>
              </w:tabs>
              <w:suppressAutoHyphens/>
              <w:rPr>
                <w:spacing w:val="-2"/>
              </w:rPr>
            </w:pPr>
            <w:bookmarkStart w:id="0" w:name="_Hlk45795835"/>
            <w:r>
              <w:rPr>
                <w:spacing w:val="-2"/>
              </w:rPr>
              <w:t>Connect America Fund</w:t>
            </w:r>
            <w:bookmarkEnd w:id="0"/>
          </w:p>
        </w:tc>
        <w:tc>
          <w:tcPr>
            <w:tcW w:w="630" w:type="dxa"/>
          </w:tcPr>
          <w:p w:rsidR="004C2EE3" w14:paraId="2BF6B485" w14:textId="77777777">
            <w:pPr>
              <w:tabs>
                <w:tab w:val="center" w:pos="4680"/>
              </w:tabs>
              <w:suppressAutoHyphens/>
              <w:rPr>
                <w:b/>
                <w:spacing w:val="-2"/>
              </w:rPr>
            </w:pPr>
            <w:r>
              <w:rPr>
                <w:b/>
                <w:spacing w:val="-2"/>
              </w:rPr>
              <w:t>)</w:t>
            </w:r>
          </w:p>
          <w:p w:rsidR="004C2EE3" w14:paraId="32781D78" w14:textId="77777777">
            <w:pPr>
              <w:tabs>
                <w:tab w:val="center" w:pos="4680"/>
              </w:tabs>
              <w:suppressAutoHyphens/>
              <w:rPr>
                <w:b/>
                <w:spacing w:val="-2"/>
              </w:rPr>
            </w:pPr>
            <w:r>
              <w:rPr>
                <w:b/>
                <w:spacing w:val="-2"/>
              </w:rPr>
              <w:t>)</w:t>
            </w:r>
          </w:p>
          <w:p w:rsidR="004C2EE3" w14:paraId="450F658D" w14:textId="77777777">
            <w:pPr>
              <w:tabs>
                <w:tab w:val="center" w:pos="4680"/>
              </w:tabs>
              <w:suppressAutoHyphens/>
              <w:rPr>
                <w:b/>
                <w:spacing w:val="-2"/>
              </w:rPr>
            </w:pPr>
            <w:r>
              <w:rPr>
                <w:b/>
                <w:spacing w:val="-2"/>
              </w:rPr>
              <w:t>)</w:t>
            </w:r>
          </w:p>
          <w:p w:rsidR="004C2EE3" w14:paraId="738FF0A3" w14:textId="77777777">
            <w:pPr>
              <w:tabs>
                <w:tab w:val="center" w:pos="4680"/>
              </w:tabs>
              <w:suppressAutoHyphens/>
              <w:rPr>
                <w:spacing w:val="-2"/>
              </w:rPr>
            </w:pPr>
          </w:p>
        </w:tc>
        <w:tc>
          <w:tcPr>
            <w:tcW w:w="4248" w:type="dxa"/>
          </w:tcPr>
          <w:p w:rsidR="004C2EE3" w14:paraId="740F8F07" w14:textId="77777777">
            <w:pPr>
              <w:tabs>
                <w:tab w:val="center" w:pos="4680"/>
              </w:tabs>
              <w:suppressAutoHyphens/>
              <w:rPr>
                <w:spacing w:val="-2"/>
              </w:rPr>
            </w:pPr>
          </w:p>
          <w:p w:rsidR="004C2EE3" w14:paraId="13EEFC74" w14:textId="77777777">
            <w:pPr>
              <w:pStyle w:val="TOAHeading"/>
              <w:tabs>
                <w:tab w:val="center" w:pos="4680"/>
                <w:tab w:val="clear" w:pos="9360"/>
              </w:tabs>
              <w:rPr>
                <w:spacing w:val="-2"/>
              </w:rPr>
            </w:pPr>
          </w:p>
          <w:p w:rsidR="004C2EE3" w14:paraId="525799D3" w14:textId="77777777">
            <w:pPr>
              <w:tabs>
                <w:tab w:val="center" w:pos="4680"/>
              </w:tabs>
              <w:suppressAutoHyphens/>
              <w:rPr>
                <w:spacing w:val="-2"/>
              </w:rPr>
            </w:pPr>
            <w:r>
              <w:rPr>
                <w:spacing w:val="-2"/>
              </w:rPr>
              <w:t>WC Docket No. 10-90</w:t>
            </w:r>
          </w:p>
        </w:tc>
      </w:tr>
    </w:tbl>
    <w:p w:rsidR="004C2EE3" w:rsidP="0070224F" w14:paraId="0D3B134E" w14:textId="381668D2"/>
    <w:p w:rsidR="00841AB1" w:rsidP="00F021FA" w14:paraId="2E603E9A" w14:textId="77777777">
      <w:pPr>
        <w:pStyle w:val="StyleBoldCentered"/>
      </w:pPr>
      <w:r>
        <w:t>Order</w:t>
      </w:r>
    </w:p>
    <w:p w:rsidR="004C2EE3" w14:paraId="3D4E5451" w14:textId="77777777">
      <w:pPr>
        <w:tabs>
          <w:tab w:val="left" w:pos="-720"/>
        </w:tabs>
        <w:suppressAutoHyphens/>
        <w:spacing w:line="227" w:lineRule="auto"/>
        <w:rPr>
          <w:spacing w:val="-2"/>
        </w:rPr>
      </w:pPr>
    </w:p>
    <w:p w:rsidR="004C2EE3" w:rsidP="00133F79" w14:paraId="01056E03" w14:textId="340C3D77">
      <w:pPr>
        <w:tabs>
          <w:tab w:val="left" w:pos="720"/>
          <w:tab w:val="right" w:pos="9360"/>
        </w:tabs>
        <w:suppressAutoHyphens/>
        <w:spacing w:line="227" w:lineRule="auto"/>
        <w:rPr>
          <w:spacing w:val="-2"/>
        </w:rPr>
      </w:pPr>
      <w:r>
        <w:rPr>
          <w:b/>
          <w:spacing w:val="-2"/>
        </w:rPr>
        <w:t xml:space="preserve">Adopted:  </w:t>
      </w:r>
      <w:r w:rsidR="000F6F76">
        <w:rPr>
          <w:b/>
          <w:spacing w:val="-2"/>
        </w:rPr>
        <w:t xml:space="preserve">July </w:t>
      </w:r>
      <w:r w:rsidR="007B3BFD">
        <w:rPr>
          <w:b/>
          <w:spacing w:val="-2"/>
        </w:rPr>
        <w:t>17</w:t>
      </w:r>
      <w:r w:rsidR="000F6F76">
        <w:rPr>
          <w:b/>
          <w:spacing w:val="-2"/>
        </w:rPr>
        <w:t>,</w:t>
      </w:r>
      <w:r w:rsidR="00500EDF">
        <w:rPr>
          <w:b/>
          <w:spacing w:val="-2"/>
        </w:rPr>
        <w:t xml:space="preserve">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F6F76">
        <w:rPr>
          <w:b/>
          <w:spacing w:val="-2"/>
        </w:rPr>
        <w:t xml:space="preserve">July </w:t>
      </w:r>
      <w:r w:rsidR="007B3BFD">
        <w:rPr>
          <w:b/>
          <w:spacing w:val="-2"/>
        </w:rPr>
        <w:t>17</w:t>
      </w:r>
      <w:r w:rsidR="000F6F76">
        <w:rPr>
          <w:b/>
          <w:spacing w:val="-2"/>
        </w:rPr>
        <w:t>,</w:t>
      </w:r>
      <w:r w:rsidR="00500EDF">
        <w:rPr>
          <w:b/>
          <w:spacing w:val="-2"/>
        </w:rPr>
        <w:t xml:space="preserve"> 2020</w:t>
      </w:r>
    </w:p>
    <w:p w:rsidR="00822CE0" w14:paraId="485A209D" w14:textId="77777777"/>
    <w:p w:rsidR="004C2EE3" w:rsidRPr="0019171E" w14:paraId="44A1F15D" w14:textId="029B6778">
      <w:pPr>
        <w:rPr>
          <w:spacing w:val="-2"/>
          <w:szCs w:val="22"/>
        </w:rPr>
      </w:pPr>
      <w:r w:rsidRPr="0019171E">
        <w:rPr>
          <w:szCs w:val="22"/>
        </w:rPr>
        <w:t xml:space="preserve">By </w:t>
      </w:r>
      <w:r w:rsidRPr="0019171E" w:rsidR="004E4A22">
        <w:rPr>
          <w:szCs w:val="22"/>
        </w:rPr>
        <w:t>the</w:t>
      </w:r>
      <w:r w:rsidRPr="0019171E" w:rsidR="002A2D2E">
        <w:rPr>
          <w:szCs w:val="22"/>
        </w:rPr>
        <w:t xml:space="preserve"> </w:t>
      </w:r>
      <w:r w:rsidR="000F6F76">
        <w:rPr>
          <w:szCs w:val="22"/>
        </w:rPr>
        <w:t xml:space="preserve">Chief, </w:t>
      </w:r>
      <w:r w:rsidRPr="0019171E" w:rsidR="008C1743">
        <w:rPr>
          <w:spacing w:val="-2"/>
          <w:szCs w:val="22"/>
        </w:rPr>
        <w:t>Wireline Competition Bureau</w:t>
      </w:r>
      <w:r w:rsidRPr="0019171E">
        <w:rPr>
          <w:spacing w:val="-2"/>
          <w:szCs w:val="22"/>
        </w:rPr>
        <w:t>:</w:t>
      </w:r>
    </w:p>
    <w:p w:rsidR="00822CE0" w:rsidRPr="0019171E" w14:paraId="13B56949" w14:textId="77777777">
      <w:pPr>
        <w:rPr>
          <w:spacing w:val="-2"/>
          <w:szCs w:val="22"/>
        </w:rPr>
      </w:pPr>
    </w:p>
    <w:p w:rsidR="00412FC5" w:rsidRPr="0019171E" w:rsidP="008560FD" w14:paraId="3194C999" w14:textId="076B5B5C">
      <w:pPr>
        <w:pStyle w:val="ParaNum"/>
        <w:rPr>
          <w:szCs w:val="22"/>
        </w:rPr>
      </w:pPr>
      <w:r w:rsidRPr="0019171E">
        <w:rPr>
          <w:szCs w:val="22"/>
        </w:rPr>
        <w:t xml:space="preserve">In this Order, the </w:t>
      </w:r>
      <w:bookmarkStart w:id="1" w:name="_Hlk45796252"/>
      <w:r w:rsidRPr="0019171E">
        <w:rPr>
          <w:szCs w:val="22"/>
        </w:rPr>
        <w:t xml:space="preserve">Wireline Competition Bureau (Bureau), on its own motion, grants a </w:t>
      </w:r>
      <w:bookmarkStart w:id="2" w:name="_Hlk45795904"/>
      <w:r w:rsidRPr="0019171E" w:rsidR="00D5731F">
        <w:rPr>
          <w:szCs w:val="22"/>
        </w:rPr>
        <w:t xml:space="preserve">limited </w:t>
      </w:r>
      <w:r w:rsidRPr="0019171E">
        <w:rPr>
          <w:szCs w:val="22"/>
        </w:rPr>
        <w:t xml:space="preserve">waiver of the </w:t>
      </w:r>
      <w:r w:rsidRPr="0019171E" w:rsidR="00251A1D">
        <w:rPr>
          <w:szCs w:val="22"/>
        </w:rPr>
        <w:t xml:space="preserve">performance testing </w:t>
      </w:r>
      <w:r w:rsidRPr="0019171E">
        <w:rPr>
          <w:szCs w:val="22"/>
        </w:rPr>
        <w:t xml:space="preserve">requirements for </w:t>
      </w:r>
      <w:r w:rsidRPr="0019171E" w:rsidR="00D5731F">
        <w:rPr>
          <w:szCs w:val="22"/>
        </w:rPr>
        <w:t xml:space="preserve">recipients of </w:t>
      </w:r>
      <w:r w:rsidRPr="0019171E">
        <w:rPr>
          <w:szCs w:val="22"/>
        </w:rPr>
        <w:t xml:space="preserve">Connect America Fund (CAF) Phase II </w:t>
      </w:r>
      <w:r w:rsidRPr="0019171E" w:rsidR="00D5731F">
        <w:rPr>
          <w:szCs w:val="22"/>
        </w:rPr>
        <w:t>model-based support</w:t>
      </w:r>
      <w:r w:rsidRPr="0019171E" w:rsidR="005D1011">
        <w:rPr>
          <w:szCs w:val="22"/>
        </w:rPr>
        <w:t xml:space="preserve"> </w:t>
      </w:r>
      <w:bookmarkEnd w:id="2"/>
      <w:r w:rsidRPr="0019171E" w:rsidR="005D1011">
        <w:rPr>
          <w:szCs w:val="22"/>
        </w:rPr>
        <w:t>(CAF Phase II carriers</w:t>
      </w:r>
      <w:bookmarkEnd w:id="1"/>
      <w:r w:rsidRPr="0019171E" w:rsidR="005D1011">
        <w:rPr>
          <w:szCs w:val="22"/>
        </w:rPr>
        <w:t>)</w:t>
      </w:r>
      <w:r w:rsidRPr="0019171E">
        <w:rPr>
          <w:szCs w:val="22"/>
        </w:rPr>
        <w:t>.</w:t>
      </w:r>
      <w:r>
        <w:rPr>
          <w:rStyle w:val="FootnoteReference"/>
          <w:sz w:val="22"/>
          <w:szCs w:val="22"/>
        </w:rPr>
        <w:footnoteReference w:id="3"/>
      </w:r>
      <w:r w:rsidRPr="0019171E">
        <w:rPr>
          <w:szCs w:val="22"/>
        </w:rPr>
        <w:t xml:space="preserve">  </w:t>
      </w:r>
      <w:r w:rsidRPr="0019171E" w:rsidR="00BA61AC">
        <w:rPr>
          <w:szCs w:val="22"/>
        </w:rPr>
        <w:t>Specifically, t</w:t>
      </w:r>
      <w:r w:rsidRPr="0019171E">
        <w:rPr>
          <w:szCs w:val="22"/>
        </w:rPr>
        <w:t xml:space="preserve">he Bureau will allow </w:t>
      </w:r>
      <w:r w:rsidRPr="0019171E" w:rsidR="002D4756">
        <w:rPr>
          <w:szCs w:val="22"/>
        </w:rPr>
        <w:t xml:space="preserve">those </w:t>
      </w:r>
      <w:r w:rsidRPr="0019171E" w:rsidR="0005068A">
        <w:rPr>
          <w:szCs w:val="22"/>
        </w:rPr>
        <w:t xml:space="preserve">CAF Phase II </w:t>
      </w:r>
      <w:r w:rsidRPr="0019171E">
        <w:rPr>
          <w:szCs w:val="22"/>
        </w:rPr>
        <w:t xml:space="preserve">carriers </w:t>
      </w:r>
      <w:r w:rsidRPr="0019171E" w:rsidR="002D4756">
        <w:rPr>
          <w:szCs w:val="22"/>
        </w:rPr>
        <w:t xml:space="preserve">that are </w:t>
      </w:r>
      <w:r w:rsidRPr="0019171E" w:rsidR="003A611C">
        <w:rPr>
          <w:szCs w:val="22"/>
        </w:rPr>
        <w:t xml:space="preserve">electing </w:t>
      </w:r>
      <w:r w:rsidRPr="0019171E" w:rsidR="002D4756">
        <w:rPr>
          <w:szCs w:val="22"/>
        </w:rPr>
        <w:t>a seventh year of support to extend pre-testing through the third and fourth quarters of 2020</w:t>
      </w:r>
      <w:r w:rsidRPr="0019171E" w:rsidR="00803FEF">
        <w:rPr>
          <w:szCs w:val="22"/>
        </w:rPr>
        <w:t xml:space="preserve">, with a waiver of </w:t>
      </w:r>
      <w:r w:rsidRPr="0019171E" w:rsidR="00A42402">
        <w:rPr>
          <w:szCs w:val="22"/>
        </w:rPr>
        <w:t>certain</w:t>
      </w:r>
      <w:r w:rsidRPr="0019171E" w:rsidR="00803FEF">
        <w:rPr>
          <w:szCs w:val="22"/>
        </w:rPr>
        <w:t xml:space="preserve"> sampling requirements, as explained below.  Because those carriers </w:t>
      </w:r>
      <w:r w:rsidRPr="0019171E" w:rsidR="003A611C">
        <w:rPr>
          <w:szCs w:val="22"/>
        </w:rPr>
        <w:t xml:space="preserve">electing </w:t>
      </w:r>
      <w:r w:rsidRPr="0019171E" w:rsidR="00803FEF">
        <w:rPr>
          <w:szCs w:val="22"/>
        </w:rPr>
        <w:t>a seventh year of support</w:t>
      </w:r>
      <w:r>
        <w:rPr>
          <w:rStyle w:val="FootnoteReference"/>
          <w:sz w:val="22"/>
          <w:szCs w:val="22"/>
        </w:rPr>
        <w:footnoteReference w:id="4"/>
      </w:r>
      <w:r w:rsidRPr="0019171E" w:rsidR="00803FEF">
        <w:rPr>
          <w:szCs w:val="22"/>
        </w:rPr>
        <w:t xml:space="preserve"> will be able to conduct four quarters of performance measures testing next year and </w:t>
      </w:r>
      <w:r w:rsidRPr="0019171E" w:rsidR="008F2832">
        <w:rPr>
          <w:szCs w:val="22"/>
        </w:rPr>
        <w:t>given</w:t>
      </w:r>
      <w:r w:rsidRPr="0019171E" w:rsidR="00014CE6">
        <w:rPr>
          <w:szCs w:val="22"/>
        </w:rPr>
        <w:t xml:space="preserve"> </w:t>
      </w:r>
      <w:r w:rsidRPr="0019171E" w:rsidR="00803FEF">
        <w:rPr>
          <w:szCs w:val="22"/>
        </w:rPr>
        <w:t>the continu</w:t>
      </w:r>
      <w:r w:rsidRPr="0019171E" w:rsidR="00DE75BB">
        <w:rPr>
          <w:szCs w:val="22"/>
        </w:rPr>
        <w:t>ing</w:t>
      </w:r>
      <w:r w:rsidRPr="0019171E" w:rsidR="00803FEF">
        <w:rPr>
          <w:szCs w:val="22"/>
        </w:rPr>
        <w:t xml:space="preserve"> challenges posed by </w:t>
      </w:r>
      <w:r w:rsidRPr="0019171E" w:rsidR="00423FC0">
        <w:rPr>
          <w:szCs w:val="22"/>
        </w:rPr>
        <w:t xml:space="preserve">the </w:t>
      </w:r>
      <w:r w:rsidRPr="0019171E" w:rsidR="00803FEF">
        <w:rPr>
          <w:szCs w:val="22"/>
        </w:rPr>
        <w:t>COVID-19</w:t>
      </w:r>
      <w:r w:rsidRPr="0019171E" w:rsidR="00553D84">
        <w:rPr>
          <w:szCs w:val="22"/>
        </w:rPr>
        <w:t xml:space="preserve"> pandemic</w:t>
      </w:r>
      <w:r w:rsidRPr="0019171E" w:rsidR="00803FEF">
        <w:rPr>
          <w:szCs w:val="22"/>
        </w:rPr>
        <w:t xml:space="preserve">, </w:t>
      </w:r>
      <w:r w:rsidRPr="0019171E" w:rsidR="00DE75BB">
        <w:rPr>
          <w:szCs w:val="22"/>
        </w:rPr>
        <w:t>we find there is good cause to extend pre-testing to the third and fourth quarters of 2020</w:t>
      </w:r>
      <w:r w:rsidRPr="0019171E" w:rsidR="00251A1D">
        <w:rPr>
          <w:szCs w:val="22"/>
        </w:rPr>
        <w:t xml:space="preserve"> for those carriers that will be able to conduct testing throughout 2021</w:t>
      </w:r>
      <w:r w:rsidRPr="0019171E" w:rsidR="00DE75BB">
        <w:rPr>
          <w:szCs w:val="22"/>
        </w:rPr>
        <w:t>.</w:t>
      </w:r>
    </w:p>
    <w:p w:rsidR="00872B26" w:rsidRPr="0019171E" w:rsidP="00AA0BD1" w14:paraId="3406AF46" w14:textId="7B3803DC">
      <w:pPr>
        <w:pStyle w:val="ParaNum"/>
        <w:rPr>
          <w:szCs w:val="22"/>
        </w:rPr>
      </w:pPr>
      <w:r w:rsidRPr="0019171E">
        <w:rPr>
          <w:i/>
          <w:iCs/>
          <w:szCs w:val="22"/>
        </w:rPr>
        <w:t xml:space="preserve">Background.  </w:t>
      </w:r>
      <w:r w:rsidRPr="0019171E" w:rsidR="00FE29E3">
        <w:rPr>
          <w:szCs w:val="22"/>
        </w:rPr>
        <w:t xml:space="preserve">In the </w:t>
      </w:r>
      <w:r w:rsidRPr="0019171E" w:rsidR="007A6CCD">
        <w:rPr>
          <w:szCs w:val="22"/>
        </w:rPr>
        <w:t xml:space="preserve">Performance Measures orders, </w:t>
      </w:r>
      <w:r w:rsidRPr="0019171E" w:rsidR="00E955ED">
        <w:rPr>
          <w:szCs w:val="22"/>
        </w:rPr>
        <w:t>the Commission adopted requirements that recipients of high-cost support test their broadband networks for compliance with the appropriate speed and latency metrics</w:t>
      </w:r>
      <w:r w:rsidRPr="0019171E" w:rsidR="2936118C">
        <w:rPr>
          <w:szCs w:val="22"/>
        </w:rPr>
        <w:t>,</w:t>
      </w:r>
      <w:r w:rsidRPr="0019171E" w:rsidR="00E955ED">
        <w:rPr>
          <w:szCs w:val="22"/>
        </w:rPr>
        <w:t xml:space="preserve"> and </w:t>
      </w:r>
      <w:r w:rsidRPr="0019171E" w:rsidR="00CD0941">
        <w:rPr>
          <w:szCs w:val="22"/>
        </w:rPr>
        <w:t xml:space="preserve">report </w:t>
      </w:r>
      <w:r w:rsidRPr="0019171E" w:rsidR="00E955ED">
        <w:rPr>
          <w:szCs w:val="22"/>
        </w:rPr>
        <w:t xml:space="preserve">and </w:t>
      </w:r>
      <w:r w:rsidRPr="0019171E" w:rsidR="00CD0941">
        <w:rPr>
          <w:szCs w:val="22"/>
        </w:rPr>
        <w:t xml:space="preserve">certify </w:t>
      </w:r>
      <w:r w:rsidRPr="0019171E" w:rsidR="00E955ED">
        <w:rPr>
          <w:szCs w:val="22"/>
        </w:rPr>
        <w:t xml:space="preserve">the results.  </w:t>
      </w:r>
      <w:r w:rsidRPr="0019171E" w:rsidR="00AA0BD1">
        <w:rPr>
          <w:szCs w:val="22"/>
        </w:rPr>
        <w:t>The testing is necessary</w:t>
      </w:r>
      <w:r w:rsidRPr="0019171E" w:rsidR="00A13205">
        <w:rPr>
          <w:szCs w:val="22"/>
        </w:rPr>
        <w:t xml:space="preserve"> to</w:t>
      </w:r>
      <w:r w:rsidRPr="0019171E" w:rsidR="00AA0BD1">
        <w:rPr>
          <w:szCs w:val="22"/>
        </w:rPr>
        <w:t xml:space="preserve"> protect taxpayers’ investment and ensure that carriers receiving this support deploy networks that meet the performance standards they promised to deliver to rural consumers.</w:t>
      </w:r>
      <w:r>
        <w:rPr>
          <w:rStyle w:val="FootnoteReference"/>
          <w:sz w:val="22"/>
          <w:szCs w:val="22"/>
        </w:rPr>
        <w:footnoteReference w:id="5"/>
      </w:r>
      <w:r w:rsidRPr="0019171E" w:rsidR="00AA0BD1">
        <w:rPr>
          <w:szCs w:val="22"/>
        </w:rPr>
        <w:t xml:space="preserve">  Carriers failing to meet the required standards will be subject to withholding of universal service support, based on the level of non-compliance.</w:t>
      </w:r>
      <w:r>
        <w:rPr>
          <w:rStyle w:val="FootnoteReference"/>
          <w:sz w:val="22"/>
          <w:szCs w:val="22"/>
        </w:rPr>
        <w:footnoteReference w:id="6"/>
      </w:r>
      <w:r w:rsidRPr="0019171E" w:rsidR="00AA0BD1">
        <w:rPr>
          <w:szCs w:val="22"/>
        </w:rPr>
        <w:t xml:space="preserve">  </w:t>
      </w:r>
    </w:p>
    <w:p w:rsidR="000C6674" w:rsidRPr="0019171E" w:rsidP="00C377A1" w14:paraId="7F7EEF36" w14:textId="37A4816C">
      <w:pPr>
        <w:pStyle w:val="ParaNum"/>
        <w:rPr>
          <w:szCs w:val="22"/>
        </w:rPr>
      </w:pPr>
      <w:r w:rsidRPr="0019171E">
        <w:rPr>
          <w:szCs w:val="22"/>
        </w:rPr>
        <w:t>To ensure carriers are familiar with the required testing and how to properly measure the speed and latency of their networks</w:t>
      </w:r>
      <w:r w:rsidRPr="0019171E" w:rsidR="00014CE6">
        <w:rPr>
          <w:szCs w:val="22"/>
        </w:rPr>
        <w:t xml:space="preserve"> in accordance with Commission rules</w:t>
      </w:r>
      <w:r w:rsidRPr="0019171E" w:rsidR="004232AC">
        <w:rPr>
          <w:szCs w:val="22"/>
        </w:rPr>
        <w:t>,</w:t>
      </w:r>
      <w:r w:rsidRPr="0019171E" w:rsidR="00872B26">
        <w:rPr>
          <w:szCs w:val="22"/>
        </w:rPr>
        <w:t xml:space="preserve"> </w:t>
      </w:r>
      <w:r w:rsidRPr="0019171E">
        <w:rPr>
          <w:szCs w:val="22"/>
        </w:rPr>
        <w:t xml:space="preserve">the Commission adopted pre-testing periods in which no support reductions </w:t>
      </w:r>
      <w:r w:rsidRPr="0019171E" w:rsidR="004232AC">
        <w:rPr>
          <w:szCs w:val="22"/>
        </w:rPr>
        <w:t xml:space="preserve">will occur </w:t>
      </w:r>
      <w:r w:rsidRPr="0019171E">
        <w:rPr>
          <w:szCs w:val="22"/>
        </w:rPr>
        <w:t xml:space="preserve">for failing to meet </w:t>
      </w:r>
      <w:r w:rsidRPr="0019171E" w:rsidR="00A167F9">
        <w:rPr>
          <w:szCs w:val="22"/>
        </w:rPr>
        <w:t xml:space="preserve">the required </w:t>
      </w:r>
      <w:r w:rsidRPr="0019171E">
        <w:rPr>
          <w:szCs w:val="22"/>
        </w:rPr>
        <w:t>standards</w:t>
      </w:r>
      <w:r w:rsidRPr="0019171E" w:rsidR="00214937">
        <w:rPr>
          <w:szCs w:val="22"/>
        </w:rPr>
        <w:t>.</w:t>
      </w:r>
      <w:r>
        <w:rPr>
          <w:rStyle w:val="FootnoteReference"/>
          <w:sz w:val="22"/>
          <w:szCs w:val="22"/>
        </w:rPr>
        <w:footnoteReference w:id="7"/>
      </w:r>
      <w:r w:rsidRPr="0019171E">
        <w:rPr>
          <w:szCs w:val="22"/>
        </w:rPr>
        <w:t xml:space="preserve"> </w:t>
      </w:r>
      <w:r w:rsidRPr="0019171E" w:rsidR="00A13205">
        <w:rPr>
          <w:szCs w:val="22"/>
        </w:rPr>
        <w:t xml:space="preserve"> </w:t>
      </w:r>
      <w:r w:rsidRPr="0019171E">
        <w:rPr>
          <w:szCs w:val="22"/>
        </w:rPr>
        <w:t>T</w:t>
      </w:r>
      <w:r w:rsidRPr="0019171E" w:rsidR="00E955ED">
        <w:rPr>
          <w:szCs w:val="22"/>
        </w:rPr>
        <w:t>he Commission required CAF Phase II carriers to conduct two quarters of pre-testing</w:t>
      </w:r>
      <w:r w:rsidRPr="0019171E">
        <w:rPr>
          <w:szCs w:val="22"/>
        </w:rPr>
        <w:t>, i.e.</w:t>
      </w:r>
      <w:r w:rsidRPr="0019171E" w:rsidR="00BA61AC">
        <w:rPr>
          <w:szCs w:val="22"/>
        </w:rPr>
        <w:t>,</w:t>
      </w:r>
      <w:r w:rsidRPr="0019171E">
        <w:rPr>
          <w:szCs w:val="22"/>
        </w:rPr>
        <w:t xml:space="preserve"> the first and second quarters of 2020, with testing beginning in the third quarter of 2020.</w:t>
      </w:r>
      <w:r>
        <w:rPr>
          <w:rStyle w:val="FootnoteReference"/>
          <w:sz w:val="22"/>
          <w:szCs w:val="22"/>
        </w:rPr>
        <w:footnoteReference w:id="8"/>
      </w:r>
      <w:r w:rsidRPr="0019171E">
        <w:rPr>
          <w:szCs w:val="22"/>
        </w:rPr>
        <w:t xml:space="preserve">  </w:t>
      </w:r>
      <w:r w:rsidR="00B56C30">
        <w:rPr>
          <w:szCs w:val="22"/>
        </w:rPr>
        <w:t xml:space="preserve">CAF Phase II carriers were </w:t>
      </w:r>
      <w:r w:rsidR="00B56C30">
        <w:rPr>
          <w:szCs w:val="22"/>
        </w:rPr>
        <w:t>provided only two quarters of pre-testing, rather than the full year provided to other high-cost recipients</w:t>
      </w:r>
      <w:bookmarkStart w:id="3" w:name="_GoBack"/>
      <w:bookmarkEnd w:id="3"/>
      <w:r w:rsidR="00B56C30">
        <w:rPr>
          <w:szCs w:val="22"/>
        </w:rPr>
        <w:t>, because it was unclear when the pre-testing mechanism was adopted if CAF Phase II carriers would be receiving funding for a seventh year.</w:t>
      </w:r>
      <w:r>
        <w:rPr>
          <w:rStyle w:val="FootnoteReference"/>
          <w:szCs w:val="22"/>
        </w:rPr>
        <w:footnoteReference w:id="9"/>
      </w:r>
      <w:r w:rsidR="00B56C30">
        <w:rPr>
          <w:szCs w:val="22"/>
        </w:rPr>
        <w:t xml:space="preserve">  </w:t>
      </w:r>
      <w:r w:rsidRPr="0019171E" w:rsidR="0043786B">
        <w:rPr>
          <w:szCs w:val="22"/>
        </w:rPr>
        <w:t xml:space="preserve">For both pre-testing and testing, </w:t>
      </w:r>
      <w:r w:rsidRPr="0019171E" w:rsidR="000F6BF0">
        <w:rPr>
          <w:szCs w:val="22"/>
        </w:rPr>
        <w:t>the Commission required that carriers</w:t>
      </w:r>
      <w:r w:rsidRPr="0019171E" w:rsidR="000F6BF0">
        <w:rPr>
          <w:snapToGrid/>
          <w:kern w:val="0"/>
          <w:szCs w:val="22"/>
        </w:rPr>
        <w:t xml:space="preserve"> submit speed and latency test results, as well as an annual certification, in a format determined by the Bureau.</w:t>
      </w:r>
      <w:r>
        <w:rPr>
          <w:rStyle w:val="FootnoteReference"/>
          <w:snapToGrid/>
          <w:kern w:val="0"/>
          <w:sz w:val="22"/>
          <w:szCs w:val="22"/>
        </w:rPr>
        <w:footnoteReference w:id="10"/>
      </w:r>
      <w:r w:rsidRPr="0019171E" w:rsidR="000F6BF0">
        <w:rPr>
          <w:snapToGrid/>
          <w:kern w:val="0"/>
          <w:szCs w:val="22"/>
        </w:rPr>
        <w:t xml:space="preserve">  </w:t>
      </w:r>
      <w:r w:rsidRPr="0019171E" w:rsidR="0031458D">
        <w:rPr>
          <w:szCs w:val="22"/>
        </w:rPr>
        <w:t xml:space="preserve"> </w:t>
      </w:r>
    </w:p>
    <w:p w:rsidR="003C15C2" w:rsidRPr="0019171E" w:rsidP="00AA0BD1" w14:paraId="43ABE234" w14:textId="12667913">
      <w:pPr>
        <w:pStyle w:val="ParaNum"/>
        <w:rPr>
          <w:szCs w:val="22"/>
        </w:rPr>
      </w:pPr>
      <w:r w:rsidRPr="0019171E">
        <w:rPr>
          <w:i/>
          <w:iCs/>
          <w:szCs w:val="22"/>
        </w:rPr>
        <w:t xml:space="preserve">Discussion.  </w:t>
      </w:r>
      <w:r w:rsidRPr="0019171E" w:rsidR="00B1413F">
        <w:rPr>
          <w:szCs w:val="22"/>
        </w:rPr>
        <w:t xml:space="preserve">On its own motion, the Bureau </w:t>
      </w:r>
      <w:r w:rsidRPr="0019171E" w:rsidR="00694112">
        <w:rPr>
          <w:szCs w:val="22"/>
        </w:rPr>
        <w:t xml:space="preserve">grants a waiver </w:t>
      </w:r>
      <w:r w:rsidRPr="0019171E" w:rsidR="000F6BF0">
        <w:rPr>
          <w:szCs w:val="22"/>
        </w:rPr>
        <w:t>allowing</w:t>
      </w:r>
      <w:r w:rsidRPr="0019171E" w:rsidR="00694112">
        <w:rPr>
          <w:szCs w:val="22"/>
        </w:rPr>
        <w:t xml:space="preserve"> </w:t>
      </w:r>
      <w:r w:rsidRPr="0019171E" w:rsidR="00A42402">
        <w:rPr>
          <w:szCs w:val="22"/>
        </w:rPr>
        <w:t xml:space="preserve">those </w:t>
      </w:r>
      <w:r w:rsidRPr="0019171E" w:rsidR="00694112">
        <w:rPr>
          <w:szCs w:val="22"/>
        </w:rPr>
        <w:t xml:space="preserve">CAF Phase II carriers </w:t>
      </w:r>
      <w:r w:rsidRPr="0019171E" w:rsidR="00A42402">
        <w:rPr>
          <w:szCs w:val="22"/>
        </w:rPr>
        <w:t>that will be receiving support for a seventh year to extend pre-testing t</w:t>
      </w:r>
      <w:r w:rsidRPr="0019171E" w:rsidR="00B31DAC">
        <w:rPr>
          <w:szCs w:val="22"/>
        </w:rPr>
        <w:t>hrough</w:t>
      </w:r>
      <w:r w:rsidRPr="0019171E" w:rsidR="00A42402">
        <w:rPr>
          <w:szCs w:val="22"/>
        </w:rPr>
        <w:t xml:space="preserve"> the third and fourth quarters of 2020</w:t>
      </w:r>
      <w:r w:rsidRPr="0019171E" w:rsidR="00694112">
        <w:rPr>
          <w:szCs w:val="22"/>
        </w:rPr>
        <w:t>.  Generally, the Commission’s rules may be waived for good cause shown.</w:t>
      </w:r>
      <w:r>
        <w:rPr>
          <w:rStyle w:val="FootnoteReference"/>
          <w:sz w:val="22"/>
          <w:szCs w:val="22"/>
        </w:rPr>
        <w:footnoteReference w:id="11"/>
      </w:r>
      <w:r w:rsidRPr="0019171E">
        <w:rPr>
          <w:szCs w:val="22"/>
        </w:rPr>
        <w:t xml:space="preserve">  The Commission may exercise its discretion to waive a rule where the particular facts make strict compliance inconsistent with the public interest.</w:t>
      </w:r>
      <w:r>
        <w:rPr>
          <w:rStyle w:val="FootnoteReference"/>
          <w:sz w:val="22"/>
          <w:szCs w:val="22"/>
        </w:rPr>
        <w:footnoteReference w:id="12"/>
      </w:r>
      <w:r w:rsidRPr="0019171E" w:rsidR="00182755">
        <w:rPr>
          <w:szCs w:val="22"/>
        </w:rPr>
        <w:t xml:space="preserve">  </w:t>
      </w:r>
      <w:r w:rsidRPr="0019171E">
        <w:rPr>
          <w:szCs w:val="22"/>
        </w:rPr>
        <w:t>In addition, the Commission may take into account considerations of hardship, equity, or more effective implementation of overall policy on an individual basis.</w:t>
      </w:r>
      <w:r>
        <w:rPr>
          <w:rStyle w:val="FootnoteReference"/>
          <w:sz w:val="22"/>
          <w:szCs w:val="22"/>
        </w:rPr>
        <w:footnoteReference w:id="13"/>
      </w:r>
      <w:r w:rsidRPr="0019171E">
        <w:rPr>
          <w:szCs w:val="22"/>
        </w:rPr>
        <w:t xml:space="preserve">  Waiver of the Commission’s rules is appropriate when (i) special circumstances warrant a deviation from the general rule, and (ii) such deviation will serve the public interest.</w:t>
      </w:r>
      <w:r>
        <w:rPr>
          <w:rStyle w:val="FootnoteReference"/>
          <w:sz w:val="22"/>
          <w:szCs w:val="22"/>
        </w:rPr>
        <w:footnoteReference w:id="14"/>
      </w:r>
    </w:p>
    <w:p w:rsidR="00826957" w:rsidRPr="0019171E" w:rsidP="00826957" w14:paraId="4F24C7CD" w14:textId="6BB54869">
      <w:pPr>
        <w:pStyle w:val="ParaNum"/>
        <w:widowControl/>
        <w:autoSpaceDE w:val="0"/>
        <w:autoSpaceDN w:val="0"/>
        <w:adjustRightInd w:val="0"/>
        <w:rPr>
          <w:szCs w:val="22"/>
        </w:rPr>
      </w:pPr>
      <w:r w:rsidRPr="0019171E">
        <w:rPr>
          <w:szCs w:val="22"/>
        </w:rPr>
        <w:t xml:space="preserve">In </w:t>
      </w:r>
      <w:r w:rsidRPr="0019171E" w:rsidR="00B31DAC">
        <w:rPr>
          <w:szCs w:val="22"/>
        </w:rPr>
        <w:t xml:space="preserve">the </w:t>
      </w:r>
      <w:r w:rsidRPr="0019171E" w:rsidR="00B31DAC">
        <w:rPr>
          <w:i/>
          <w:iCs/>
          <w:szCs w:val="22"/>
        </w:rPr>
        <w:t>Performance Measures Reconsideration Order</w:t>
      </w:r>
      <w:r w:rsidRPr="0019171E">
        <w:rPr>
          <w:szCs w:val="22"/>
        </w:rPr>
        <w:t xml:space="preserve">, the Commission included two quarters of pre-testing </w:t>
      </w:r>
      <w:r w:rsidRPr="0019171E" w:rsidR="00E206BD">
        <w:rPr>
          <w:szCs w:val="22"/>
        </w:rPr>
        <w:t xml:space="preserve">for </w:t>
      </w:r>
      <w:r w:rsidRPr="0019171E">
        <w:rPr>
          <w:szCs w:val="22"/>
        </w:rPr>
        <w:t>CAF Phase II carriers</w:t>
      </w:r>
      <w:r w:rsidRPr="0019171E" w:rsidR="00E206BD">
        <w:rPr>
          <w:szCs w:val="22"/>
        </w:rPr>
        <w:t>.</w:t>
      </w:r>
      <w:r>
        <w:rPr>
          <w:rStyle w:val="FootnoteReference"/>
          <w:sz w:val="22"/>
          <w:szCs w:val="22"/>
        </w:rPr>
        <w:footnoteReference w:id="15"/>
      </w:r>
      <w:r w:rsidRPr="0019171E">
        <w:rPr>
          <w:szCs w:val="22"/>
        </w:rPr>
        <w:t xml:space="preserve">  </w:t>
      </w:r>
      <w:r w:rsidRPr="0019171E" w:rsidR="006613BF">
        <w:rPr>
          <w:szCs w:val="22"/>
        </w:rPr>
        <w:t xml:space="preserve">However, the Commission has recognized that </w:t>
      </w:r>
      <w:r w:rsidRPr="0019171E" w:rsidR="00FE5D91">
        <w:rPr>
          <w:szCs w:val="22"/>
        </w:rPr>
        <w:t>installing testing equipment in subscriber homes has been made more difficult by the C</w:t>
      </w:r>
      <w:r w:rsidRPr="0019171E" w:rsidR="00F173DD">
        <w:rPr>
          <w:szCs w:val="22"/>
        </w:rPr>
        <w:t>OVID</w:t>
      </w:r>
      <w:r w:rsidRPr="0019171E" w:rsidR="00FE5D91">
        <w:rPr>
          <w:szCs w:val="22"/>
        </w:rPr>
        <w:t>-19 pandemic.</w:t>
      </w:r>
      <w:r>
        <w:rPr>
          <w:rStyle w:val="FootnoteReference"/>
          <w:sz w:val="22"/>
          <w:szCs w:val="22"/>
        </w:rPr>
        <w:footnoteReference w:id="16"/>
      </w:r>
      <w:r w:rsidRPr="0019171E" w:rsidR="00FE5D91">
        <w:rPr>
          <w:szCs w:val="22"/>
        </w:rPr>
        <w:t xml:space="preserve">  Further, b</w:t>
      </w:r>
      <w:r w:rsidRPr="0019171E">
        <w:rPr>
          <w:szCs w:val="22"/>
        </w:rPr>
        <w:t xml:space="preserve">ased on the timing of the Rural Digital Opportunity Fund auction, it is likely that most CAF Phase II carriers will </w:t>
      </w:r>
      <w:r w:rsidRPr="0019171E" w:rsidR="003A611C">
        <w:rPr>
          <w:szCs w:val="22"/>
        </w:rPr>
        <w:t xml:space="preserve">elect </w:t>
      </w:r>
      <w:r w:rsidRPr="0019171E">
        <w:rPr>
          <w:szCs w:val="22"/>
        </w:rPr>
        <w:t>a seventh year of funding during 2021.</w:t>
      </w:r>
      <w:r>
        <w:rPr>
          <w:rStyle w:val="FootnoteReference"/>
          <w:sz w:val="22"/>
          <w:szCs w:val="22"/>
        </w:rPr>
        <w:footnoteReference w:id="17"/>
      </w:r>
      <w:r w:rsidRPr="0019171E">
        <w:rPr>
          <w:szCs w:val="22"/>
        </w:rPr>
        <w:t xml:space="preserve">  </w:t>
      </w:r>
      <w:r w:rsidRPr="0019171E" w:rsidR="00367188">
        <w:rPr>
          <w:szCs w:val="22"/>
        </w:rPr>
        <w:t>These carriers could have a full one-year pre-test period during 2020 and still have a full year of testing prior to the end of their funding terms.  Therefore, we allow CAF Phase II carriers that will receive funding for a seventh year to choose to continue pre-testing during the third and fourth quarters of 2020</w:t>
      </w:r>
      <w:r w:rsidRPr="0019171E" w:rsidR="004179D6">
        <w:rPr>
          <w:szCs w:val="22"/>
        </w:rPr>
        <w:t>, subject to the sampling requirements outlined below</w:t>
      </w:r>
      <w:r w:rsidRPr="0019171E" w:rsidR="00367188">
        <w:rPr>
          <w:szCs w:val="22"/>
        </w:rPr>
        <w:t>.</w:t>
      </w:r>
      <w:r>
        <w:rPr>
          <w:rStyle w:val="FootnoteReference"/>
          <w:sz w:val="22"/>
          <w:szCs w:val="22"/>
        </w:rPr>
        <w:footnoteReference w:id="18"/>
      </w:r>
      <w:r w:rsidRPr="0019171E" w:rsidR="00367188">
        <w:rPr>
          <w:szCs w:val="22"/>
        </w:rPr>
        <w:t xml:space="preserve">  Any CAF Phase II carrier that will not be </w:t>
      </w:r>
      <w:r w:rsidRPr="0019171E" w:rsidR="003A611C">
        <w:rPr>
          <w:szCs w:val="22"/>
        </w:rPr>
        <w:t xml:space="preserve">electing </w:t>
      </w:r>
      <w:r w:rsidRPr="0019171E" w:rsidR="00367188">
        <w:rPr>
          <w:szCs w:val="22"/>
        </w:rPr>
        <w:t xml:space="preserve">a seventh year of support </w:t>
      </w:r>
      <w:r w:rsidRPr="0019171E" w:rsidR="3D32C163">
        <w:rPr>
          <w:szCs w:val="22"/>
        </w:rPr>
        <w:t xml:space="preserve">must </w:t>
      </w:r>
      <w:r w:rsidRPr="0019171E" w:rsidR="00367188">
        <w:rPr>
          <w:szCs w:val="22"/>
        </w:rPr>
        <w:t>complete testing in the third and fourth quarters of 2020 in accordance with the Commission’s rules.</w:t>
      </w:r>
      <w:r>
        <w:rPr>
          <w:rStyle w:val="FootnoteReference"/>
          <w:sz w:val="22"/>
          <w:szCs w:val="22"/>
        </w:rPr>
        <w:footnoteReference w:id="19"/>
      </w:r>
    </w:p>
    <w:p w:rsidR="00826957" w:rsidRPr="0019171E" w:rsidP="00AA0BD1" w14:paraId="64388AD9" w14:textId="301C72B2">
      <w:pPr>
        <w:pStyle w:val="ParaNum"/>
        <w:rPr>
          <w:szCs w:val="22"/>
        </w:rPr>
      </w:pPr>
      <w:r w:rsidRPr="0019171E">
        <w:rPr>
          <w:szCs w:val="22"/>
        </w:rPr>
        <w:t xml:space="preserve">For </w:t>
      </w:r>
      <w:r w:rsidRPr="0019171E" w:rsidR="006112E8">
        <w:rPr>
          <w:szCs w:val="22"/>
        </w:rPr>
        <w:t>pre</w:t>
      </w:r>
      <w:r w:rsidRPr="0019171E" w:rsidR="458B17D2">
        <w:rPr>
          <w:szCs w:val="22"/>
        </w:rPr>
        <w:t>-</w:t>
      </w:r>
      <w:r w:rsidRPr="0019171E" w:rsidR="006112E8">
        <w:rPr>
          <w:szCs w:val="22"/>
        </w:rPr>
        <w:t>testing during the first and second quarters of 2020</w:t>
      </w:r>
      <w:r w:rsidRPr="0019171E">
        <w:rPr>
          <w:szCs w:val="22"/>
        </w:rPr>
        <w:t xml:space="preserve">, the Bureau waived certain subscriber sampling requirements to minimize </w:t>
      </w:r>
      <w:r w:rsidRPr="0019171E">
        <w:rPr>
          <w:snapToGrid/>
          <w:kern w:val="0"/>
          <w:szCs w:val="22"/>
        </w:rPr>
        <w:t xml:space="preserve">unnecessary person-to-person contact through installation of equipment needed for testing in subscriber homes and diversion of resources needed to address the </w:t>
      </w:r>
      <w:r w:rsidRPr="0019171E">
        <w:rPr>
          <w:snapToGrid/>
          <w:kern w:val="0"/>
          <w:szCs w:val="22"/>
        </w:rPr>
        <w:t>increased network demands as a result of the C</w:t>
      </w:r>
      <w:r w:rsidRPr="0019171E" w:rsidR="005B1100">
        <w:rPr>
          <w:snapToGrid/>
          <w:kern w:val="0"/>
          <w:szCs w:val="22"/>
        </w:rPr>
        <w:t>OVID</w:t>
      </w:r>
      <w:r w:rsidRPr="0019171E">
        <w:rPr>
          <w:snapToGrid/>
          <w:kern w:val="0"/>
          <w:szCs w:val="22"/>
        </w:rPr>
        <w:t>-19 pandemic.</w:t>
      </w:r>
      <w:r>
        <w:rPr>
          <w:rStyle w:val="FootnoteReference"/>
          <w:snapToGrid/>
          <w:kern w:val="0"/>
          <w:sz w:val="22"/>
          <w:szCs w:val="22"/>
        </w:rPr>
        <w:footnoteReference w:id="20"/>
      </w:r>
      <w:r w:rsidRPr="0019171E">
        <w:rPr>
          <w:snapToGrid/>
          <w:kern w:val="0"/>
          <w:szCs w:val="22"/>
        </w:rPr>
        <w:t xml:space="preserve">  The Bureau stated that carriers using either a random USAC-selected sample or self-selected sample of subscribers were only required to conduct testing based on the number of subscribers in each area (up to the required sample size) that already have the necessary equipment installed as of the date of the waiver.</w:t>
      </w:r>
      <w:r>
        <w:rPr>
          <w:rStyle w:val="FootnoteReference"/>
          <w:snapToGrid/>
          <w:kern w:val="0"/>
          <w:sz w:val="22"/>
          <w:szCs w:val="22"/>
        </w:rPr>
        <w:footnoteReference w:id="21"/>
      </w:r>
      <w:r w:rsidRPr="0019171E">
        <w:rPr>
          <w:snapToGrid/>
          <w:kern w:val="0"/>
          <w:szCs w:val="22"/>
        </w:rPr>
        <w:t xml:space="preserve"> </w:t>
      </w:r>
      <w:r w:rsidRPr="0019171E" w:rsidR="00E96C68">
        <w:rPr>
          <w:snapToGrid/>
          <w:kern w:val="0"/>
          <w:szCs w:val="22"/>
        </w:rPr>
        <w:t xml:space="preserve"> </w:t>
      </w:r>
      <w:r w:rsidRPr="0019171E">
        <w:rPr>
          <w:snapToGrid/>
          <w:kern w:val="0"/>
          <w:szCs w:val="22"/>
        </w:rPr>
        <w:t xml:space="preserve">Although first quarter pre-testing results show that most carriers made sincere efforts to pre-test as many subscribers as possible, some carriers made little to no effort to test subscribers after the Bureau’s waiver was adopted.  A primary purpose of pre-testing was to allow carriers to gain experience with the testing requirements and procedures so that they would be fully prepared for testing </w:t>
      </w:r>
      <w:r w:rsidRPr="0019171E" w:rsidR="31937CD7">
        <w:rPr>
          <w:snapToGrid/>
          <w:kern w:val="0"/>
          <w:szCs w:val="22"/>
        </w:rPr>
        <w:t xml:space="preserve">before </w:t>
      </w:r>
      <w:r w:rsidRPr="0019171E" w:rsidR="5E1B28AD">
        <w:rPr>
          <w:snapToGrid/>
          <w:kern w:val="0"/>
          <w:szCs w:val="22"/>
        </w:rPr>
        <w:t>carriers are subject</w:t>
      </w:r>
      <w:r w:rsidRPr="0019171E">
        <w:rPr>
          <w:snapToGrid/>
          <w:kern w:val="0"/>
          <w:szCs w:val="22"/>
        </w:rPr>
        <w:t xml:space="preserve"> to the withholding of support </w:t>
      </w:r>
      <w:r w:rsidRPr="0019171E" w:rsidR="78D3D6FC">
        <w:rPr>
          <w:snapToGrid/>
          <w:kern w:val="0"/>
          <w:szCs w:val="22"/>
        </w:rPr>
        <w:t xml:space="preserve">for </w:t>
      </w:r>
      <w:r w:rsidRPr="0019171E" w:rsidR="337D8CD7">
        <w:rPr>
          <w:snapToGrid/>
          <w:kern w:val="0"/>
          <w:szCs w:val="22"/>
        </w:rPr>
        <w:t xml:space="preserve">failure to </w:t>
      </w:r>
      <w:r w:rsidRPr="0019171E">
        <w:rPr>
          <w:snapToGrid/>
          <w:kern w:val="0"/>
          <w:szCs w:val="22"/>
        </w:rPr>
        <w:t xml:space="preserve">meet the required </w:t>
      </w:r>
      <w:r w:rsidRPr="0019171E" w:rsidR="543A6E7B">
        <w:rPr>
          <w:snapToGrid/>
          <w:kern w:val="0"/>
          <w:szCs w:val="22"/>
        </w:rPr>
        <w:t xml:space="preserve">performance </w:t>
      </w:r>
      <w:r w:rsidRPr="0019171E">
        <w:rPr>
          <w:snapToGrid/>
          <w:kern w:val="0"/>
          <w:szCs w:val="22"/>
        </w:rPr>
        <w:t>standards.</w:t>
      </w:r>
      <w:r>
        <w:rPr>
          <w:rStyle w:val="FootnoteReference"/>
          <w:snapToGrid/>
          <w:kern w:val="0"/>
          <w:sz w:val="22"/>
          <w:szCs w:val="22"/>
        </w:rPr>
        <w:footnoteReference w:id="22"/>
      </w:r>
      <w:r w:rsidRPr="0019171E">
        <w:rPr>
          <w:snapToGrid/>
          <w:kern w:val="0"/>
          <w:szCs w:val="22"/>
        </w:rPr>
        <w:t xml:space="preserve">  That objective cannot be achieved if carriers are not pre-testing any subscribers or are testing only a very small number of subscribers.</w:t>
      </w:r>
    </w:p>
    <w:p w:rsidR="0080386E" w:rsidRPr="0019171E" w:rsidP="00AA0BD1" w14:paraId="2D4548FB" w14:textId="4E68F573">
      <w:pPr>
        <w:pStyle w:val="ParaNum"/>
        <w:rPr>
          <w:szCs w:val="22"/>
        </w:rPr>
      </w:pPr>
      <w:r w:rsidRPr="0019171E">
        <w:rPr>
          <w:snapToGrid/>
          <w:kern w:val="0"/>
          <w:szCs w:val="22"/>
        </w:rPr>
        <w:t xml:space="preserve">To ensure that </w:t>
      </w:r>
      <w:r w:rsidRPr="0019171E" w:rsidR="007A47E2">
        <w:rPr>
          <w:snapToGrid/>
          <w:kern w:val="0"/>
          <w:szCs w:val="22"/>
        </w:rPr>
        <w:t xml:space="preserve">carriers that continue pre-testing in 2020 are prepared to begin testing in 2021, we </w:t>
      </w:r>
      <w:r w:rsidRPr="0019171E" w:rsidR="00870264">
        <w:rPr>
          <w:snapToGrid/>
          <w:kern w:val="0"/>
          <w:szCs w:val="22"/>
        </w:rPr>
        <w:t xml:space="preserve">require </w:t>
      </w:r>
      <w:r w:rsidRPr="0019171E" w:rsidR="00870264">
        <w:rPr>
          <w:szCs w:val="22"/>
        </w:rPr>
        <w:t>any carrier that test</w:t>
      </w:r>
      <w:r w:rsidRPr="0019171E" w:rsidR="005D1011">
        <w:rPr>
          <w:szCs w:val="22"/>
        </w:rPr>
        <w:t>s</w:t>
      </w:r>
      <w:r w:rsidRPr="0019171E" w:rsidR="00826957">
        <w:rPr>
          <w:szCs w:val="22"/>
        </w:rPr>
        <w:t xml:space="preserve"> less than 70%</w:t>
      </w:r>
      <w:r w:rsidRPr="0019171E" w:rsidR="00870264">
        <w:rPr>
          <w:szCs w:val="22"/>
        </w:rPr>
        <w:t xml:space="preserve"> of its USAC-selected sample to file results for a carrier-selected sample in addition to the USAC-selected sample to </w:t>
      </w:r>
      <w:r w:rsidRPr="0019171E" w:rsidR="62B7F764">
        <w:rPr>
          <w:szCs w:val="22"/>
        </w:rPr>
        <w:t xml:space="preserve">ensure that it </w:t>
      </w:r>
      <w:r w:rsidRPr="0019171E" w:rsidR="00870264">
        <w:rPr>
          <w:szCs w:val="22"/>
        </w:rPr>
        <w:t>complete</w:t>
      </w:r>
      <w:r w:rsidRPr="0019171E" w:rsidR="1BA03AAE">
        <w:rPr>
          <w:szCs w:val="22"/>
        </w:rPr>
        <w:t>s</w:t>
      </w:r>
      <w:r w:rsidRPr="0019171E" w:rsidR="00870264">
        <w:rPr>
          <w:szCs w:val="22"/>
        </w:rPr>
        <w:t xml:space="preserve"> </w:t>
      </w:r>
      <w:r w:rsidRPr="0019171E" w:rsidR="53E47B7D">
        <w:rPr>
          <w:szCs w:val="22"/>
        </w:rPr>
        <w:t>testing of</w:t>
      </w:r>
      <w:r w:rsidRPr="0019171E" w:rsidR="00870264">
        <w:rPr>
          <w:szCs w:val="22"/>
        </w:rPr>
        <w:t xml:space="preserve"> its full sample size.  For example, if a carrier is required to have 50 subscribers in a state but has only 20</w:t>
      </w:r>
      <w:r w:rsidRPr="0019171E" w:rsidR="005D1011">
        <w:rPr>
          <w:szCs w:val="22"/>
        </w:rPr>
        <w:t xml:space="preserve"> USAC-selected subscribers</w:t>
      </w:r>
      <w:r w:rsidRPr="0019171E" w:rsidR="00870264">
        <w:rPr>
          <w:szCs w:val="22"/>
        </w:rPr>
        <w:t xml:space="preserve">, it will be required to file results for the 20 </w:t>
      </w:r>
      <w:r w:rsidRPr="0019171E" w:rsidR="005D1011">
        <w:rPr>
          <w:szCs w:val="22"/>
        </w:rPr>
        <w:t xml:space="preserve">USAC-selected </w:t>
      </w:r>
      <w:r w:rsidRPr="0019171E" w:rsidR="00870264">
        <w:rPr>
          <w:szCs w:val="22"/>
        </w:rPr>
        <w:t xml:space="preserve">subscribers plus results for 30 subscribers from a carrier-selected sample.  Once the carrier has reached 70% of its USAC-selected subscribers, it will no longer be required to file the carrier-selected sample.  For example, once the carrier above </w:t>
      </w:r>
      <w:r w:rsidRPr="0019171E" w:rsidR="00870264">
        <w:rPr>
          <w:szCs w:val="22"/>
        </w:rPr>
        <w:t>is able to</w:t>
      </w:r>
      <w:r w:rsidRPr="0019171E" w:rsidR="00870264">
        <w:rPr>
          <w:szCs w:val="22"/>
        </w:rPr>
        <w:t xml:space="preserve"> test at least 35 USAC-selected subscribers, it will no longer </w:t>
      </w:r>
      <w:r w:rsidRPr="0019171E" w:rsidR="6A84F2BA">
        <w:rPr>
          <w:szCs w:val="22"/>
        </w:rPr>
        <w:t xml:space="preserve">be required </w:t>
      </w:r>
      <w:r w:rsidRPr="0019171E" w:rsidR="00870264">
        <w:rPr>
          <w:szCs w:val="22"/>
        </w:rPr>
        <w:t>to file any carrier-selected subscriber results. </w:t>
      </w:r>
      <w:r w:rsidRPr="0019171E" w:rsidR="00826957">
        <w:rPr>
          <w:szCs w:val="22"/>
        </w:rPr>
        <w:t xml:space="preserve"> However, all CAF Phase II carriers, including those pre-testing carrier</w:t>
      </w:r>
      <w:r w:rsidRPr="0019171E" w:rsidR="007E1D25">
        <w:rPr>
          <w:szCs w:val="22"/>
        </w:rPr>
        <w:t>-</w:t>
      </w:r>
      <w:r w:rsidRPr="0019171E" w:rsidR="00826957">
        <w:rPr>
          <w:szCs w:val="22"/>
        </w:rPr>
        <w:t xml:space="preserve">selected samples, must be prepared to begin testing </w:t>
      </w:r>
      <w:r w:rsidRPr="0019171E" w:rsidR="00826957">
        <w:rPr>
          <w:szCs w:val="22"/>
        </w:rPr>
        <w:t>a</w:t>
      </w:r>
      <w:r w:rsidRPr="0019171E" w:rsidR="00CE5026">
        <w:rPr>
          <w:szCs w:val="22"/>
        </w:rPr>
        <w:t>ll of</w:t>
      </w:r>
      <w:r w:rsidRPr="0019171E" w:rsidR="00CE5026">
        <w:rPr>
          <w:szCs w:val="22"/>
        </w:rPr>
        <w:t xml:space="preserve"> the subscribers in the </w:t>
      </w:r>
      <w:r w:rsidRPr="0019171E" w:rsidR="00826957">
        <w:rPr>
          <w:szCs w:val="22"/>
        </w:rPr>
        <w:t>USAC-selected sample in the first quarter of 2021</w:t>
      </w:r>
      <w:r w:rsidRPr="0019171E" w:rsidR="00874276">
        <w:rPr>
          <w:szCs w:val="22"/>
        </w:rPr>
        <w:t>.</w:t>
      </w:r>
    </w:p>
    <w:p w:rsidR="00C53C1F" w:rsidRPr="0019171E" w:rsidP="00AA0BD1" w14:paraId="0428C2B6" w14:textId="0CB2CB5D">
      <w:pPr>
        <w:pStyle w:val="ParaNum"/>
        <w:rPr>
          <w:szCs w:val="22"/>
        </w:rPr>
      </w:pPr>
      <w:r w:rsidRPr="0019171E">
        <w:rPr>
          <w:szCs w:val="22"/>
        </w:rPr>
        <w:t xml:space="preserve">Accordingly, IT IS ORDERED that, pursuant to sections 0.91, 0.291, and 1.3 of the Commission’s rules, 47 CFR §§ 0.91, 0.291, 1.3, </w:t>
      </w:r>
      <w:r w:rsidRPr="0019171E" w:rsidR="007D344B">
        <w:rPr>
          <w:szCs w:val="22"/>
        </w:rPr>
        <w:t xml:space="preserve">the CAF Phase II </w:t>
      </w:r>
      <w:r w:rsidRPr="0019171E" w:rsidR="00A5081B">
        <w:rPr>
          <w:szCs w:val="22"/>
        </w:rPr>
        <w:t xml:space="preserve">Speed and Latency Testing Template </w:t>
      </w:r>
      <w:r w:rsidRPr="0019171E" w:rsidR="007D344B">
        <w:rPr>
          <w:szCs w:val="22"/>
        </w:rPr>
        <w:t>requirements</w:t>
      </w:r>
      <w:r w:rsidRPr="0019171E">
        <w:rPr>
          <w:szCs w:val="22"/>
        </w:rPr>
        <w:t xml:space="preserve"> </w:t>
      </w:r>
      <w:r w:rsidRPr="0019171E" w:rsidR="007D344B">
        <w:rPr>
          <w:szCs w:val="22"/>
        </w:rPr>
        <w:t>ARE</w:t>
      </w:r>
      <w:r w:rsidRPr="0019171E">
        <w:rPr>
          <w:szCs w:val="22"/>
        </w:rPr>
        <w:t xml:space="preserve"> WAIVED to the extent described above.</w:t>
      </w:r>
    </w:p>
    <w:p w:rsidR="00C53C1F" w:rsidP="00AA0BD1" w14:paraId="2AC2832E" w14:textId="1EDD0DA2">
      <w:pPr>
        <w:pStyle w:val="ParaNum"/>
        <w:rPr>
          <w:szCs w:val="22"/>
        </w:rPr>
      </w:pPr>
      <w:r w:rsidRPr="0019171E">
        <w:rPr>
          <w:szCs w:val="22"/>
        </w:rPr>
        <w:t xml:space="preserve">IT IS FURTHER ORDERED that, pursuant to section 1.102(b)(1) of the Commission’s rules, 47 CFR § 1.102(b)(1), this Order SHALL BE EFFECTIVE upon release. </w:t>
      </w:r>
    </w:p>
    <w:p w:rsidR="000F6F76" w:rsidP="000F6F76" w14:paraId="2160CBAF" w14:textId="1972BC2A">
      <w:pPr>
        <w:pStyle w:val="ParaNum"/>
        <w:numPr>
          <w:ilvl w:val="0"/>
          <w:numId w:val="0"/>
        </w:numPr>
        <w:rPr>
          <w:szCs w:val="22"/>
        </w:rPr>
      </w:pPr>
    </w:p>
    <w:p w:rsidR="000F6F76" w:rsidP="0017296B" w14:paraId="5C2E5584" w14:textId="77777777">
      <w:r>
        <w:tab/>
      </w:r>
      <w:r>
        <w:tab/>
      </w:r>
      <w:r>
        <w:tab/>
      </w:r>
      <w:r>
        <w:tab/>
      </w:r>
      <w:r>
        <w:tab/>
      </w:r>
      <w:r>
        <w:tab/>
        <w:t>FEDERAL COMMUNICATIONS COMMISSION</w:t>
      </w:r>
    </w:p>
    <w:p w:rsidR="000F6F76" w:rsidP="0017296B" w14:paraId="78939107" w14:textId="77777777"/>
    <w:p w:rsidR="000F6F76" w:rsidP="0017296B" w14:paraId="502F9ED8" w14:textId="77777777"/>
    <w:p w:rsidR="000F6F76" w:rsidP="0017296B" w14:paraId="4DEDB47C" w14:textId="77777777"/>
    <w:p w:rsidR="000F6F76" w:rsidP="0017296B" w14:paraId="3331E817" w14:textId="77777777"/>
    <w:p w:rsidR="000F6F76" w:rsidRPr="0019171E" w:rsidP="000F6F76" w14:paraId="220B027A" w14:textId="1EE950D0">
      <w:pPr>
        <w:pStyle w:val="ParaNum"/>
        <w:numPr>
          <w:ilvl w:val="0"/>
          <w:numId w:val="0"/>
        </w:numPr>
        <w:spacing w:after="0"/>
        <w:ind w:left="2880" w:firstLine="720"/>
        <w:rPr>
          <w:szCs w:val="22"/>
        </w:rPr>
      </w:pPr>
      <w:r>
        <w:tab/>
      </w:r>
      <w:r w:rsidRPr="0019171E">
        <w:rPr>
          <w:szCs w:val="22"/>
        </w:rPr>
        <w:t xml:space="preserve">Kris Anne Monteith </w:t>
      </w:r>
    </w:p>
    <w:p w:rsidR="000F6F76" w:rsidRPr="0019171E" w:rsidP="000F6F76" w14:paraId="1B6AB978" w14:textId="77777777">
      <w:pPr>
        <w:pStyle w:val="ParaNum"/>
        <w:numPr>
          <w:ilvl w:val="0"/>
          <w:numId w:val="0"/>
        </w:numPr>
        <w:spacing w:after="0"/>
        <w:ind w:left="3600" w:firstLine="720"/>
        <w:rPr>
          <w:szCs w:val="22"/>
        </w:rPr>
      </w:pPr>
      <w:r w:rsidRPr="0019171E">
        <w:rPr>
          <w:szCs w:val="22"/>
        </w:rPr>
        <w:t xml:space="preserve">Chief </w:t>
      </w:r>
    </w:p>
    <w:p w:rsidR="00C53C1F" w:rsidRPr="0019171E" w:rsidP="000F6F76" w14:paraId="2745E98C" w14:textId="77CE043D">
      <w:pPr>
        <w:pStyle w:val="ParaNum"/>
        <w:numPr>
          <w:ilvl w:val="0"/>
          <w:numId w:val="0"/>
        </w:numPr>
        <w:spacing w:after="0"/>
        <w:ind w:left="3600" w:firstLine="720"/>
        <w:rPr>
          <w:szCs w:val="22"/>
        </w:rPr>
      </w:pPr>
      <w:r w:rsidRPr="0019171E">
        <w:rPr>
          <w:szCs w:val="22"/>
        </w:rPr>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BE1D3B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183033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F6F76" w14:paraId="5281F480" w14:textId="024CF64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081453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28E1" w14:paraId="06CAB862" w14:textId="77777777">
      <w:r>
        <w:separator/>
      </w:r>
    </w:p>
  </w:footnote>
  <w:footnote w:type="continuationSeparator" w:id="1">
    <w:p w:rsidR="007A28E1" w:rsidP="00C721AC" w14:paraId="4C63B82D" w14:textId="77777777">
      <w:pPr>
        <w:spacing w:before="120"/>
        <w:rPr>
          <w:sz w:val="20"/>
        </w:rPr>
      </w:pPr>
      <w:r>
        <w:rPr>
          <w:sz w:val="20"/>
        </w:rPr>
        <w:t xml:space="preserve">(Continued from previous page)  </w:t>
      </w:r>
      <w:r>
        <w:rPr>
          <w:sz w:val="20"/>
        </w:rPr>
        <w:separator/>
      </w:r>
    </w:p>
  </w:footnote>
  <w:footnote w:type="continuationNotice" w:id="2">
    <w:p w:rsidR="007A28E1" w:rsidP="00215443" w14:paraId="3E04CF28" w14:textId="77777777">
      <w:pPr>
        <w:jc w:val="center"/>
        <w:rPr>
          <w:sz w:val="20"/>
        </w:rPr>
      </w:pPr>
    </w:p>
  </w:footnote>
  <w:footnote w:id="3">
    <w:p w:rsidR="008560FD" w:rsidRPr="00643187" w14:paraId="7427C757" w14:textId="63257D0B">
      <w:pPr>
        <w:pStyle w:val="FootnoteText"/>
      </w:pPr>
      <w:r>
        <w:rPr>
          <w:rStyle w:val="FootnoteReference"/>
        </w:rPr>
        <w:footnoteRef/>
      </w:r>
      <w:r>
        <w:t xml:space="preserve"> </w:t>
      </w:r>
      <w:r w:rsidR="00FE29E3">
        <w:t xml:space="preserve">47 CFR § 54.313(j). </w:t>
      </w:r>
      <w:r w:rsidR="00D5731F">
        <w:t xml:space="preserve"> </w:t>
      </w:r>
      <w:r w:rsidRPr="005326FA" w:rsidR="00FE29E3">
        <w:rPr>
          <w:i/>
        </w:rPr>
        <w:t>See</w:t>
      </w:r>
      <w:r w:rsidR="00FE29E3">
        <w:t xml:space="preserve"> 47 CFR § 1.3 (Commission may waive its rules on its own motion).</w:t>
      </w:r>
      <w:r w:rsidR="00643187">
        <w:t xml:space="preserve">  The Commission adopted detailed performance measures requirements in 2018 and an order </w:t>
      </w:r>
      <w:r w:rsidRPr="00643187" w:rsidR="00643187">
        <w:t xml:space="preserve">on reconsideration in 2019.  </w:t>
      </w:r>
      <w:r w:rsidRPr="00643187" w:rsidR="00643187">
        <w:rPr>
          <w:i/>
          <w:iCs/>
        </w:rPr>
        <w:t>See</w:t>
      </w:r>
      <w:r w:rsidRPr="00643187" w:rsidR="00643187">
        <w:t xml:space="preserve"> </w:t>
      </w:r>
      <w:r w:rsidRPr="00643187" w:rsidR="00643187">
        <w:rPr>
          <w:i/>
          <w:iCs/>
        </w:rPr>
        <w:t>Connect America Fund</w:t>
      </w:r>
      <w:r w:rsidRPr="00643187" w:rsidR="00643187">
        <w:t>, Order, WC Docket No. 10-90, 33 FCC Rcd 6509 (WCB 2018) (</w:t>
      </w:r>
      <w:r w:rsidRPr="00500EDF" w:rsidR="00643187">
        <w:rPr>
          <w:i/>
          <w:iCs/>
        </w:rPr>
        <w:t>First Performance Measures Order</w:t>
      </w:r>
      <w:r w:rsidRPr="00643187" w:rsidR="00643187">
        <w:t xml:space="preserve">) and </w:t>
      </w:r>
      <w:r w:rsidRPr="00643187" w:rsidR="00643187">
        <w:rPr>
          <w:i/>
          <w:iCs/>
        </w:rPr>
        <w:t>Connect America Fund</w:t>
      </w:r>
      <w:r w:rsidRPr="00643187" w:rsidR="00643187">
        <w:t>, Order on Reconsideration, WC Docket No. 10-90, 34 FCC Rcd 10109 (2019) (</w:t>
      </w:r>
      <w:r w:rsidRPr="00500EDF" w:rsidR="00643187">
        <w:rPr>
          <w:i/>
          <w:iCs/>
        </w:rPr>
        <w:t>Performance Measures Reconsideration Order</w:t>
      </w:r>
      <w:r w:rsidRPr="00643187" w:rsidR="00643187">
        <w:t>).</w:t>
      </w:r>
      <w:r w:rsidR="00D5731F">
        <w:t xml:space="preserve">  </w:t>
      </w:r>
    </w:p>
  </w:footnote>
  <w:footnote w:id="4">
    <w:p w:rsidR="005D1011" w14:paraId="1D606F8C" w14:textId="478A22C8">
      <w:pPr>
        <w:pStyle w:val="FootnoteText"/>
      </w:pPr>
      <w:r>
        <w:rPr>
          <w:rStyle w:val="FootnoteReference"/>
        </w:rPr>
        <w:footnoteRef/>
      </w:r>
      <w:r>
        <w:t xml:space="preserve"> </w:t>
      </w:r>
      <w:r w:rsidR="00E7073A">
        <w:rPr>
          <w:i/>
          <w:iCs/>
          <w:snapToGrid w:val="0"/>
        </w:rPr>
        <w:t>Rural Digital Opportunity Fund; Connect America Fund</w:t>
      </w:r>
      <w:r w:rsidR="00E7073A">
        <w:rPr>
          <w:snapToGrid w:val="0"/>
        </w:rPr>
        <w:t>, WC Docket Nos. 19-126, 10-90, Report and Order, 35 FCC Rcd 686, 740-41, para. 127 (2020).</w:t>
      </w:r>
    </w:p>
  </w:footnote>
  <w:footnote w:id="5">
    <w:p w:rsidR="00A13205" w14:paraId="58A2179A" w14:textId="3F51492A">
      <w:pPr>
        <w:pStyle w:val="FootnoteText"/>
      </w:pPr>
      <w:r>
        <w:rPr>
          <w:rStyle w:val="FootnoteReference"/>
        </w:rPr>
        <w:footnoteRef/>
      </w:r>
      <w:r>
        <w:t xml:space="preserve"> </w:t>
      </w:r>
      <w:r w:rsidRPr="00500EDF" w:rsidR="00251A1D">
        <w:rPr>
          <w:i/>
          <w:iCs/>
        </w:rPr>
        <w:t>Performance Measures Reconsideration Order</w:t>
      </w:r>
      <w:r w:rsidR="00251A1D">
        <w:rPr>
          <w:i/>
          <w:iCs/>
        </w:rPr>
        <w:t xml:space="preserve">, </w:t>
      </w:r>
      <w:r w:rsidR="00251A1D">
        <w:t>34 FCC Rcd</w:t>
      </w:r>
      <w:r>
        <w:t xml:space="preserve"> at 10110, para. 2.</w:t>
      </w:r>
    </w:p>
  </w:footnote>
  <w:footnote w:id="6">
    <w:p w:rsidR="00A13205" w14:paraId="5D704C4E" w14:textId="77777777">
      <w:pPr>
        <w:pStyle w:val="FootnoteText"/>
      </w:pPr>
      <w:r>
        <w:rPr>
          <w:rStyle w:val="FootnoteReference"/>
        </w:rPr>
        <w:footnoteRef/>
      </w:r>
      <w:r>
        <w:t xml:space="preserve"> </w:t>
      </w:r>
      <w:r w:rsidRPr="00A13205">
        <w:rPr>
          <w:i/>
          <w:iCs/>
        </w:rPr>
        <w:t>Id</w:t>
      </w:r>
      <w:r>
        <w:t xml:space="preserve">. at 10133-38, paras. 65-75; </w:t>
      </w:r>
      <w:r w:rsidRPr="00500EDF">
        <w:rPr>
          <w:i/>
          <w:iCs/>
        </w:rPr>
        <w:t>First Performance Measures Order</w:t>
      </w:r>
      <w:r>
        <w:t xml:space="preserve">, </w:t>
      </w:r>
      <w:r w:rsidRPr="00643187">
        <w:t>33 FCC Rcd</w:t>
      </w:r>
      <w:r>
        <w:t xml:space="preserve"> at 6530-33, paras. 56-67.</w:t>
      </w:r>
    </w:p>
  </w:footnote>
  <w:footnote w:id="7">
    <w:p w:rsidR="00A73978" w14:paraId="382C329D" w14:textId="77777777">
      <w:pPr>
        <w:pStyle w:val="FootnoteText"/>
      </w:pPr>
      <w:r>
        <w:rPr>
          <w:rStyle w:val="FootnoteReference"/>
        </w:rPr>
        <w:footnoteRef/>
      </w:r>
      <w:r>
        <w:t xml:space="preserve"> </w:t>
      </w:r>
      <w:r w:rsidRPr="00500EDF">
        <w:rPr>
          <w:i/>
          <w:iCs/>
        </w:rPr>
        <w:t>Performance Measures Reconsideration Order</w:t>
      </w:r>
      <w:r>
        <w:t>, 34 FCC Rcd at 10139, paras. 78-79.</w:t>
      </w:r>
    </w:p>
  </w:footnote>
  <w:footnote w:id="8">
    <w:p w:rsidR="005F2713" w14:paraId="129E888E" w14:textId="77777777">
      <w:pPr>
        <w:pStyle w:val="FootnoteText"/>
      </w:pPr>
      <w:r>
        <w:rPr>
          <w:rStyle w:val="FootnoteReference"/>
        </w:rPr>
        <w:footnoteRef/>
      </w:r>
      <w:r>
        <w:t xml:space="preserve"> </w:t>
      </w:r>
      <w:r w:rsidRPr="005F2713">
        <w:rPr>
          <w:i/>
          <w:iCs/>
        </w:rPr>
        <w:t>Id</w:t>
      </w:r>
      <w:r>
        <w:t>. at 10140, para. 81.</w:t>
      </w:r>
    </w:p>
  </w:footnote>
  <w:footnote w:id="9">
    <w:p w:rsidR="00B56C30" w14:paraId="3D05DE95" w14:textId="1CBFC5F4">
      <w:pPr>
        <w:pStyle w:val="FootnoteText"/>
      </w:pPr>
      <w:r>
        <w:rPr>
          <w:rStyle w:val="FootnoteReference"/>
        </w:rPr>
        <w:footnoteRef/>
      </w:r>
      <w:r>
        <w:t xml:space="preserve"> </w:t>
      </w:r>
      <w:r w:rsidRPr="000F6F76">
        <w:rPr>
          <w:i/>
          <w:iCs/>
        </w:rPr>
        <w:t>Id</w:t>
      </w:r>
      <w:r>
        <w:t>.</w:t>
      </w:r>
    </w:p>
  </w:footnote>
  <w:footnote w:id="10">
    <w:p w:rsidR="000F6BF0" w14:paraId="266E4C7B" w14:textId="254E7A36">
      <w:pPr>
        <w:pStyle w:val="FootnoteText"/>
      </w:pPr>
      <w:r>
        <w:rPr>
          <w:rStyle w:val="FootnoteReference"/>
        </w:rPr>
        <w:footnoteRef/>
      </w:r>
      <w:r>
        <w:t xml:space="preserve"> </w:t>
      </w:r>
      <w:r w:rsidRPr="00500EDF" w:rsidR="00EE1159">
        <w:rPr>
          <w:i/>
          <w:iCs/>
        </w:rPr>
        <w:t>First Performance Measures Order</w:t>
      </w:r>
      <w:r w:rsidR="00EE1159">
        <w:t xml:space="preserve">, </w:t>
      </w:r>
      <w:r w:rsidRPr="00643187" w:rsidR="00EE1159">
        <w:t>33 FCC Rcd</w:t>
      </w:r>
      <w:r w:rsidR="00EE1159">
        <w:t xml:space="preserve"> at 6533</w:t>
      </w:r>
      <w:r>
        <w:t>, para. 67</w:t>
      </w:r>
      <w:r w:rsidR="00EE1159">
        <w:t>.</w:t>
      </w:r>
    </w:p>
  </w:footnote>
  <w:footnote w:id="11">
    <w:p w:rsidR="00694112" w14:paraId="1C29BB23" w14:textId="77777777">
      <w:pPr>
        <w:pStyle w:val="FootnoteText"/>
      </w:pPr>
      <w:r>
        <w:rPr>
          <w:rStyle w:val="FootnoteReference"/>
        </w:rPr>
        <w:footnoteRef/>
      </w:r>
      <w:r>
        <w:t xml:space="preserve"> 47 CFR § 1.3. </w:t>
      </w:r>
    </w:p>
  </w:footnote>
  <w:footnote w:id="12">
    <w:p w:rsidR="003C15C2" w14:paraId="07FCEC49" w14:textId="77777777">
      <w:pPr>
        <w:pStyle w:val="FootnoteText"/>
      </w:pPr>
      <w:r>
        <w:rPr>
          <w:rStyle w:val="FootnoteReference"/>
        </w:rPr>
        <w:footnoteRef/>
      </w:r>
      <w:r>
        <w:t xml:space="preserve"> </w:t>
      </w:r>
      <w:r w:rsidRPr="00500EDF">
        <w:rPr>
          <w:i/>
          <w:iCs/>
        </w:rPr>
        <w:t>Northeast Cellular Telephone Co. v. FCC</w:t>
      </w:r>
      <w:r>
        <w:t xml:space="preserve">, 897 </w:t>
      </w:r>
      <w:r>
        <w:t>F.2d</w:t>
      </w:r>
      <w:r>
        <w:t xml:space="preserve"> 1164, 1166 (D.C. Cir. 1990) (</w:t>
      </w:r>
      <w:r w:rsidRPr="00500EDF">
        <w:rPr>
          <w:i/>
          <w:iCs/>
        </w:rPr>
        <w:t>Northeast Cellular</w:t>
      </w:r>
      <w:r>
        <w:t>).</w:t>
      </w:r>
    </w:p>
  </w:footnote>
  <w:footnote w:id="13">
    <w:p w:rsidR="003C15C2" w14:paraId="0D015356" w14:textId="77777777">
      <w:pPr>
        <w:pStyle w:val="FootnoteText"/>
      </w:pPr>
      <w:r>
        <w:rPr>
          <w:rStyle w:val="FootnoteReference"/>
        </w:rPr>
        <w:footnoteRef/>
      </w:r>
      <w:r>
        <w:t xml:space="preserve"> </w:t>
      </w:r>
      <w:r w:rsidRPr="00500EDF">
        <w:rPr>
          <w:i/>
          <w:iCs/>
        </w:rPr>
        <w:t>WAIT Radio v. FCC</w:t>
      </w:r>
      <w:r>
        <w:t xml:space="preserve">, 418 </w:t>
      </w:r>
      <w:r>
        <w:t>F.2d</w:t>
      </w:r>
      <w:r>
        <w:t xml:space="preserve"> 1153, 1159 (D.C. Cir. 1969); </w:t>
      </w:r>
      <w:r w:rsidRPr="00500EDF">
        <w:rPr>
          <w:i/>
          <w:iCs/>
        </w:rPr>
        <w:t>Northeast Cellular,</w:t>
      </w:r>
      <w:r>
        <w:t xml:space="preserve"> 897 </w:t>
      </w:r>
      <w:r>
        <w:t>F.2d</w:t>
      </w:r>
      <w:r>
        <w:t xml:space="preserve"> at 1166.</w:t>
      </w:r>
    </w:p>
  </w:footnote>
  <w:footnote w:id="14">
    <w:p w:rsidR="003C15C2" w14:paraId="06E6C12B" w14:textId="77777777">
      <w:pPr>
        <w:pStyle w:val="FootnoteText"/>
      </w:pPr>
      <w:r>
        <w:rPr>
          <w:rStyle w:val="FootnoteReference"/>
        </w:rPr>
        <w:footnoteRef/>
      </w:r>
      <w:r>
        <w:t xml:space="preserve"> </w:t>
      </w:r>
      <w:r w:rsidRPr="00500EDF">
        <w:rPr>
          <w:i/>
          <w:iCs/>
        </w:rPr>
        <w:t>Northeast Cellular</w:t>
      </w:r>
      <w:r>
        <w:t xml:space="preserve">, 897 </w:t>
      </w:r>
      <w:r>
        <w:t>F.2d</w:t>
      </w:r>
      <w:r>
        <w:t xml:space="preserve"> at 1166.</w:t>
      </w:r>
    </w:p>
  </w:footnote>
  <w:footnote w:id="15">
    <w:p w:rsidR="00A42402" w14:paraId="715EB7AA" w14:textId="43C39D2A">
      <w:pPr>
        <w:pStyle w:val="FootnoteText"/>
      </w:pPr>
      <w:r>
        <w:rPr>
          <w:rStyle w:val="FootnoteReference"/>
        </w:rPr>
        <w:footnoteRef/>
      </w:r>
      <w:r>
        <w:t xml:space="preserve"> </w:t>
      </w:r>
      <w:r w:rsidRPr="00500EDF" w:rsidR="00FB71B9">
        <w:rPr>
          <w:i/>
          <w:iCs/>
        </w:rPr>
        <w:t>Performance Measures Reconsideration Order</w:t>
      </w:r>
      <w:r w:rsidR="00FB71B9">
        <w:t>, 34 FCC Rcd at 10140, para. 81.</w:t>
      </w:r>
    </w:p>
  </w:footnote>
  <w:footnote w:id="16">
    <w:p w:rsidR="00FE5D91" w14:paraId="68CF19DD" w14:textId="0F211C86">
      <w:pPr>
        <w:pStyle w:val="FootnoteText"/>
      </w:pPr>
      <w:r>
        <w:rPr>
          <w:rStyle w:val="FootnoteReference"/>
        </w:rPr>
        <w:footnoteRef/>
      </w:r>
      <w:r>
        <w:t xml:space="preserve"> </w:t>
      </w:r>
      <w:r w:rsidRPr="00643187">
        <w:rPr>
          <w:i/>
          <w:iCs/>
        </w:rPr>
        <w:t>Connect America Fund</w:t>
      </w:r>
      <w:r w:rsidRPr="00643187">
        <w:t>, Order, WC Docket No. 10-90, 3</w:t>
      </w:r>
      <w:r>
        <w:t>5</w:t>
      </w:r>
      <w:r w:rsidRPr="00643187">
        <w:t xml:space="preserve"> FCC Rcd </w:t>
      </w:r>
      <w:r>
        <w:t>3015</w:t>
      </w:r>
      <w:r w:rsidRPr="00643187">
        <w:t xml:space="preserve"> (WCB 20</w:t>
      </w:r>
      <w:r>
        <w:t>20</w:t>
      </w:r>
      <w:r w:rsidRPr="00643187">
        <w:t>)</w:t>
      </w:r>
      <w:r>
        <w:t xml:space="preserve"> (</w:t>
      </w:r>
      <w:r w:rsidRPr="00FE5D91">
        <w:rPr>
          <w:i/>
          <w:iCs/>
        </w:rPr>
        <w:t>Subscriber Waiver Order</w:t>
      </w:r>
      <w:r>
        <w:t>).</w:t>
      </w:r>
    </w:p>
  </w:footnote>
  <w:footnote w:id="17">
    <w:p w:rsidR="00567B35" w:rsidRPr="00DC05A4" w:rsidP="00DC05A4" w14:paraId="73371F97" w14:textId="5BAB2207">
      <w:pPr>
        <w:tabs>
          <w:tab w:val="center" w:pos="4680"/>
        </w:tabs>
        <w:suppressAutoHyphens/>
        <w:spacing w:after="120"/>
        <w:rPr>
          <w:sz w:val="20"/>
        </w:rPr>
      </w:pPr>
      <w:r w:rsidRPr="00DC05A4">
        <w:rPr>
          <w:rStyle w:val="FootnoteReference"/>
        </w:rPr>
        <w:footnoteRef/>
      </w:r>
      <w:r w:rsidRPr="00DC05A4">
        <w:rPr>
          <w:sz w:val="20"/>
        </w:rPr>
        <w:t xml:space="preserve"> </w:t>
      </w:r>
      <w:r w:rsidRPr="00DC05A4">
        <w:rPr>
          <w:i/>
          <w:iCs/>
          <w:sz w:val="20"/>
        </w:rPr>
        <w:t>See</w:t>
      </w:r>
      <w:r w:rsidRPr="00DC05A4">
        <w:rPr>
          <w:sz w:val="20"/>
        </w:rPr>
        <w:t xml:space="preserve"> </w:t>
      </w:r>
      <w:r w:rsidRPr="00DC05A4" w:rsidR="00DC05A4">
        <w:rPr>
          <w:i/>
          <w:iCs/>
          <w:spacing w:val="-2"/>
          <w:sz w:val="20"/>
        </w:rPr>
        <w:t>Rural Digital Opportunity Fund, Connect America Fund</w:t>
      </w:r>
      <w:r w:rsidRPr="00DC05A4" w:rsidR="00DC05A4">
        <w:rPr>
          <w:spacing w:val="-2"/>
          <w:sz w:val="20"/>
        </w:rPr>
        <w:t xml:space="preserve">, Report and Order, WC Docket Nos. 19-126, 10-90, </w:t>
      </w:r>
      <w:r w:rsidRPr="00DC05A4" w:rsidR="00DC05A4">
        <w:rPr>
          <w:sz w:val="20"/>
        </w:rPr>
        <w:t xml:space="preserve">35 FCC Rcd 686, 740-41, para. 127 (2020); </w:t>
      </w:r>
      <w:r w:rsidRPr="00DC05A4">
        <w:rPr>
          <w:i/>
          <w:iCs/>
          <w:sz w:val="20"/>
        </w:rPr>
        <w:t>Comment Sought on Competitive Bidding Procedures and Certain Program Requirements for the Rural Digital Opportunity Fund Auction (Auction 904)</w:t>
      </w:r>
      <w:r w:rsidRPr="00DC05A4">
        <w:rPr>
          <w:sz w:val="20"/>
        </w:rPr>
        <w:t>, Public Notice, AU Docket No. 20-34, WC Docket No. 19-126, WC Docket No. 10-90, 35 FCC Rcd 2295, 2296, para. 1 (2020).</w:t>
      </w:r>
    </w:p>
  </w:footnote>
  <w:footnote w:id="18">
    <w:p w:rsidR="00367188" w14:paraId="5C389E9D" w14:textId="209CCD7D">
      <w:pPr>
        <w:pStyle w:val="FootnoteText"/>
      </w:pPr>
      <w:r>
        <w:rPr>
          <w:rStyle w:val="FootnoteReference"/>
        </w:rPr>
        <w:footnoteRef/>
      </w:r>
      <w:r>
        <w:t xml:space="preserve"> The Universal Service Administrative Company (USAC) will provide CAF Phase II carriers with instructions regarding how to notify USAC that these carriers will continue pre-testing during the third and fourth quarters of 2020.</w:t>
      </w:r>
    </w:p>
  </w:footnote>
  <w:footnote w:id="19">
    <w:p w:rsidR="00367188" w14:paraId="6FF8DBA5" w14:textId="10DAD31F">
      <w:pPr>
        <w:pStyle w:val="FootnoteText"/>
      </w:pPr>
      <w:r>
        <w:rPr>
          <w:rStyle w:val="FootnoteReference"/>
        </w:rPr>
        <w:footnoteRef/>
      </w:r>
      <w:r>
        <w:t xml:space="preserve"> A CAF Phase II carrier that must test during the third and fourth quarters will be expected to comply with </w:t>
      </w:r>
      <w:r>
        <w:t>all of</w:t>
      </w:r>
      <w:r>
        <w:t xml:space="preserve"> the testing rules regarding a random sample of subscribers selected by USAC.  </w:t>
      </w:r>
      <w:r>
        <w:t>In the event that</w:t>
      </w:r>
      <w:r>
        <w:t xml:space="preserve"> a carrier cannot comply with these requirements, it will need to seek a waiver.</w:t>
      </w:r>
    </w:p>
  </w:footnote>
  <w:footnote w:id="20">
    <w:p w:rsidR="00826957" w:rsidP="00826957" w14:paraId="62E23A9E" w14:textId="542CD01D">
      <w:pPr>
        <w:pStyle w:val="FootnoteText"/>
      </w:pPr>
      <w:r>
        <w:rPr>
          <w:rStyle w:val="FootnoteReference"/>
        </w:rPr>
        <w:footnoteRef/>
      </w:r>
      <w:r>
        <w:t xml:space="preserve"> </w:t>
      </w:r>
      <w:r w:rsidRPr="00055FF4" w:rsidR="00055FF4">
        <w:rPr>
          <w:i/>
          <w:iCs/>
        </w:rPr>
        <w:t>Subscriber Waiver Order</w:t>
      </w:r>
      <w:r w:rsidR="00055FF4">
        <w:t>.</w:t>
      </w:r>
    </w:p>
  </w:footnote>
  <w:footnote w:id="21">
    <w:p w:rsidR="00055FF4" w14:paraId="5AF2E9A2" w14:textId="0D9BD961">
      <w:pPr>
        <w:pStyle w:val="FootnoteText"/>
      </w:pPr>
      <w:r>
        <w:rPr>
          <w:rStyle w:val="FootnoteReference"/>
        </w:rPr>
        <w:footnoteRef/>
      </w:r>
      <w:r>
        <w:t xml:space="preserve"> </w:t>
      </w:r>
      <w:r w:rsidRPr="00D667AE" w:rsidR="00D667AE">
        <w:rPr>
          <w:i/>
          <w:iCs/>
        </w:rPr>
        <w:t>Id</w:t>
      </w:r>
      <w:r w:rsidR="00D667AE">
        <w:t>. at 3016, para. 5.</w:t>
      </w:r>
    </w:p>
  </w:footnote>
  <w:footnote w:id="22">
    <w:p w:rsidR="00826957" w:rsidP="00826957" w14:paraId="1BEFA72D" w14:textId="2AE02392">
      <w:pPr>
        <w:pStyle w:val="FootnoteText"/>
      </w:pPr>
      <w:r>
        <w:rPr>
          <w:rStyle w:val="FootnoteReference"/>
        </w:rPr>
        <w:footnoteRef/>
      </w:r>
      <w:r>
        <w:t xml:space="preserve"> </w:t>
      </w:r>
      <w:r w:rsidRPr="00500EDF" w:rsidR="00055FF4">
        <w:rPr>
          <w:i/>
          <w:iCs/>
        </w:rPr>
        <w:t>Performance Measures Reconsideration Order</w:t>
      </w:r>
      <w:r w:rsidR="00055FF4">
        <w:t>, 34 FCC Rcd at 10139-40, para. 79-80.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ACCB207" w14:textId="46FEA619">
    <w:pPr>
      <w:pStyle w:val="Header"/>
      <w:rPr>
        <w:b w:val="0"/>
      </w:rPr>
    </w:pPr>
    <w:r>
      <w:tab/>
      <w:t>Federal Communications Commission</w:t>
    </w:r>
    <w:r>
      <w:tab/>
    </w:r>
    <w:r w:rsidR="00A13205">
      <w:t xml:space="preserve">DA </w:t>
    </w:r>
    <w:r w:rsidR="0096086B">
      <w:t>20</w:t>
    </w:r>
    <w:r w:rsidR="003928F7">
      <w:t>-748</w:t>
    </w:r>
  </w:p>
  <w:p w:rsidR="00D25FB5" w14:paraId="09D66F3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2746A9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D330A9A" w14:textId="2C94BBC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8C1743">
      <w:rPr>
        <w:spacing w:val="-2"/>
      </w:rPr>
      <w:t xml:space="preserve">DA </w:t>
    </w:r>
    <w:r w:rsidR="0096086B">
      <w:rPr>
        <w:spacing w:val="-2"/>
      </w:rPr>
      <w:t>20</w:t>
    </w:r>
    <w:r w:rsidR="003928F7">
      <w:rPr>
        <w:spacing w:val="-2"/>
      </w:rPr>
      <w:t>-748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267"/>
    <w:rsid w:val="00014CE6"/>
    <w:rsid w:val="00036039"/>
    <w:rsid w:val="00037F90"/>
    <w:rsid w:val="0005068A"/>
    <w:rsid w:val="00055FF4"/>
    <w:rsid w:val="00065222"/>
    <w:rsid w:val="0007001F"/>
    <w:rsid w:val="0007755F"/>
    <w:rsid w:val="000875BF"/>
    <w:rsid w:val="0009270D"/>
    <w:rsid w:val="00096D8C"/>
    <w:rsid w:val="000A1702"/>
    <w:rsid w:val="000C0B65"/>
    <w:rsid w:val="000C6674"/>
    <w:rsid w:val="000E05FE"/>
    <w:rsid w:val="000E3D42"/>
    <w:rsid w:val="000F01B5"/>
    <w:rsid w:val="000F6BF0"/>
    <w:rsid w:val="000F6F76"/>
    <w:rsid w:val="0010151D"/>
    <w:rsid w:val="0010569F"/>
    <w:rsid w:val="001157E6"/>
    <w:rsid w:val="00122BD5"/>
    <w:rsid w:val="00131688"/>
    <w:rsid w:val="00133F79"/>
    <w:rsid w:val="00163DB1"/>
    <w:rsid w:val="0017296B"/>
    <w:rsid w:val="00182755"/>
    <w:rsid w:val="0019171E"/>
    <w:rsid w:val="00194A66"/>
    <w:rsid w:val="001A5D8C"/>
    <w:rsid w:val="001D2E03"/>
    <w:rsid w:val="001D6BCF"/>
    <w:rsid w:val="001D7B47"/>
    <w:rsid w:val="001E01CA"/>
    <w:rsid w:val="0020503D"/>
    <w:rsid w:val="00214937"/>
    <w:rsid w:val="00215443"/>
    <w:rsid w:val="002367C1"/>
    <w:rsid w:val="00251A1D"/>
    <w:rsid w:val="00275CF5"/>
    <w:rsid w:val="0028301F"/>
    <w:rsid w:val="00285017"/>
    <w:rsid w:val="002A01D1"/>
    <w:rsid w:val="002A2563"/>
    <w:rsid w:val="002A2D2E"/>
    <w:rsid w:val="002A4CF8"/>
    <w:rsid w:val="002C00E8"/>
    <w:rsid w:val="002C41BB"/>
    <w:rsid w:val="002D2B84"/>
    <w:rsid w:val="002D4756"/>
    <w:rsid w:val="002E1A80"/>
    <w:rsid w:val="0030415B"/>
    <w:rsid w:val="0031015C"/>
    <w:rsid w:val="0031458D"/>
    <w:rsid w:val="00323FBD"/>
    <w:rsid w:val="00343749"/>
    <w:rsid w:val="003660ED"/>
    <w:rsid w:val="00367188"/>
    <w:rsid w:val="0038452B"/>
    <w:rsid w:val="003928F7"/>
    <w:rsid w:val="003A06AB"/>
    <w:rsid w:val="003A611C"/>
    <w:rsid w:val="003B0550"/>
    <w:rsid w:val="003B694F"/>
    <w:rsid w:val="003C15C2"/>
    <w:rsid w:val="003D2F3C"/>
    <w:rsid w:val="003E6BD4"/>
    <w:rsid w:val="003F171C"/>
    <w:rsid w:val="00402F2A"/>
    <w:rsid w:val="00412FC5"/>
    <w:rsid w:val="004179D6"/>
    <w:rsid w:val="00420D5F"/>
    <w:rsid w:val="00422276"/>
    <w:rsid w:val="004232AC"/>
    <w:rsid w:val="00423FC0"/>
    <w:rsid w:val="004242F1"/>
    <w:rsid w:val="00425C80"/>
    <w:rsid w:val="0043786B"/>
    <w:rsid w:val="00441C90"/>
    <w:rsid w:val="00445A00"/>
    <w:rsid w:val="00451267"/>
    <w:rsid w:val="00451B0F"/>
    <w:rsid w:val="00496766"/>
    <w:rsid w:val="004A7D61"/>
    <w:rsid w:val="004B1D19"/>
    <w:rsid w:val="004C2EE3"/>
    <w:rsid w:val="004E4A22"/>
    <w:rsid w:val="00500EDF"/>
    <w:rsid w:val="00511968"/>
    <w:rsid w:val="00512F0E"/>
    <w:rsid w:val="00525709"/>
    <w:rsid w:val="005326FA"/>
    <w:rsid w:val="00542964"/>
    <w:rsid w:val="00553D84"/>
    <w:rsid w:val="00555A33"/>
    <w:rsid w:val="0055614C"/>
    <w:rsid w:val="00566D06"/>
    <w:rsid w:val="00567B35"/>
    <w:rsid w:val="00575CF9"/>
    <w:rsid w:val="005B1100"/>
    <w:rsid w:val="005D1011"/>
    <w:rsid w:val="005E14C2"/>
    <w:rsid w:val="005F2713"/>
    <w:rsid w:val="005F27A6"/>
    <w:rsid w:val="0060105E"/>
    <w:rsid w:val="00605D6E"/>
    <w:rsid w:val="00607BA5"/>
    <w:rsid w:val="006112E8"/>
    <w:rsid w:val="0061180A"/>
    <w:rsid w:val="00626EB6"/>
    <w:rsid w:val="00643187"/>
    <w:rsid w:val="00655D03"/>
    <w:rsid w:val="006613BF"/>
    <w:rsid w:val="00683388"/>
    <w:rsid w:val="00683F84"/>
    <w:rsid w:val="00685EF4"/>
    <w:rsid w:val="00694112"/>
    <w:rsid w:val="006A6A81"/>
    <w:rsid w:val="006E4D2D"/>
    <w:rsid w:val="006E7CE3"/>
    <w:rsid w:val="006F7393"/>
    <w:rsid w:val="0070224F"/>
    <w:rsid w:val="00710CC9"/>
    <w:rsid w:val="007115F7"/>
    <w:rsid w:val="00785689"/>
    <w:rsid w:val="0079754B"/>
    <w:rsid w:val="007A1E6D"/>
    <w:rsid w:val="007A28E1"/>
    <w:rsid w:val="007A47E2"/>
    <w:rsid w:val="007A6CCD"/>
    <w:rsid w:val="007B0EB2"/>
    <w:rsid w:val="007B3BFD"/>
    <w:rsid w:val="007B76D3"/>
    <w:rsid w:val="007C3DD4"/>
    <w:rsid w:val="007C6662"/>
    <w:rsid w:val="007D10C3"/>
    <w:rsid w:val="007D344B"/>
    <w:rsid w:val="007E1D25"/>
    <w:rsid w:val="007F432A"/>
    <w:rsid w:val="0080386E"/>
    <w:rsid w:val="00803FEF"/>
    <w:rsid w:val="00810B6F"/>
    <w:rsid w:val="00817081"/>
    <w:rsid w:val="00822CE0"/>
    <w:rsid w:val="00826957"/>
    <w:rsid w:val="00841AB1"/>
    <w:rsid w:val="008560FD"/>
    <w:rsid w:val="0086419F"/>
    <w:rsid w:val="0086425F"/>
    <w:rsid w:val="00870264"/>
    <w:rsid w:val="00870ADE"/>
    <w:rsid w:val="00872B26"/>
    <w:rsid w:val="00874276"/>
    <w:rsid w:val="0088686D"/>
    <w:rsid w:val="008B1F92"/>
    <w:rsid w:val="008C1743"/>
    <w:rsid w:val="008C68F1"/>
    <w:rsid w:val="008E5BD8"/>
    <w:rsid w:val="008E6D38"/>
    <w:rsid w:val="008F2832"/>
    <w:rsid w:val="009029E2"/>
    <w:rsid w:val="00920165"/>
    <w:rsid w:val="00921803"/>
    <w:rsid w:val="00926503"/>
    <w:rsid w:val="009359C1"/>
    <w:rsid w:val="0095750A"/>
    <w:rsid w:val="0096086B"/>
    <w:rsid w:val="009726D8"/>
    <w:rsid w:val="0098215A"/>
    <w:rsid w:val="00994DE2"/>
    <w:rsid w:val="009A5C2D"/>
    <w:rsid w:val="009B3FAA"/>
    <w:rsid w:val="009D7308"/>
    <w:rsid w:val="009F76DB"/>
    <w:rsid w:val="00A06F82"/>
    <w:rsid w:val="00A11047"/>
    <w:rsid w:val="00A13205"/>
    <w:rsid w:val="00A14B31"/>
    <w:rsid w:val="00A167F9"/>
    <w:rsid w:val="00A32C3B"/>
    <w:rsid w:val="00A32D66"/>
    <w:rsid w:val="00A42402"/>
    <w:rsid w:val="00A45F4F"/>
    <w:rsid w:val="00A45F60"/>
    <w:rsid w:val="00A5081B"/>
    <w:rsid w:val="00A600A9"/>
    <w:rsid w:val="00A614BD"/>
    <w:rsid w:val="00A73978"/>
    <w:rsid w:val="00AA0BD1"/>
    <w:rsid w:val="00AA55B7"/>
    <w:rsid w:val="00AA5B9E"/>
    <w:rsid w:val="00AB2407"/>
    <w:rsid w:val="00AB53DF"/>
    <w:rsid w:val="00AC57A6"/>
    <w:rsid w:val="00AE4033"/>
    <w:rsid w:val="00AE7610"/>
    <w:rsid w:val="00AF41D6"/>
    <w:rsid w:val="00B07E5C"/>
    <w:rsid w:val="00B1413F"/>
    <w:rsid w:val="00B16750"/>
    <w:rsid w:val="00B31DAC"/>
    <w:rsid w:val="00B505DC"/>
    <w:rsid w:val="00B56C30"/>
    <w:rsid w:val="00B6038B"/>
    <w:rsid w:val="00B811F7"/>
    <w:rsid w:val="00BA5DC6"/>
    <w:rsid w:val="00BA6196"/>
    <w:rsid w:val="00BA61AC"/>
    <w:rsid w:val="00BC28E8"/>
    <w:rsid w:val="00BC6D8C"/>
    <w:rsid w:val="00C05932"/>
    <w:rsid w:val="00C34006"/>
    <w:rsid w:val="00C36B4C"/>
    <w:rsid w:val="00C36DB5"/>
    <w:rsid w:val="00C377A1"/>
    <w:rsid w:val="00C426B1"/>
    <w:rsid w:val="00C47E08"/>
    <w:rsid w:val="00C53C1F"/>
    <w:rsid w:val="00C641B9"/>
    <w:rsid w:val="00C66160"/>
    <w:rsid w:val="00C721AC"/>
    <w:rsid w:val="00C81946"/>
    <w:rsid w:val="00C846CE"/>
    <w:rsid w:val="00C86680"/>
    <w:rsid w:val="00C90D6A"/>
    <w:rsid w:val="00CA247E"/>
    <w:rsid w:val="00CA6D21"/>
    <w:rsid w:val="00CC72B6"/>
    <w:rsid w:val="00CD0941"/>
    <w:rsid w:val="00CE5026"/>
    <w:rsid w:val="00CE6F9A"/>
    <w:rsid w:val="00D0218D"/>
    <w:rsid w:val="00D24D7B"/>
    <w:rsid w:val="00D25FB5"/>
    <w:rsid w:val="00D337DA"/>
    <w:rsid w:val="00D37A02"/>
    <w:rsid w:val="00D43F26"/>
    <w:rsid w:val="00D44223"/>
    <w:rsid w:val="00D5731F"/>
    <w:rsid w:val="00D667AE"/>
    <w:rsid w:val="00D66974"/>
    <w:rsid w:val="00D75653"/>
    <w:rsid w:val="00DA2529"/>
    <w:rsid w:val="00DA2A3D"/>
    <w:rsid w:val="00DB130A"/>
    <w:rsid w:val="00DB2EBB"/>
    <w:rsid w:val="00DC05A4"/>
    <w:rsid w:val="00DC10A1"/>
    <w:rsid w:val="00DC655F"/>
    <w:rsid w:val="00DD0B59"/>
    <w:rsid w:val="00DD7EBD"/>
    <w:rsid w:val="00DE0395"/>
    <w:rsid w:val="00DE75BB"/>
    <w:rsid w:val="00DF62B6"/>
    <w:rsid w:val="00E07225"/>
    <w:rsid w:val="00E206BD"/>
    <w:rsid w:val="00E5409F"/>
    <w:rsid w:val="00E65905"/>
    <w:rsid w:val="00E7073A"/>
    <w:rsid w:val="00E72817"/>
    <w:rsid w:val="00E955ED"/>
    <w:rsid w:val="00E96C68"/>
    <w:rsid w:val="00EA2C16"/>
    <w:rsid w:val="00EB1945"/>
    <w:rsid w:val="00EC102C"/>
    <w:rsid w:val="00EE1159"/>
    <w:rsid w:val="00EE6488"/>
    <w:rsid w:val="00F01409"/>
    <w:rsid w:val="00F021FA"/>
    <w:rsid w:val="00F173DD"/>
    <w:rsid w:val="00F24659"/>
    <w:rsid w:val="00F52D51"/>
    <w:rsid w:val="00F57488"/>
    <w:rsid w:val="00F62E97"/>
    <w:rsid w:val="00F64209"/>
    <w:rsid w:val="00F93BF5"/>
    <w:rsid w:val="00F94156"/>
    <w:rsid w:val="00F95A57"/>
    <w:rsid w:val="00FA69FC"/>
    <w:rsid w:val="00FB71B9"/>
    <w:rsid w:val="00FD1EC9"/>
    <w:rsid w:val="00FD5B9B"/>
    <w:rsid w:val="00FE29E3"/>
    <w:rsid w:val="00FE5D91"/>
    <w:rsid w:val="00FF26EF"/>
    <w:rsid w:val="123B2EDC"/>
    <w:rsid w:val="1BA03AAE"/>
    <w:rsid w:val="223A60B4"/>
    <w:rsid w:val="28FBF8CC"/>
    <w:rsid w:val="2936118C"/>
    <w:rsid w:val="31937CD7"/>
    <w:rsid w:val="337D8CD7"/>
    <w:rsid w:val="3D32C163"/>
    <w:rsid w:val="458B17D2"/>
    <w:rsid w:val="5247F31F"/>
    <w:rsid w:val="53E47B7D"/>
    <w:rsid w:val="543A6E7B"/>
    <w:rsid w:val="5879BEF1"/>
    <w:rsid w:val="5D1624C7"/>
    <w:rsid w:val="5E1B28AD"/>
    <w:rsid w:val="62B7F764"/>
    <w:rsid w:val="6A84F2BA"/>
    <w:rsid w:val="6B744AA6"/>
    <w:rsid w:val="6B9A2C73"/>
    <w:rsid w:val="752EFE50"/>
    <w:rsid w:val="78D3D6FC"/>
    <w:rsid w:val="7AEC1812"/>
    <w:rsid w:val="7B3BB11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40285FC-3C11-41D7-903A-0512FBF4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8F7"/>
    <w:pPr>
      <w:widowControl w:val="0"/>
    </w:pPr>
    <w:rPr>
      <w:snapToGrid w:val="0"/>
      <w:kern w:val="28"/>
      <w:sz w:val="22"/>
    </w:rPr>
  </w:style>
  <w:style w:type="paragraph" w:styleId="Heading1">
    <w:name w:val="heading 1"/>
    <w:basedOn w:val="Normal"/>
    <w:next w:val="ParaNum"/>
    <w:qFormat/>
    <w:rsid w:val="003928F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928F7"/>
    <w:pPr>
      <w:keepNext/>
      <w:numPr>
        <w:ilvl w:val="1"/>
        <w:numId w:val="3"/>
      </w:numPr>
      <w:spacing w:after="120"/>
      <w:outlineLvl w:val="1"/>
    </w:pPr>
    <w:rPr>
      <w:b/>
    </w:rPr>
  </w:style>
  <w:style w:type="paragraph" w:styleId="Heading3">
    <w:name w:val="heading 3"/>
    <w:basedOn w:val="Normal"/>
    <w:next w:val="ParaNum"/>
    <w:qFormat/>
    <w:rsid w:val="003928F7"/>
    <w:pPr>
      <w:keepNext/>
      <w:numPr>
        <w:ilvl w:val="2"/>
        <w:numId w:val="3"/>
      </w:numPr>
      <w:tabs>
        <w:tab w:val="left" w:pos="2160"/>
      </w:tabs>
      <w:spacing w:after="120"/>
      <w:outlineLvl w:val="2"/>
    </w:pPr>
    <w:rPr>
      <w:b/>
    </w:rPr>
  </w:style>
  <w:style w:type="paragraph" w:styleId="Heading4">
    <w:name w:val="heading 4"/>
    <w:basedOn w:val="Normal"/>
    <w:next w:val="ParaNum"/>
    <w:qFormat/>
    <w:rsid w:val="003928F7"/>
    <w:pPr>
      <w:keepNext/>
      <w:numPr>
        <w:ilvl w:val="3"/>
        <w:numId w:val="3"/>
      </w:numPr>
      <w:tabs>
        <w:tab w:val="left" w:pos="2880"/>
      </w:tabs>
      <w:spacing w:after="120"/>
      <w:outlineLvl w:val="3"/>
    </w:pPr>
    <w:rPr>
      <w:b/>
    </w:rPr>
  </w:style>
  <w:style w:type="paragraph" w:styleId="Heading5">
    <w:name w:val="heading 5"/>
    <w:basedOn w:val="Normal"/>
    <w:next w:val="ParaNum"/>
    <w:qFormat/>
    <w:rsid w:val="003928F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928F7"/>
    <w:pPr>
      <w:numPr>
        <w:ilvl w:val="5"/>
        <w:numId w:val="3"/>
      </w:numPr>
      <w:tabs>
        <w:tab w:val="left" w:pos="4320"/>
      </w:tabs>
      <w:spacing w:after="120"/>
      <w:outlineLvl w:val="5"/>
    </w:pPr>
    <w:rPr>
      <w:b/>
    </w:rPr>
  </w:style>
  <w:style w:type="paragraph" w:styleId="Heading7">
    <w:name w:val="heading 7"/>
    <w:basedOn w:val="Normal"/>
    <w:next w:val="ParaNum"/>
    <w:qFormat/>
    <w:rsid w:val="003928F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928F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928F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928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28F7"/>
  </w:style>
  <w:style w:type="paragraph" w:customStyle="1" w:styleId="ParaNum">
    <w:name w:val="ParaNum"/>
    <w:basedOn w:val="Normal"/>
    <w:rsid w:val="003928F7"/>
    <w:pPr>
      <w:numPr>
        <w:numId w:val="2"/>
      </w:numPr>
      <w:tabs>
        <w:tab w:val="clear" w:pos="1080"/>
        <w:tab w:val="num" w:pos="1440"/>
      </w:tabs>
      <w:spacing w:after="120"/>
    </w:pPr>
  </w:style>
  <w:style w:type="paragraph" w:styleId="EndnoteText">
    <w:name w:val="endnote text"/>
    <w:basedOn w:val="Normal"/>
    <w:semiHidden/>
    <w:rsid w:val="003928F7"/>
    <w:rPr>
      <w:sz w:val="20"/>
    </w:rPr>
  </w:style>
  <w:style w:type="character" w:styleId="EndnoteReference">
    <w:name w:val="endnote reference"/>
    <w:semiHidden/>
    <w:rsid w:val="003928F7"/>
    <w:rPr>
      <w:vertAlign w:val="superscript"/>
    </w:rPr>
  </w:style>
  <w:style w:type="paragraph" w:styleId="FootnoteText">
    <w:name w:val="footnote text"/>
    <w:rsid w:val="003928F7"/>
    <w:pPr>
      <w:spacing w:after="120"/>
    </w:pPr>
  </w:style>
  <w:style w:type="character" w:styleId="FootnoteReference">
    <w:name w:val="footnote reference"/>
    <w:rsid w:val="003928F7"/>
    <w:rPr>
      <w:rFonts w:ascii="Times New Roman" w:hAnsi="Times New Roman"/>
      <w:dstrike w:val="0"/>
      <w:color w:val="auto"/>
      <w:sz w:val="20"/>
      <w:vertAlign w:val="superscript"/>
    </w:rPr>
  </w:style>
  <w:style w:type="paragraph" w:styleId="TOC1">
    <w:name w:val="toc 1"/>
    <w:basedOn w:val="Normal"/>
    <w:next w:val="Normal"/>
    <w:semiHidden/>
    <w:rsid w:val="003928F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928F7"/>
    <w:pPr>
      <w:tabs>
        <w:tab w:val="left" w:pos="720"/>
        <w:tab w:val="right" w:leader="dot" w:pos="9360"/>
      </w:tabs>
      <w:suppressAutoHyphens/>
      <w:ind w:left="720" w:right="720" w:hanging="360"/>
    </w:pPr>
    <w:rPr>
      <w:noProof/>
    </w:rPr>
  </w:style>
  <w:style w:type="paragraph" w:styleId="TOC3">
    <w:name w:val="toc 3"/>
    <w:basedOn w:val="Normal"/>
    <w:next w:val="Normal"/>
    <w:semiHidden/>
    <w:rsid w:val="003928F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928F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928F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928F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928F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928F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928F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928F7"/>
    <w:pPr>
      <w:tabs>
        <w:tab w:val="right" w:pos="9360"/>
      </w:tabs>
      <w:suppressAutoHyphens/>
    </w:pPr>
  </w:style>
  <w:style w:type="character" w:customStyle="1" w:styleId="EquationCaption">
    <w:name w:val="_Equation Caption"/>
    <w:rsid w:val="003928F7"/>
  </w:style>
  <w:style w:type="paragraph" w:styleId="Header">
    <w:name w:val="header"/>
    <w:basedOn w:val="Normal"/>
    <w:autoRedefine/>
    <w:rsid w:val="003928F7"/>
    <w:pPr>
      <w:tabs>
        <w:tab w:val="center" w:pos="4680"/>
        <w:tab w:val="right" w:pos="9360"/>
      </w:tabs>
    </w:pPr>
    <w:rPr>
      <w:b/>
    </w:rPr>
  </w:style>
  <w:style w:type="paragraph" w:styleId="Footer">
    <w:name w:val="footer"/>
    <w:basedOn w:val="Normal"/>
    <w:link w:val="FooterChar"/>
    <w:uiPriority w:val="99"/>
    <w:rsid w:val="003928F7"/>
    <w:pPr>
      <w:tabs>
        <w:tab w:val="center" w:pos="4320"/>
        <w:tab w:val="right" w:pos="8640"/>
      </w:tabs>
    </w:pPr>
  </w:style>
  <w:style w:type="character" w:styleId="PageNumber">
    <w:name w:val="page number"/>
    <w:basedOn w:val="DefaultParagraphFont"/>
    <w:rsid w:val="003928F7"/>
  </w:style>
  <w:style w:type="paragraph" w:styleId="BlockText">
    <w:name w:val="Block Text"/>
    <w:basedOn w:val="Normal"/>
    <w:rsid w:val="003928F7"/>
    <w:pPr>
      <w:spacing w:after="240"/>
      <w:ind w:left="1440" w:right="1440"/>
    </w:pPr>
  </w:style>
  <w:style w:type="paragraph" w:customStyle="1" w:styleId="Paratitle">
    <w:name w:val="Para title"/>
    <w:basedOn w:val="Normal"/>
    <w:rsid w:val="003928F7"/>
    <w:pPr>
      <w:tabs>
        <w:tab w:val="center" w:pos="9270"/>
      </w:tabs>
      <w:spacing w:after="240"/>
    </w:pPr>
    <w:rPr>
      <w:spacing w:val="-2"/>
    </w:rPr>
  </w:style>
  <w:style w:type="paragraph" w:customStyle="1" w:styleId="Bullet">
    <w:name w:val="Bullet"/>
    <w:basedOn w:val="Normal"/>
    <w:rsid w:val="003928F7"/>
    <w:pPr>
      <w:tabs>
        <w:tab w:val="left" w:pos="2160"/>
      </w:tabs>
      <w:spacing w:after="220"/>
      <w:ind w:left="2160" w:hanging="720"/>
    </w:pPr>
  </w:style>
  <w:style w:type="paragraph" w:customStyle="1" w:styleId="TableFormat">
    <w:name w:val="TableFormat"/>
    <w:basedOn w:val="Bullet"/>
    <w:rsid w:val="003928F7"/>
    <w:pPr>
      <w:tabs>
        <w:tab w:val="clear" w:pos="2160"/>
        <w:tab w:val="left" w:pos="5040"/>
      </w:tabs>
      <w:ind w:left="5040" w:hanging="3600"/>
    </w:pPr>
  </w:style>
  <w:style w:type="paragraph" w:customStyle="1" w:styleId="TOCTitle">
    <w:name w:val="TOC Title"/>
    <w:basedOn w:val="Normal"/>
    <w:rsid w:val="003928F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928F7"/>
    <w:pPr>
      <w:jc w:val="center"/>
    </w:pPr>
    <w:rPr>
      <w:rFonts w:ascii="Times New Roman Bold" w:hAnsi="Times New Roman Bold"/>
      <w:b/>
      <w:bCs/>
      <w:caps/>
      <w:szCs w:val="22"/>
    </w:rPr>
  </w:style>
  <w:style w:type="character" w:styleId="Hyperlink">
    <w:name w:val="Hyperlink"/>
    <w:rsid w:val="003928F7"/>
    <w:rPr>
      <w:color w:val="0000FF"/>
      <w:u w:val="single"/>
    </w:rPr>
  </w:style>
  <w:style w:type="character" w:customStyle="1" w:styleId="FooterChar">
    <w:name w:val="Footer Char"/>
    <w:link w:val="Footer"/>
    <w:uiPriority w:val="99"/>
    <w:rsid w:val="003928F7"/>
    <w:rPr>
      <w:snapToGrid w:val="0"/>
      <w:kern w:val="28"/>
      <w:sz w:val="22"/>
    </w:rPr>
  </w:style>
  <w:style w:type="character" w:styleId="CommentReference">
    <w:name w:val="annotation reference"/>
    <w:basedOn w:val="DefaultParagraphFont"/>
    <w:rsid w:val="00CD0941"/>
    <w:rPr>
      <w:sz w:val="16"/>
      <w:szCs w:val="16"/>
    </w:rPr>
  </w:style>
  <w:style w:type="paragraph" w:styleId="CommentText">
    <w:name w:val="annotation text"/>
    <w:basedOn w:val="Normal"/>
    <w:link w:val="CommentTextChar"/>
    <w:rsid w:val="00CD0941"/>
    <w:rPr>
      <w:sz w:val="20"/>
    </w:rPr>
  </w:style>
  <w:style w:type="character" w:customStyle="1" w:styleId="CommentTextChar">
    <w:name w:val="Comment Text Char"/>
    <w:basedOn w:val="DefaultParagraphFont"/>
    <w:link w:val="CommentText"/>
    <w:rsid w:val="00CD0941"/>
    <w:rPr>
      <w:snapToGrid w:val="0"/>
      <w:kern w:val="28"/>
    </w:rPr>
  </w:style>
  <w:style w:type="paragraph" w:styleId="CommentSubject">
    <w:name w:val="annotation subject"/>
    <w:basedOn w:val="CommentText"/>
    <w:next w:val="CommentText"/>
    <w:link w:val="CommentSubjectChar"/>
    <w:rsid w:val="00CD0941"/>
    <w:rPr>
      <w:b/>
      <w:bCs/>
    </w:rPr>
  </w:style>
  <w:style w:type="character" w:customStyle="1" w:styleId="CommentSubjectChar">
    <w:name w:val="Comment Subject Char"/>
    <w:basedOn w:val="CommentTextChar"/>
    <w:link w:val="CommentSubject"/>
    <w:rsid w:val="00CD0941"/>
    <w:rPr>
      <w:b/>
      <w:bCs/>
      <w:snapToGrid w:val="0"/>
      <w:kern w:val="28"/>
    </w:rPr>
  </w:style>
  <w:style w:type="paragraph" w:styleId="BalloonText">
    <w:name w:val="Balloon Text"/>
    <w:basedOn w:val="Normal"/>
    <w:link w:val="BalloonTextChar"/>
    <w:semiHidden/>
    <w:unhideWhenUsed/>
    <w:rsid w:val="00CD0941"/>
    <w:rPr>
      <w:rFonts w:ascii="Segoe UI" w:hAnsi="Segoe UI" w:cs="Segoe UI"/>
      <w:sz w:val="18"/>
      <w:szCs w:val="18"/>
    </w:rPr>
  </w:style>
  <w:style w:type="character" w:customStyle="1" w:styleId="BalloonTextChar">
    <w:name w:val="Balloon Text Char"/>
    <w:basedOn w:val="DefaultParagraphFont"/>
    <w:link w:val="BalloonText"/>
    <w:semiHidden/>
    <w:rsid w:val="00CD0941"/>
    <w:rPr>
      <w:rFonts w:ascii="Segoe UI" w:hAnsi="Segoe UI" w:cs="Segoe UI"/>
      <w:snapToGrid w:val="0"/>
      <w:kern w:val="28"/>
      <w:sz w:val="18"/>
      <w:szCs w:val="18"/>
    </w:rPr>
  </w:style>
  <w:style w:type="character" w:customStyle="1" w:styleId="UnresolvedMention1">
    <w:name w:val="Unresolved Mention1"/>
    <w:basedOn w:val="DefaultParagraphFont"/>
    <w:uiPriority w:val="99"/>
    <w:semiHidden/>
    <w:unhideWhenUsed/>
    <w:rsid w:val="00214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